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E8884">
      <w:pPr>
        <w:keepNext w:val="0"/>
        <w:keepLines w:val="0"/>
        <w:pageBreakBefore w:val="0"/>
        <w:widowControl w:val="0"/>
        <w:kinsoku/>
        <w:wordWrap/>
        <w:overflowPunct/>
        <w:topLinePunct w:val="0"/>
        <w:autoSpaceDE/>
        <w:autoSpaceDN/>
        <w:bidi w:val="0"/>
        <w:adjustRightInd/>
        <w:snapToGrid/>
        <w:spacing w:line="660" w:lineRule="exact"/>
        <w:ind w:firstLine="0" w:firstLineChars="0"/>
        <w:jc w:val="both"/>
        <w:textAlignment w:val="auto"/>
        <w:rPr>
          <w:rFonts w:hint="default" w:ascii="Times New Roman" w:hAnsi="Times New Roman" w:eastAsia="黑体" w:cs="Times New Roman"/>
          <w:b w:val="0"/>
          <w:bCs w:val="0"/>
          <w:sz w:val="32"/>
          <w:szCs w:val="32"/>
          <w:lang w:val="en-US"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1</w:t>
      </w:r>
      <w:bookmarkStart w:id="2" w:name="_GoBack"/>
      <w:bookmarkEnd w:id="2"/>
    </w:p>
    <w:p w14:paraId="3CCDAA65">
      <w:pPr>
        <w:keepNext w:val="0"/>
        <w:keepLines w:val="0"/>
        <w:pageBreakBefore w:val="0"/>
        <w:widowControl w:val="0"/>
        <w:kinsoku/>
        <w:wordWrap/>
        <w:overflowPunct/>
        <w:topLinePunct w:val="0"/>
        <w:autoSpaceDE/>
        <w:autoSpaceDN/>
        <w:bidi w:val="0"/>
        <w:adjustRightInd/>
        <w:snapToGrid/>
        <w:spacing w:line="660" w:lineRule="exact"/>
        <w:ind w:firstLine="0" w:firstLineChars="0"/>
        <w:jc w:val="both"/>
        <w:textAlignment w:val="auto"/>
        <w:rPr>
          <w:rFonts w:hint="default" w:ascii="Times New Roman" w:hAnsi="Times New Roman" w:eastAsia="方正小标宋简体" w:cs="Times New Roman"/>
          <w:b w:val="0"/>
          <w:bCs w:val="0"/>
          <w:sz w:val="44"/>
          <w:szCs w:val="44"/>
        </w:rPr>
      </w:pPr>
    </w:p>
    <w:p w14:paraId="4AD85573">
      <w:pPr>
        <w:keepNext w:val="0"/>
        <w:keepLines w:val="0"/>
        <w:pageBreakBefore w:val="0"/>
        <w:widowControl w:val="0"/>
        <w:kinsoku/>
        <w:wordWrap/>
        <w:overflowPunct/>
        <w:topLinePunct w:val="0"/>
        <w:autoSpaceDE/>
        <w:autoSpaceDN/>
        <w:bidi w:val="0"/>
        <w:adjustRightInd/>
        <w:snapToGrid/>
        <w:spacing w:line="660" w:lineRule="exact"/>
        <w:ind w:firstLine="0" w:firstLineChars="0"/>
        <w:jc w:val="center"/>
        <w:textAlignment w:val="auto"/>
        <w:rPr>
          <w:rFonts w:hint="default" w:ascii="Times New Roman" w:hAnsi="Times New Roman" w:eastAsia="方正小标宋简体" w:cs="Times New Roman"/>
          <w:b w:val="0"/>
          <w:bCs w:val="0"/>
          <w:sz w:val="44"/>
          <w:szCs w:val="44"/>
          <w:lang w:eastAsia="zh-CN"/>
        </w:rPr>
      </w:pPr>
      <w:r>
        <w:rPr>
          <w:rFonts w:hint="eastAsia" w:eastAsia="方正小标宋简体" w:cs="Times New Roman"/>
          <w:b w:val="0"/>
          <w:bCs w:val="0"/>
          <w:sz w:val="44"/>
          <w:szCs w:val="44"/>
          <w:lang w:val="en-US" w:eastAsia="zh-CN"/>
        </w:rPr>
        <w:t>番禺区</w:t>
      </w:r>
      <w:r>
        <w:rPr>
          <w:rFonts w:hint="default" w:ascii="Times New Roman" w:hAnsi="Times New Roman" w:eastAsia="方正小标宋简体" w:cs="Times New Roman"/>
          <w:b w:val="0"/>
          <w:bCs w:val="0"/>
          <w:sz w:val="44"/>
          <w:szCs w:val="44"/>
        </w:rPr>
        <w:t>公交</w:t>
      </w:r>
      <w:r>
        <w:rPr>
          <w:rFonts w:hint="default" w:ascii="Times New Roman" w:hAnsi="Times New Roman" w:eastAsia="方正小标宋简体" w:cs="Times New Roman"/>
          <w:b w:val="0"/>
          <w:bCs w:val="0"/>
          <w:sz w:val="44"/>
          <w:szCs w:val="44"/>
          <w:lang w:eastAsia="zh-CN"/>
        </w:rPr>
        <w:t>基础</w:t>
      </w:r>
      <w:r>
        <w:rPr>
          <w:rFonts w:hint="default" w:ascii="Times New Roman" w:hAnsi="Times New Roman" w:eastAsia="方正小标宋简体" w:cs="Times New Roman"/>
          <w:b w:val="0"/>
          <w:bCs w:val="0"/>
          <w:sz w:val="44"/>
          <w:szCs w:val="44"/>
        </w:rPr>
        <w:t>票价</w:t>
      </w:r>
      <w:r>
        <w:rPr>
          <w:rFonts w:hint="eastAsia" w:eastAsia="方正小标宋简体" w:cs="Times New Roman"/>
          <w:b w:val="0"/>
          <w:bCs w:val="0"/>
          <w:sz w:val="44"/>
          <w:szCs w:val="44"/>
          <w:lang w:val="en-US" w:eastAsia="zh-CN"/>
        </w:rPr>
        <w:t>优化</w:t>
      </w:r>
      <w:r>
        <w:rPr>
          <w:rFonts w:hint="default" w:ascii="Times New Roman" w:hAnsi="Times New Roman" w:eastAsia="方正小标宋简体" w:cs="Times New Roman"/>
          <w:b w:val="0"/>
          <w:bCs w:val="0"/>
          <w:sz w:val="44"/>
          <w:szCs w:val="44"/>
          <w:lang w:eastAsia="zh-CN"/>
        </w:rPr>
        <w:t>方案</w:t>
      </w:r>
    </w:p>
    <w:p w14:paraId="6E519BBB">
      <w:pPr>
        <w:keepNext w:val="0"/>
        <w:keepLines w:val="0"/>
        <w:pageBreakBefore w:val="0"/>
        <w:widowControl w:val="0"/>
        <w:kinsoku/>
        <w:wordWrap/>
        <w:overflowPunct/>
        <w:topLinePunct w:val="0"/>
        <w:autoSpaceDE/>
        <w:autoSpaceDN/>
        <w:bidi w:val="0"/>
        <w:adjustRightInd/>
        <w:snapToGrid/>
        <w:spacing w:line="660" w:lineRule="exact"/>
        <w:ind w:firstLine="0" w:firstLineChars="0"/>
        <w:jc w:val="center"/>
        <w:textAlignment w:val="auto"/>
        <w:rPr>
          <w:rFonts w:hint="default" w:ascii="Times New Roman" w:hAnsi="Times New Roman" w:eastAsia="楷体_GB2312" w:cs="Times New Roman"/>
          <w:sz w:val="32"/>
          <w:szCs w:val="32"/>
          <w:lang w:val="en" w:eastAsia="zh-CN"/>
        </w:rPr>
      </w:pPr>
      <w:r>
        <w:rPr>
          <w:rFonts w:hint="default" w:ascii="Times New Roman" w:hAnsi="Times New Roman" w:eastAsia="楷体_GB2312" w:cs="Times New Roman"/>
          <w:sz w:val="32"/>
          <w:szCs w:val="32"/>
          <w:lang w:val="en" w:eastAsia="zh-CN"/>
        </w:rPr>
        <w:t>（</w:t>
      </w:r>
      <w:r>
        <w:rPr>
          <w:rFonts w:hint="eastAsia" w:eastAsia="楷体_GB2312" w:cs="Times New Roman"/>
          <w:sz w:val="32"/>
          <w:szCs w:val="32"/>
          <w:lang w:val="en-US" w:eastAsia="zh-CN"/>
        </w:rPr>
        <w:t>征求意见</w:t>
      </w:r>
      <w:r>
        <w:rPr>
          <w:rFonts w:hint="default" w:ascii="Times New Roman" w:hAnsi="Times New Roman" w:eastAsia="楷体_GB2312" w:cs="Times New Roman"/>
          <w:sz w:val="32"/>
          <w:szCs w:val="32"/>
          <w:lang w:val="en" w:eastAsia="zh-CN"/>
        </w:rPr>
        <w:t>稿）</w:t>
      </w:r>
    </w:p>
    <w:p w14:paraId="426E6176">
      <w:pPr>
        <w:keepNext w:val="0"/>
        <w:keepLines w:val="0"/>
        <w:pageBreakBefore w:val="0"/>
        <w:widowControl w:val="0"/>
        <w:kinsoku/>
        <w:wordWrap/>
        <w:overflowPunct/>
        <w:topLinePunct w:val="0"/>
        <w:autoSpaceDE/>
        <w:autoSpaceDN/>
        <w:bidi w:val="0"/>
        <w:adjustRightInd/>
        <w:snapToGrid/>
        <w:spacing w:line="660" w:lineRule="exact"/>
        <w:ind w:firstLine="640"/>
        <w:textAlignment w:val="auto"/>
        <w:rPr>
          <w:rFonts w:hint="default" w:ascii="Times New Roman" w:hAnsi="Times New Roman" w:eastAsia="仿宋_GB2312" w:cs="Times New Roman"/>
          <w:sz w:val="32"/>
          <w:szCs w:val="32"/>
        </w:rPr>
      </w:pPr>
    </w:p>
    <w:p w14:paraId="69E7E4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i w:val="0"/>
          <w:caps w:val="0"/>
          <w:spacing w:val="0"/>
          <w:sz w:val="32"/>
          <w:szCs w:val="32"/>
          <w:lang w:eastAsia="zh-CN"/>
        </w:rPr>
        <w:t>为多措并举促进公共汽车电车（以下简称“公交”）行业稳定发展，</w:t>
      </w:r>
      <w:r>
        <w:rPr>
          <w:rFonts w:hint="default" w:ascii="Times New Roman" w:hAnsi="Times New Roman" w:eastAsia="仿宋_GB2312" w:cs="Times New Roman"/>
          <w:i w:val="0"/>
          <w:caps w:val="0"/>
          <w:spacing w:val="0"/>
          <w:sz w:val="32"/>
          <w:szCs w:val="32"/>
        </w:rPr>
        <w:t>根据</w:t>
      </w:r>
      <w:r>
        <w:rPr>
          <w:rFonts w:hint="eastAsia" w:eastAsia="仿宋_GB2312" w:cs="Times New Roman"/>
          <w:i w:val="0"/>
          <w:caps w:val="0"/>
          <w:spacing w:val="0"/>
          <w:sz w:val="32"/>
          <w:szCs w:val="32"/>
          <w:lang w:val="en-US" w:eastAsia="zh-CN"/>
        </w:rPr>
        <w:t>区</w:t>
      </w:r>
      <w:r>
        <w:rPr>
          <w:rFonts w:hint="default" w:ascii="Times New Roman" w:hAnsi="Times New Roman" w:eastAsia="仿宋_GB2312" w:cs="Times New Roman"/>
          <w:i w:val="0"/>
          <w:caps w:val="0"/>
          <w:spacing w:val="0"/>
          <w:sz w:val="32"/>
          <w:szCs w:val="32"/>
          <w:lang w:eastAsia="zh-CN"/>
        </w:rPr>
        <w:t>政府有关</w:t>
      </w:r>
      <w:r>
        <w:rPr>
          <w:rFonts w:hint="default" w:ascii="Times New Roman" w:hAnsi="Times New Roman" w:eastAsia="仿宋_GB2312" w:cs="Times New Roman"/>
          <w:sz w:val="32"/>
          <w:szCs w:val="32"/>
          <w:lang w:val="en-US" w:eastAsia="zh-CN"/>
        </w:rPr>
        <w:t>工作</w:t>
      </w:r>
      <w:r>
        <w:rPr>
          <w:rFonts w:hint="default" w:ascii="Times New Roman" w:hAnsi="Times New Roman" w:eastAsia="仿宋_GB2312" w:cs="Times New Roman"/>
          <w:i w:val="0"/>
          <w:caps w:val="0"/>
          <w:spacing w:val="0"/>
          <w:sz w:val="32"/>
          <w:szCs w:val="32"/>
          <w:lang w:eastAsia="zh-CN"/>
        </w:rPr>
        <w:t>安排，</w:t>
      </w:r>
      <w:r>
        <w:rPr>
          <w:rFonts w:hint="eastAsia" w:eastAsia="仿宋_GB2312" w:cs="Times New Roman"/>
          <w:i w:val="0"/>
          <w:caps w:val="0"/>
          <w:spacing w:val="0"/>
          <w:sz w:val="32"/>
          <w:szCs w:val="32"/>
          <w:lang w:val="en-US" w:eastAsia="zh-CN"/>
        </w:rPr>
        <w:t>区发展和改革局</w:t>
      </w:r>
      <w:r>
        <w:rPr>
          <w:rFonts w:hint="default" w:ascii="Times New Roman" w:hAnsi="Times New Roman" w:eastAsia="仿宋_GB2312" w:cs="Times New Roman"/>
          <w:i w:val="0"/>
          <w:caps w:val="0"/>
          <w:spacing w:val="0"/>
          <w:sz w:val="32"/>
          <w:szCs w:val="32"/>
          <w:lang w:eastAsia="zh-CN"/>
        </w:rPr>
        <w:t>会同</w:t>
      </w:r>
      <w:r>
        <w:rPr>
          <w:rFonts w:hint="eastAsia" w:eastAsia="仿宋_GB2312" w:cs="Times New Roman"/>
          <w:i w:val="0"/>
          <w:caps w:val="0"/>
          <w:spacing w:val="0"/>
          <w:sz w:val="32"/>
          <w:szCs w:val="32"/>
          <w:lang w:val="en-US" w:eastAsia="zh-CN"/>
        </w:rPr>
        <w:t>区</w:t>
      </w:r>
      <w:r>
        <w:rPr>
          <w:rFonts w:hint="default" w:ascii="Times New Roman" w:hAnsi="Times New Roman" w:eastAsia="仿宋_GB2312" w:cs="Times New Roman"/>
          <w:i w:val="0"/>
          <w:caps w:val="0"/>
          <w:spacing w:val="0"/>
          <w:sz w:val="32"/>
          <w:szCs w:val="32"/>
          <w:lang w:eastAsia="zh-CN"/>
        </w:rPr>
        <w:t>交通运输局</w:t>
      </w:r>
      <w:r>
        <w:rPr>
          <w:rFonts w:hint="default" w:ascii="Times New Roman" w:hAnsi="Times New Roman" w:eastAsia="仿宋_GB2312" w:cs="Times New Roman"/>
          <w:sz w:val="32"/>
          <w:szCs w:val="32"/>
          <w:lang w:val="en-US" w:eastAsia="zh-CN"/>
        </w:rPr>
        <w:t>研究提出了《</w:t>
      </w:r>
      <w:r>
        <w:rPr>
          <w:rFonts w:hint="eastAsia" w:eastAsia="仿宋_GB2312" w:cs="Times New Roman"/>
          <w:sz w:val="32"/>
          <w:szCs w:val="32"/>
          <w:lang w:val="en-US" w:eastAsia="zh-CN"/>
        </w:rPr>
        <w:t>番禺区</w:t>
      </w:r>
      <w:r>
        <w:rPr>
          <w:rFonts w:hint="default" w:ascii="Times New Roman" w:hAnsi="Times New Roman" w:eastAsia="仿宋_GB2312" w:cs="Times New Roman"/>
          <w:b w:val="0"/>
          <w:bCs w:val="0"/>
          <w:sz w:val="32"/>
          <w:szCs w:val="32"/>
        </w:rPr>
        <w:t>公交</w:t>
      </w:r>
      <w:r>
        <w:rPr>
          <w:rFonts w:hint="default" w:ascii="Times New Roman" w:hAnsi="Times New Roman" w:eastAsia="仿宋_GB2312" w:cs="Times New Roman"/>
          <w:b w:val="0"/>
          <w:bCs w:val="0"/>
          <w:sz w:val="32"/>
          <w:szCs w:val="32"/>
          <w:lang w:eastAsia="zh-CN"/>
        </w:rPr>
        <w:t>基础</w:t>
      </w:r>
      <w:r>
        <w:rPr>
          <w:rFonts w:hint="eastAsia" w:eastAsia="仿宋_GB2312" w:cs="Times New Roman"/>
          <w:b w:val="0"/>
          <w:bCs w:val="0"/>
          <w:sz w:val="32"/>
          <w:szCs w:val="32"/>
          <w:lang w:eastAsia="zh-CN"/>
        </w:rPr>
        <w:t>票价优化</w:t>
      </w:r>
      <w:r>
        <w:rPr>
          <w:rFonts w:hint="default" w:ascii="Times New Roman" w:hAnsi="Times New Roman" w:eastAsia="仿宋_GB2312" w:cs="Times New Roman"/>
          <w:i w:val="0"/>
          <w:caps w:val="0"/>
          <w:spacing w:val="0"/>
          <w:sz w:val="32"/>
          <w:szCs w:val="32"/>
          <w:lang w:eastAsia="zh-CN"/>
        </w:rPr>
        <w:t>方案（</w:t>
      </w:r>
      <w:r>
        <w:rPr>
          <w:rFonts w:hint="eastAsia" w:eastAsia="仿宋_GB2312" w:cs="Times New Roman"/>
          <w:i w:val="0"/>
          <w:caps w:val="0"/>
          <w:spacing w:val="0"/>
          <w:sz w:val="32"/>
          <w:szCs w:val="32"/>
          <w:lang w:val="en-US" w:eastAsia="zh-CN"/>
        </w:rPr>
        <w:t>征求意见</w:t>
      </w:r>
      <w:r>
        <w:rPr>
          <w:rFonts w:hint="default" w:ascii="Times New Roman" w:hAnsi="Times New Roman" w:eastAsia="仿宋_GB2312" w:cs="Times New Roman"/>
          <w:i w:val="0"/>
          <w:caps w:val="0"/>
          <w:spacing w:val="0"/>
          <w:sz w:val="32"/>
          <w:szCs w:val="32"/>
          <w:lang w:eastAsia="zh-CN"/>
        </w:rPr>
        <w:t>稿）</w:t>
      </w:r>
      <w:r>
        <w:rPr>
          <w:rFonts w:hint="default" w:ascii="Times New Roman" w:hAnsi="Times New Roman" w:eastAsia="仿宋_GB2312" w:cs="Times New Roman"/>
          <w:sz w:val="32"/>
          <w:szCs w:val="32"/>
          <w:lang w:val="en-US" w:eastAsia="zh-CN"/>
        </w:rPr>
        <w:t>》。</w:t>
      </w:r>
    </w:p>
    <w:p w14:paraId="641FD256">
      <w:pPr>
        <w:keepNext w:val="0"/>
        <w:keepLines w:val="0"/>
        <w:pageBreakBefore w:val="0"/>
        <w:widowControl w:val="0"/>
        <w:kinsoku/>
        <w:wordWrap/>
        <w:overflowPunct/>
        <w:topLinePunct w:val="0"/>
        <w:autoSpaceDE/>
        <w:autoSpaceDN/>
        <w:bidi w:val="0"/>
        <w:adjustRightInd w:val="0"/>
        <w:snapToGrid w:val="0"/>
        <w:spacing w:line="560" w:lineRule="exact"/>
        <w:ind w:firstLine="0"/>
        <w:jc w:val="both"/>
        <w:textAlignment w:val="auto"/>
        <w:rPr>
          <w:rFonts w:hint="eastAsia" w:ascii="黑体" w:hAnsi="黑体" w:eastAsia="黑体" w:cs="黑体"/>
          <w:b w:val="0"/>
          <w:bCs w:val="0"/>
          <w:color w:val="auto"/>
          <w:sz w:val="28"/>
          <w:szCs w:val="28"/>
          <w:lang w:eastAsia="zh-CN"/>
        </w:rPr>
      </w:pPr>
      <w:r>
        <w:rPr>
          <w:rFonts w:hint="eastAsia" w:ascii="黑体" w:hAnsi="黑体" w:eastAsia="黑体" w:cs="黑体"/>
          <w:b w:val="0"/>
          <w:bCs w:val="0"/>
          <w:color w:val="auto"/>
          <w:sz w:val="32"/>
          <w:szCs w:val="32"/>
          <w:lang w:eastAsia="zh-CN"/>
        </w:rPr>
        <w:t>一、我</w:t>
      </w:r>
      <w:r>
        <w:rPr>
          <w:rFonts w:hint="eastAsia" w:ascii="黑体" w:hAnsi="黑体" w:eastAsia="黑体" w:cs="黑体"/>
          <w:b w:val="0"/>
          <w:bCs w:val="0"/>
          <w:color w:val="auto"/>
          <w:sz w:val="32"/>
          <w:szCs w:val="32"/>
          <w:lang w:val="en-US" w:eastAsia="zh-CN"/>
        </w:rPr>
        <w:t>区</w:t>
      </w:r>
      <w:r>
        <w:rPr>
          <w:rFonts w:hint="eastAsia" w:ascii="黑体" w:hAnsi="黑体" w:eastAsia="黑体" w:cs="黑体"/>
          <w:b w:val="0"/>
          <w:bCs w:val="0"/>
          <w:color w:val="auto"/>
          <w:sz w:val="32"/>
          <w:szCs w:val="32"/>
          <w:lang w:eastAsia="zh-CN"/>
        </w:rPr>
        <w:t>公交行业发展情况</w:t>
      </w:r>
    </w:p>
    <w:p w14:paraId="154DE72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我区现有公交企业6家，其中国有企业4家、民营企业2家，</w:t>
      </w:r>
      <w:r>
        <w:rPr>
          <w:rFonts w:hint="eastAsia" w:ascii="FangSong_GB2312" w:hAnsi="FangSong_GB2312" w:eastAsia="FangSong_GB2312"/>
          <w:sz w:val="32"/>
          <w:szCs w:val="24"/>
        </w:rPr>
        <w:t>运营公</w:t>
      </w:r>
      <w:r>
        <w:rPr>
          <w:rFonts w:hint="eastAsia" w:ascii="仿宋_GB2312" w:hAnsi="仿宋_GB2312" w:eastAsia="仿宋_GB2312" w:cs="仿宋_GB2312"/>
          <w:color w:val="auto"/>
          <w:sz w:val="32"/>
          <w:szCs w:val="32"/>
        </w:rPr>
        <w:t>交线路</w:t>
      </w:r>
      <w:r>
        <w:rPr>
          <w:rFonts w:hint="eastAsia" w:ascii="仿宋_GB2312" w:hAnsi="仿宋_GB2312" w:eastAsia="仿宋_GB2312" w:cs="仿宋_GB2312"/>
          <w:color w:val="auto"/>
          <w:sz w:val="32"/>
          <w:szCs w:val="32"/>
          <w:lang w:val="en-US" w:eastAsia="zh-CN"/>
        </w:rPr>
        <w:t>合计123</w:t>
      </w:r>
      <w:r>
        <w:rPr>
          <w:rFonts w:hint="eastAsia" w:ascii="仿宋_GB2312" w:hAnsi="仿宋_GB2312" w:eastAsia="仿宋_GB2312" w:cs="仿宋_GB2312"/>
          <w:color w:val="auto"/>
          <w:sz w:val="32"/>
          <w:szCs w:val="32"/>
        </w:rPr>
        <w:t>条，</w:t>
      </w:r>
      <w:r>
        <w:rPr>
          <w:rFonts w:hint="eastAsia" w:ascii="FangSong_GB2312" w:hAnsi="FangSong_GB2312" w:eastAsia="FangSong_GB2312"/>
          <w:sz w:val="32"/>
          <w:szCs w:val="24"/>
        </w:rPr>
        <w:t>线路总长</w:t>
      </w:r>
      <w:r>
        <w:rPr>
          <w:rFonts w:hint="eastAsia" w:ascii="FangSong_GB2312" w:hAnsi="FangSong_GB2312" w:eastAsia="FangSong_GB2312"/>
          <w:sz w:val="32"/>
          <w:szCs w:val="24"/>
          <w:lang w:val="en-US" w:eastAsia="zh-CN"/>
        </w:rPr>
        <w:t>超1900</w:t>
      </w:r>
      <w:r>
        <w:rPr>
          <w:rFonts w:hint="eastAsia" w:ascii="FangSong_GB2312" w:hAnsi="FangSong_GB2312" w:eastAsia="FangSong_GB2312"/>
          <w:sz w:val="32"/>
          <w:szCs w:val="24"/>
        </w:rPr>
        <w:t>公里</w:t>
      </w:r>
      <w:r>
        <w:rPr>
          <w:rFonts w:hint="eastAsia" w:ascii="仿宋_GB2312" w:hAnsi="仿宋_GB2312" w:eastAsia="仿宋_GB2312" w:cs="仿宋_GB2312"/>
          <w:b w:val="0"/>
          <w:bCs w:val="0"/>
          <w:color w:val="auto"/>
          <w:sz w:val="32"/>
          <w:szCs w:val="32"/>
          <w:lang w:eastAsia="zh-CN"/>
        </w:rPr>
        <w:t>。受公共出行结构变化</w:t>
      </w:r>
      <w:r>
        <w:rPr>
          <w:rFonts w:hint="eastAsia" w:ascii="仿宋_GB2312" w:hAnsi="仿宋_GB2312" w:eastAsia="仿宋_GB2312" w:cs="仿宋_GB2312"/>
          <w:b w:val="0"/>
          <w:bCs w:val="0"/>
          <w:color w:val="auto"/>
          <w:sz w:val="32"/>
          <w:szCs w:val="32"/>
          <w:lang w:val="en-US" w:eastAsia="zh-CN"/>
        </w:rPr>
        <w:t>影响</w:t>
      </w:r>
      <w:r>
        <w:rPr>
          <w:rFonts w:hint="eastAsia" w:ascii="仿宋_GB2312" w:hAnsi="仿宋_GB2312" w:eastAsia="仿宋_GB2312" w:cs="仿宋_GB2312"/>
          <w:b w:val="0"/>
          <w:bCs w:val="0"/>
          <w:color w:val="auto"/>
          <w:sz w:val="32"/>
          <w:szCs w:val="32"/>
          <w:lang w:eastAsia="zh-CN"/>
        </w:rPr>
        <w:t>，公交客流</w:t>
      </w:r>
      <w:r>
        <w:rPr>
          <w:rFonts w:hint="eastAsia" w:ascii="仿宋_GB2312" w:hAnsi="仿宋_GB2312" w:eastAsia="仿宋_GB2312" w:cs="仿宋_GB2312"/>
          <w:b w:val="0"/>
          <w:bCs w:val="0"/>
          <w:color w:val="auto"/>
          <w:sz w:val="32"/>
          <w:szCs w:val="32"/>
          <w:lang w:val="en-US" w:eastAsia="zh-CN"/>
        </w:rPr>
        <w:t>量呈现明显下滑态势</w:t>
      </w:r>
      <w:r>
        <w:rPr>
          <w:rFonts w:hint="eastAsia" w:ascii="仿宋_GB2312" w:hAnsi="仿宋_GB2312" w:eastAsia="仿宋_GB2312" w:cs="仿宋_GB2312"/>
          <w:b w:val="0"/>
          <w:bCs w:val="0"/>
          <w:color w:val="auto"/>
          <w:sz w:val="32"/>
          <w:szCs w:val="32"/>
          <w:lang w:eastAsia="zh-CN"/>
        </w:rPr>
        <w:t>，2019年</w:t>
      </w:r>
      <w:r>
        <w:rPr>
          <w:rFonts w:hint="eastAsia" w:ascii="仿宋_GB2312" w:hAnsi="仿宋_GB2312" w:eastAsia="仿宋_GB2312" w:cs="仿宋_GB2312"/>
          <w:b w:val="0"/>
          <w:bCs w:val="0"/>
          <w:color w:val="auto"/>
          <w:sz w:val="32"/>
          <w:szCs w:val="32"/>
          <w:lang w:val="en-US" w:eastAsia="zh-CN"/>
        </w:rPr>
        <w:t>公交人次达</w:t>
      </w:r>
      <w:r>
        <w:rPr>
          <w:rFonts w:hint="eastAsia" w:ascii="仿宋_GB2312" w:hAnsi="仿宋_GB2312" w:eastAsia="仿宋_GB2312" w:cs="仿宋_GB2312"/>
          <w:b w:val="0"/>
          <w:bCs w:val="0"/>
          <w:color w:val="auto"/>
          <w:sz w:val="32"/>
          <w:szCs w:val="32"/>
          <w:lang w:eastAsia="zh-CN"/>
        </w:rPr>
        <w:t>1.56亿人次，</w:t>
      </w:r>
      <w:r>
        <w:rPr>
          <w:rFonts w:hint="eastAsia" w:ascii="仿宋_GB2312" w:hAnsi="仿宋_GB2312" w:eastAsia="仿宋_GB2312" w:cs="仿宋_GB2312"/>
          <w:b w:val="0"/>
          <w:bCs w:val="0"/>
          <w:color w:val="auto"/>
          <w:sz w:val="32"/>
          <w:szCs w:val="32"/>
          <w:lang w:val="en-US" w:eastAsia="zh-CN"/>
        </w:rPr>
        <w:t>近年来公交人次已</w:t>
      </w:r>
      <w:r>
        <w:rPr>
          <w:rFonts w:hint="eastAsia" w:ascii="仿宋_GB2312" w:hAnsi="仿宋_GB2312" w:eastAsia="仿宋_GB2312" w:cs="仿宋_GB2312"/>
          <w:b w:val="0"/>
          <w:bCs w:val="0"/>
          <w:color w:val="auto"/>
          <w:sz w:val="32"/>
          <w:szCs w:val="32"/>
          <w:lang w:eastAsia="zh-CN"/>
        </w:rPr>
        <w:t>降至</w:t>
      </w:r>
      <w:r>
        <w:rPr>
          <w:rFonts w:hint="eastAsia" w:ascii="仿宋_GB2312" w:hAnsi="仿宋_GB2312" w:eastAsia="仿宋_GB2312" w:cs="仿宋_GB2312"/>
          <w:b w:val="0"/>
          <w:bCs w:val="0"/>
          <w:color w:val="auto"/>
          <w:sz w:val="32"/>
          <w:szCs w:val="32"/>
          <w:lang w:val="en-US" w:eastAsia="zh-CN"/>
        </w:rPr>
        <w:t>不足1</w:t>
      </w:r>
      <w:r>
        <w:rPr>
          <w:rFonts w:hint="eastAsia" w:ascii="仿宋_GB2312" w:hAnsi="仿宋_GB2312" w:eastAsia="仿宋_GB2312" w:cs="仿宋_GB2312"/>
          <w:b w:val="0"/>
          <w:bCs w:val="0"/>
          <w:color w:val="auto"/>
          <w:sz w:val="32"/>
          <w:szCs w:val="32"/>
          <w:lang w:eastAsia="zh-CN"/>
        </w:rPr>
        <w:t>亿人次，票款收入</w:t>
      </w:r>
      <w:r>
        <w:rPr>
          <w:rFonts w:hint="eastAsia" w:ascii="仿宋_GB2312" w:hAnsi="仿宋_GB2312" w:eastAsia="仿宋_GB2312" w:cs="仿宋_GB2312"/>
          <w:b w:val="0"/>
          <w:bCs w:val="0"/>
          <w:color w:val="auto"/>
          <w:sz w:val="32"/>
          <w:szCs w:val="32"/>
          <w:lang w:val="en-US" w:eastAsia="zh-CN"/>
        </w:rPr>
        <w:t>也因客流量下滑大幅缩减</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目前，</w:t>
      </w:r>
      <w:r>
        <w:rPr>
          <w:rFonts w:hint="eastAsia" w:ascii="仿宋_GB2312" w:hAnsi="仿宋_GB2312" w:eastAsia="仿宋_GB2312" w:cs="仿宋_GB2312"/>
          <w:b w:val="0"/>
          <w:bCs w:val="0"/>
          <w:color w:val="auto"/>
          <w:sz w:val="32"/>
          <w:szCs w:val="32"/>
          <w:lang w:eastAsia="zh-CN"/>
        </w:rPr>
        <w:t>我区公交行业</w:t>
      </w:r>
      <w:r>
        <w:rPr>
          <w:rFonts w:hint="eastAsia" w:ascii="仿宋_GB2312" w:hAnsi="仿宋_GB2312" w:eastAsia="仿宋_GB2312" w:cs="仿宋_GB2312"/>
          <w:b w:val="0"/>
          <w:bCs w:val="0"/>
          <w:color w:val="auto"/>
          <w:sz w:val="32"/>
          <w:szCs w:val="32"/>
          <w:lang w:val="en-US" w:eastAsia="zh-CN"/>
        </w:rPr>
        <w:t>已陷入经营亏损困境</w:t>
      </w:r>
      <w:r>
        <w:rPr>
          <w:rFonts w:hint="eastAsia" w:ascii="仿宋_GB2312" w:hAnsi="仿宋_GB2312" w:eastAsia="仿宋_GB2312" w:cs="仿宋_GB2312"/>
          <w:b w:val="0"/>
          <w:bCs w:val="0"/>
          <w:color w:val="auto"/>
          <w:sz w:val="32"/>
          <w:szCs w:val="32"/>
          <w:lang w:eastAsia="zh-CN"/>
        </w:rPr>
        <w:t>，各公交企业资产负债率普遍处于较高水平，企业经营风险持续累积，行业可持续发展面临</w:t>
      </w:r>
      <w:r>
        <w:rPr>
          <w:rFonts w:hint="eastAsia" w:ascii="仿宋_GB2312" w:hAnsi="仿宋_GB2312" w:eastAsia="仿宋_GB2312" w:cs="仿宋_GB2312"/>
          <w:b w:val="0"/>
          <w:bCs w:val="0"/>
          <w:color w:val="auto"/>
          <w:sz w:val="32"/>
          <w:szCs w:val="32"/>
          <w:lang w:val="en-US" w:eastAsia="zh-CN"/>
        </w:rPr>
        <w:t>较大</w:t>
      </w:r>
      <w:r>
        <w:rPr>
          <w:rFonts w:hint="eastAsia" w:ascii="仿宋_GB2312" w:hAnsi="仿宋_GB2312" w:eastAsia="仿宋_GB2312" w:cs="仿宋_GB2312"/>
          <w:b w:val="0"/>
          <w:bCs w:val="0"/>
          <w:color w:val="auto"/>
          <w:sz w:val="32"/>
          <w:szCs w:val="32"/>
          <w:lang w:eastAsia="zh-CN"/>
        </w:rPr>
        <w:t>挑战。</w:t>
      </w:r>
    </w:p>
    <w:p w14:paraId="7BF3FFF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val="0"/>
          <w:sz w:val="32"/>
          <w:szCs w:val="32"/>
          <w:lang w:val="en" w:eastAsia="zh-CN"/>
        </w:rPr>
      </w:pPr>
      <w:r>
        <w:rPr>
          <w:rFonts w:hint="eastAsia" w:ascii="黑体" w:hAnsi="黑体" w:eastAsia="黑体" w:cs="黑体"/>
          <w:b w:val="0"/>
          <w:bCs w:val="0"/>
          <w:sz w:val="32"/>
          <w:szCs w:val="32"/>
          <w:lang w:eastAsia="zh-CN"/>
        </w:rPr>
        <w:t>二、现行公交基础票价</w:t>
      </w:r>
      <w:r>
        <w:rPr>
          <w:rFonts w:hint="eastAsia" w:ascii="黑体" w:hAnsi="黑体" w:eastAsia="黑体" w:cs="黑体"/>
          <w:b w:val="0"/>
          <w:bCs w:val="0"/>
          <w:sz w:val="32"/>
          <w:szCs w:val="32"/>
          <w:lang w:val="en" w:eastAsia="zh-CN"/>
        </w:rPr>
        <w:t>情况</w:t>
      </w:r>
    </w:p>
    <w:p w14:paraId="7D796F99">
      <w:pPr>
        <w:keepNext w:val="0"/>
        <w:keepLines w:val="0"/>
        <w:pageBreakBefore w:val="0"/>
        <w:widowControl w:val="0"/>
        <w:kinsoku/>
        <w:wordWrap/>
        <w:overflowPunct/>
        <w:topLinePunct w:val="0"/>
        <w:autoSpaceDE/>
        <w:autoSpaceDN/>
        <w:bidi w:val="0"/>
        <w:adjustRightInd w:val="0"/>
        <w:snapToGrid w:val="0"/>
        <w:spacing w:line="560" w:lineRule="exact"/>
        <w:ind w:firstLine="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（一）定价范围</w:t>
      </w:r>
    </w:p>
    <w:p w14:paraId="3C8A9398">
      <w:pPr>
        <w:keepNext w:val="0"/>
        <w:keepLines w:val="0"/>
        <w:pageBreakBefore w:val="0"/>
        <w:widowControl w:val="0"/>
        <w:kinsoku/>
        <w:wordWrap/>
        <w:overflowPunct/>
        <w:topLinePunct w:val="0"/>
        <w:autoSpaceDE/>
        <w:autoSpaceDN/>
        <w:bidi w:val="0"/>
        <w:adjustRightInd w:val="0"/>
        <w:snapToGrid w:val="0"/>
        <w:spacing w:line="560" w:lineRule="exact"/>
        <w:ind w:firstLine="0"/>
        <w:jc w:val="both"/>
        <w:textAlignment w:val="auto"/>
        <w:rPr>
          <w:rFonts w:hint="default" w:ascii="Times New Roman" w:hAnsi="Times New Roman" w:eastAsia="仿宋_GB2312" w:cs="Times New Roman"/>
          <w:color w:val="FF0000"/>
          <w:sz w:val="32"/>
          <w:szCs w:val="32"/>
          <w:u w:val="none"/>
          <w:lang w:val="en-US" w:eastAsia="zh-CN"/>
        </w:rPr>
      </w:pPr>
      <w:r>
        <w:rPr>
          <w:rFonts w:hint="default" w:ascii="Times New Roman" w:hAnsi="Times New Roman" w:eastAsia="仿宋_GB2312" w:cs="Times New Roman"/>
          <w:color w:val="000000"/>
          <w:sz w:val="32"/>
          <w:szCs w:val="32"/>
          <w:u w:val="none"/>
          <w:lang w:val="en-US" w:eastAsia="zh-CN"/>
        </w:rPr>
        <w:t>在本</w:t>
      </w:r>
      <w:r>
        <w:rPr>
          <w:rFonts w:hint="eastAsia" w:eastAsia="仿宋_GB2312" w:cs="Times New Roman"/>
          <w:color w:val="000000"/>
          <w:sz w:val="32"/>
          <w:szCs w:val="32"/>
          <w:u w:val="none"/>
          <w:lang w:val="en-US" w:eastAsia="zh-CN"/>
        </w:rPr>
        <w:t>区</w:t>
      </w:r>
      <w:r>
        <w:rPr>
          <w:rFonts w:hint="default" w:ascii="Times New Roman" w:hAnsi="Times New Roman" w:eastAsia="仿宋_GB2312" w:cs="Times New Roman"/>
          <w:color w:val="000000"/>
          <w:sz w:val="32"/>
          <w:szCs w:val="32"/>
          <w:u w:val="none"/>
          <w:lang w:val="en-US" w:eastAsia="zh-CN"/>
        </w:rPr>
        <w:t>行政区域内，</w:t>
      </w:r>
      <w:r>
        <w:rPr>
          <w:rFonts w:hint="eastAsia" w:ascii="Times New Roman" w:hAnsi="Times New Roman" w:eastAsia="仿宋_GB2312" w:cs="Times New Roman"/>
          <w:color w:val="000000"/>
          <w:sz w:val="32"/>
          <w:szCs w:val="32"/>
          <w:u w:val="none"/>
          <w:lang w:val="en-US" w:eastAsia="zh-CN"/>
        </w:rPr>
        <w:t>由区</w:t>
      </w:r>
      <w:r>
        <w:rPr>
          <w:rFonts w:hint="default" w:ascii="Times New Roman" w:hAnsi="Times New Roman" w:eastAsia="仿宋_GB2312" w:cs="Times New Roman"/>
          <w:color w:val="000000"/>
          <w:sz w:val="32"/>
          <w:szCs w:val="32"/>
          <w:u w:val="none"/>
          <w:lang w:val="en-US" w:eastAsia="zh-CN"/>
        </w:rPr>
        <w:t>交通运输行政管理部门</w:t>
      </w:r>
      <w:r>
        <w:rPr>
          <w:rFonts w:hint="eastAsia" w:ascii="Times New Roman" w:hAnsi="Times New Roman" w:eastAsia="仿宋_GB2312" w:cs="Times New Roman"/>
          <w:color w:val="000000"/>
          <w:sz w:val="32"/>
          <w:szCs w:val="32"/>
          <w:u w:val="none"/>
          <w:lang w:val="en-US" w:eastAsia="zh-CN"/>
        </w:rPr>
        <w:t>依照法定程序批准经营的公共汽车电车客运编码</w:t>
      </w:r>
      <w:r>
        <w:rPr>
          <w:rFonts w:hint="default" w:ascii="Times New Roman" w:hAnsi="Times New Roman" w:eastAsia="仿宋_GB2312" w:cs="Times New Roman"/>
          <w:color w:val="000000"/>
          <w:sz w:val="32"/>
          <w:szCs w:val="32"/>
          <w:u w:val="none"/>
          <w:lang w:val="en-US" w:eastAsia="zh-CN"/>
        </w:rPr>
        <w:t>公交线路票价实行政府定价管理。</w:t>
      </w:r>
    </w:p>
    <w:p w14:paraId="30BC6018">
      <w:pPr>
        <w:keepNext w:val="0"/>
        <w:keepLines w:val="0"/>
        <w:pageBreakBefore w:val="0"/>
        <w:widowControl w:val="0"/>
        <w:kinsoku/>
        <w:wordWrap/>
        <w:overflowPunct/>
        <w:topLinePunct w:val="0"/>
        <w:autoSpaceDE/>
        <w:autoSpaceDN/>
        <w:bidi w:val="0"/>
        <w:adjustRightInd w:val="0"/>
        <w:snapToGrid w:val="0"/>
        <w:spacing w:line="560" w:lineRule="exact"/>
        <w:ind w:firstLine="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w:t>
      </w:r>
      <w:r>
        <w:rPr>
          <w:rFonts w:hint="eastAsia" w:eastAsia="楷体_GB2312" w:cs="Times New Roman"/>
          <w:sz w:val="32"/>
          <w:szCs w:val="32"/>
          <w:lang w:val="en-US" w:eastAsia="zh-CN"/>
        </w:rPr>
        <w:t>二</w:t>
      </w:r>
      <w:r>
        <w:rPr>
          <w:rFonts w:hint="default" w:ascii="Times New Roman" w:hAnsi="Times New Roman" w:eastAsia="楷体_GB2312" w:cs="Times New Roman"/>
          <w:sz w:val="32"/>
          <w:szCs w:val="32"/>
          <w:lang w:val="en-US" w:eastAsia="zh-CN"/>
        </w:rPr>
        <w:t>）公交基础票价政策</w:t>
      </w:r>
    </w:p>
    <w:p w14:paraId="45D21E30">
      <w:pPr>
        <w:keepNext w:val="0"/>
        <w:keepLines w:val="0"/>
        <w:pageBreakBefore w:val="0"/>
        <w:widowControl w:val="0"/>
        <w:kinsoku/>
        <w:wordWrap/>
        <w:overflowPunct/>
        <w:topLinePunct w:val="0"/>
        <w:autoSpaceDE/>
        <w:autoSpaceDN/>
        <w:bidi w:val="0"/>
        <w:adjustRightInd w:val="0"/>
        <w:snapToGrid w:val="0"/>
        <w:spacing w:line="560" w:lineRule="exact"/>
        <w:ind w:firstLine="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1.公交基础票价标准</w:t>
      </w:r>
    </w:p>
    <w:p w14:paraId="1E9F496F">
      <w:pPr>
        <w:pStyle w:val="7"/>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lang w:val="en-US" w:eastAsia="zh-CN"/>
        </w:rPr>
      </w:pPr>
      <w:r>
        <w:rPr>
          <w:rFonts w:hint="eastAsia" w:ascii="Times New Roman" w:hAnsi="Times New Roman" w:eastAsia="仿宋_GB2312" w:cs="Times New Roman"/>
          <w:color w:val="000000"/>
          <w:kern w:val="2"/>
          <w:sz w:val="32"/>
          <w:szCs w:val="32"/>
          <w:u w:val="none"/>
          <w:lang w:val="en-US" w:eastAsia="zh-CN" w:bidi="ar-SA"/>
        </w:rPr>
        <w:t>我区公交基础票价按线路营运里程确定，分日班车、夜班车、快车三种类型分别定价。</w:t>
      </w:r>
    </w:p>
    <w:p w14:paraId="22F5C155">
      <w:pPr>
        <w:pStyle w:val="7"/>
        <w:spacing w:line="580" w:lineRule="exact"/>
        <w:ind w:firstLine="0" w:firstLineChars="0"/>
        <w:jc w:val="center"/>
        <w:rPr>
          <w:rFonts w:hint="eastAsia" w:ascii="黑体" w:hAnsi="黑体" w:eastAsia="黑体" w:cs="黑体"/>
          <w:sz w:val="28"/>
          <w:szCs w:val="28"/>
          <w:lang w:eastAsia="zh-CN"/>
        </w:rPr>
      </w:pPr>
      <w:r>
        <w:rPr>
          <w:rFonts w:hint="eastAsia" w:ascii="黑体" w:hAnsi="黑体" w:eastAsia="黑体" w:cs="黑体"/>
          <w:sz w:val="28"/>
          <w:szCs w:val="28"/>
          <w:lang w:eastAsia="zh-CN"/>
        </w:rPr>
        <w:t>我</w:t>
      </w:r>
      <w:r>
        <w:rPr>
          <w:rFonts w:hint="eastAsia" w:ascii="黑体" w:hAnsi="黑体" w:eastAsia="黑体" w:cs="黑体"/>
          <w:sz w:val="28"/>
          <w:szCs w:val="28"/>
          <w:lang w:val="en-US" w:eastAsia="zh-CN"/>
        </w:rPr>
        <w:t>区</w:t>
      </w:r>
      <w:r>
        <w:rPr>
          <w:rFonts w:hint="eastAsia" w:ascii="黑体" w:hAnsi="黑体" w:eastAsia="黑体" w:cs="黑体"/>
          <w:sz w:val="28"/>
          <w:szCs w:val="28"/>
          <w:lang w:eastAsia="zh-CN"/>
        </w:rPr>
        <w:t>现行公交基础</w:t>
      </w:r>
      <w:r>
        <w:rPr>
          <w:rFonts w:hint="eastAsia" w:ascii="黑体" w:hAnsi="黑体" w:eastAsia="黑体" w:cs="黑体"/>
          <w:sz w:val="28"/>
          <w:szCs w:val="28"/>
        </w:rPr>
        <w:t>票价与</w:t>
      </w:r>
      <w:r>
        <w:rPr>
          <w:rFonts w:hint="eastAsia" w:ascii="黑体" w:hAnsi="黑体" w:eastAsia="黑体" w:cs="黑体"/>
          <w:sz w:val="28"/>
          <w:szCs w:val="28"/>
          <w:lang w:eastAsia="zh-CN"/>
        </w:rPr>
        <w:t>全程</w:t>
      </w:r>
      <w:r>
        <w:rPr>
          <w:rFonts w:hint="eastAsia" w:ascii="黑体" w:hAnsi="黑体" w:eastAsia="黑体" w:cs="黑体"/>
          <w:sz w:val="28"/>
          <w:szCs w:val="28"/>
        </w:rPr>
        <w:t>营运里程对应</w:t>
      </w:r>
      <w:r>
        <w:rPr>
          <w:rFonts w:hint="eastAsia" w:ascii="黑体" w:hAnsi="黑体" w:eastAsia="黑体" w:cs="黑体"/>
          <w:sz w:val="28"/>
          <w:szCs w:val="28"/>
          <w:lang w:eastAsia="zh-CN"/>
        </w:rPr>
        <w:t>表</w:t>
      </w:r>
    </w:p>
    <w:tbl>
      <w:tblPr>
        <w:tblStyle w:val="8"/>
        <w:tblW w:w="83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8"/>
        <w:gridCol w:w="4272"/>
        <w:gridCol w:w="2450"/>
      </w:tblGrid>
      <w:tr w14:paraId="44AE0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restart"/>
            <w:tcBorders>
              <w:top w:val="single" w:color="000000" w:sz="4" w:space="0"/>
              <w:left w:val="single" w:color="000000" w:sz="4" w:space="0"/>
              <w:bottom w:val="single" w:color="000000" w:sz="4" w:space="0"/>
              <w:right w:val="single" w:color="000000" w:sz="4" w:space="0"/>
            </w:tcBorders>
            <w:vAlign w:val="center"/>
          </w:tcPr>
          <w:p w14:paraId="759EFA6E">
            <w:pPr>
              <w:widowControl/>
              <w:ind w:firstLine="0" w:firstLineChars="0"/>
              <w:jc w:val="center"/>
              <w:textAlignment w:val="center"/>
              <w:rPr>
                <w:rFonts w:hint="eastAsia" w:ascii="黑体" w:hAnsi="黑体" w:eastAsia="黑体" w:cs="黑体"/>
                <w:b w:val="0"/>
                <w:bCs w:val="0"/>
                <w:i w:val="0"/>
                <w:iCs w:val="0"/>
                <w:color w:val="000000"/>
                <w:kern w:val="0"/>
                <w:sz w:val="21"/>
                <w:szCs w:val="21"/>
                <w:u w:val="none"/>
                <w:lang w:eastAsia="zh-CN" w:bidi="ar"/>
              </w:rPr>
            </w:pPr>
            <w:r>
              <w:rPr>
                <w:rFonts w:hint="eastAsia" w:ascii="黑体" w:hAnsi="黑体" w:eastAsia="黑体" w:cs="黑体"/>
                <w:b w:val="0"/>
                <w:bCs w:val="0"/>
                <w:i w:val="0"/>
                <w:iCs w:val="0"/>
                <w:color w:val="000000"/>
                <w:kern w:val="0"/>
                <w:sz w:val="21"/>
                <w:szCs w:val="21"/>
                <w:u w:val="none"/>
                <w:lang w:eastAsia="zh-CN" w:bidi="ar"/>
              </w:rPr>
              <w:t>线路类型</w:t>
            </w:r>
          </w:p>
        </w:tc>
        <w:tc>
          <w:tcPr>
            <w:tcW w:w="6722" w:type="dxa"/>
            <w:gridSpan w:val="2"/>
            <w:tcBorders>
              <w:top w:val="single" w:color="000000" w:sz="4" w:space="0"/>
              <w:left w:val="single" w:color="000000" w:sz="4" w:space="0"/>
              <w:bottom w:val="single" w:color="000000" w:sz="4" w:space="0"/>
              <w:right w:val="single" w:color="000000" w:sz="4" w:space="0"/>
            </w:tcBorders>
            <w:vAlign w:val="center"/>
          </w:tcPr>
          <w:p w14:paraId="53AB73F8">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bidi="ar"/>
              </w:rPr>
            </w:pPr>
            <w:r>
              <w:rPr>
                <w:rFonts w:hint="eastAsia" w:ascii="黑体" w:hAnsi="黑体" w:eastAsia="黑体" w:cs="黑体"/>
                <w:b w:val="0"/>
                <w:bCs w:val="0"/>
                <w:i w:val="0"/>
                <w:iCs w:val="0"/>
                <w:color w:val="000000"/>
                <w:kern w:val="0"/>
                <w:sz w:val="21"/>
                <w:szCs w:val="21"/>
                <w:u w:val="none"/>
                <w:lang w:val="en-US" w:eastAsia="zh-CN" w:bidi="ar"/>
              </w:rPr>
              <w:t>票价标准</w:t>
            </w:r>
          </w:p>
        </w:tc>
      </w:tr>
      <w:tr w14:paraId="142A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628" w:type="dxa"/>
            <w:vMerge w:val="continue"/>
            <w:tcBorders>
              <w:top w:val="single" w:color="000000" w:sz="4" w:space="0"/>
              <w:left w:val="single" w:color="000000" w:sz="4" w:space="0"/>
              <w:bottom w:val="single" w:color="000000" w:sz="4" w:space="0"/>
              <w:right w:val="single" w:color="000000" w:sz="4" w:space="0"/>
            </w:tcBorders>
            <w:vAlign w:val="center"/>
          </w:tcPr>
          <w:p w14:paraId="2404E43F">
            <w:pPr>
              <w:widowControl/>
              <w:ind w:firstLine="0" w:firstLineChars="0"/>
              <w:jc w:val="center"/>
              <w:textAlignment w:val="center"/>
              <w:rPr>
                <w:rFonts w:hint="eastAsia" w:ascii="黑体" w:hAnsi="黑体" w:eastAsia="黑体" w:cs="黑体"/>
                <w:b w:val="0"/>
                <w:bCs w:val="0"/>
                <w:i w:val="0"/>
                <w:iCs w:val="0"/>
                <w:color w:val="000000"/>
                <w:kern w:val="0"/>
                <w:sz w:val="21"/>
                <w:szCs w:val="21"/>
                <w:u w:val="none"/>
                <w:lang w:bidi="ar"/>
              </w:rPr>
            </w:pPr>
          </w:p>
        </w:tc>
        <w:tc>
          <w:tcPr>
            <w:tcW w:w="4272" w:type="dxa"/>
            <w:tcBorders>
              <w:top w:val="single" w:color="000000" w:sz="4" w:space="0"/>
              <w:left w:val="single" w:color="000000" w:sz="4" w:space="0"/>
              <w:bottom w:val="single" w:color="000000" w:sz="4" w:space="0"/>
              <w:right w:val="single" w:color="000000" w:sz="4" w:space="0"/>
            </w:tcBorders>
            <w:vAlign w:val="center"/>
          </w:tcPr>
          <w:p w14:paraId="26848736">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全程营运里程（公里）</w:t>
            </w:r>
          </w:p>
        </w:tc>
        <w:tc>
          <w:tcPr>
            <w:tcW w:w="2450" w:type="dxa"/>
            <w:tcBorders>
              <w:top w:val="single" w:color="000000" w:sz="4" w:space="0"/>
              <w:left w:val="single" w:color="000000" w:sz="4" w:space="0"/>
              <w:bottom w:val="single" w:color="000000" w:sz="4" w:space="0"/>
              <w:right w:val="single" w:color="000000" w:sz="4" w:space="0"/>
            </w:tcBorders>
            <w:vAlign w:val="center"/>
          </w:tcPr>
          <w:p w14:paraId="08003472">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票价（元/</w:t>
            </w:r>
            <w:r>
              <w:rPr>
                <w:rFonts w:hint="default" w:ascii="Times New Roman" w:hAnsi="Times New Roman" w:eastAsia="仿宋_GB2312" w:cs="Times New Roman"/>
                <w:b w:val="0"/>
                <w:bCs w:val="0"/>
                <w:kern w:val="0"/>
                <w:sz w:val="21"/>
                <w:szCs w:val="21"/>
              </w:rPr>
              <w:t>人·次</w:t>
            </w:r>
            <w:r>
              <w:rPr>
                <w:rFonts w:hint="default" w:ascii="Times New Roman" w:hAnsi="Times New Roman" w:eastAsia="仿宋_GB2312" w:cs="Times New Roman"/>
                <w:b w:val="0"/>
                <w:bCs w:val="0"/>
                <w:i w:val="0"/>
                <w:iCs w:val="0"/>
                <w:color w:val="000000"/>
                <w:kern w:val="0"/>
                <w:sz w:val="21"/>
                <w:szCs w:val="21"/>
                <w:u w:val="none"/>
                <w:lang w:val="en-US" w:eastAsia="zh-CN" w:bidi="ar"/>
              </w:rPr>
              <w:t>）</w:t>
            </w:r>
          </w:p>
        </w:tc>
      </w:tr>
      <w:tr w14:paraId="6211D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restart"/>
            <w:tcBorders>
              <w:top w:val="single" w:color="000000" w:sz="4" w:space="0"/>
              <w:left w:val="single" w:color="000000" w:sz="4" w:space="0"/>
              <w:bottom w:val="single" w:color="000000" w:sz="4" w:space="0"/>
              <w:right w:val="single" w:color="000000" w:sz="4" w:space="0"/>
            </w:tcBorders>
            <w:vAlign w:val="center"/>
          </w:tcPr>
          <w:p w14:paraId="593F6F25">
            <w:pPr>
              <w:keepNext w:val="0"/>
              <w:keepLines w:val="0"/>
              <w:widowControl/>
              <w:suppressLineNumbers w:val="0"/>
              <w:ind w:firstLine="0" w:firstLineChars="0"/>
              <w:jc w:val="center"/>
              <w:textAlignment w:val="center"/>
              <w:rPr>
                <w:rFonts w:hint="eastAsia" w:ascii="黑体" w:hAnsi="黑体" w:eastAsia="黑体" w:cs="黑体"/>
                <w:b w:val="0"/>
                <w:bCs w:val="0"/>
                <w:i w:val="0"/>
                <w:color w:val="000000"/>
                <w:sz w:val="21"/>
                <w:szCs w:val="21"/>
                <w:u w:val="none"/>
              </w:rPr>
            </w:pPr>
            <w:r>
              <w:rPr>
                <w:rFonts w:hint="eastAsia" w:ascii="黑体" w:hAnsi="黑体" w:eastAsia="黑体" w:cs="黑体"/>
                <w:b w:val="0"/>
                <w:bCs w:val="0"/>
                <w:i w:val="0"/>
                <w:color w:val="000000"/>
                <w:kern w:val="0"/>
                <w:sz w:val="21"/>
                <w:szCs w:val="21"/>
                <w:u w:val="none"/>
                <w:lang w:val="en-US" w:eastAsia="zh-CN" w:bidi="ar"/>
              </w:rPr>
              <w:t>日班车</w:t>
            </w:r>
          </w:p>
        </w:tc>
        <w:tc>
          <w:tcPr>
            <w:tcW w:w="4272" w:type="dxa"/>
            <w:tcBorders>
              <w:top w:val="single" w:color="000000" w:sz="4" w:space="0"/>
              <w:left w:val="single" w:color="000000" w:sz="4" w:space="0"/>
              <w:bottom w:val="single" w:color="000000" w:sz="4" w:space="0"/>
              <w:right w:val="single" w:color="000000" w:sz="4" w:space="0"/>
            </w:tcBorders>
            <w:vAlign w:val="center"/>
          </w:tcPr>
          <w:p w14:paraId="787C7117">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≤11.33</w:t>
            </w:r>
          </w:p>
        </w:tc>
        <w:tc>
          <w:tcPr>
            <w:tcW w:w="2450" w:type="dxa"/>
            <w:tcBorders>
              <w:top w:val="single" w:color="000000" w:sz="4" w:space="0"/>
              <w:left w:val="single" w:color="000000" w:sz="4" w:space="0"/>
              <w:bottom w:val="single" w:color="000000" w:sz="4" w:space="0"/>
              <w:right w:val="single" w:color="000000" w:sz="4" w:space="0"/>
            </w:tcBorders>
            <w:vAlign w:val="center"/>
          </w:tcPr>
          <w:p w14:paraId="02160B79">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1</w:t>
            </w:r>
          </w:p>
        </w:tc>
      </w:tr>
      <w:tr w14:paraId="1978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continue"/>
            <w:tcBorders>
              <w:top w:val="single" w:color="000000" w:sz="4" w:space="0"/>
              <w:left w:val="single" w:color="000000" w:sz="4" w:space="0"/>
              <w:bottom w:val="single" w:color="000000" w:sz="4" w:space="0"/>
              <w:right w:val="single" w:color="000000" w:sz="4" w:space="0"/>
            </w:tcBorders>
            <w:vAlign w:val="center"/>
          </w:tcPr>
          <w:p w14:paraId="6592BEAC">
            <w:pPr>
              <w:jc w:val="center"/>
              <w:rPr>
                <w:rFonts w:hint="eastAsia" w:ascii="黑体" w:hAnsi="黑体" w:eastAsia="黑体" w:cs="黑体"/>
                <w:b w:val="0"/>
                <w:bCs w:val="0"/>
                <w:i w:val="0"/>
                <w:color w:val="000000"/>
                <w:sz w:val="21"/>
                <w:szCs w:val="21"/>
                <w:u w:val="none"/>
              </w:rPr>
            </w:pPr>
          </w:p>
        </w:tc>
        <w:tc>
          <w:tcPr>
            <w:tcW w:w="4272" w:type="dxa"/>
            <w:tcBorders>
              <w:top w:val="single" w:color="000000" w:sz="4" w:space="0"/>
              <w:left w:val="single" w:color="000000" w:sz="4" w:space="0"/>
              <w:bottom w:val="single" w:color="000000" w:sz="4" w:space="0"/>
              <w:right w:val="single" w:color="000000" w:sz="4" w:space="0"/>
            </w:tcBorders>
            <w:vAlign w:val="center"/>
          </w:tcPr>
          <w:p w14:paraId="110F23D3">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11.33～22.65（含）</w:t>
            </w:r>
          </w:p>
        </w:tc>
        <w:tc>
          <w:tcPr>
            <w:tcW w:w="2450" w:type="dxa"/>
            <w:tcBorders>
              <w:top w:val="single" w:color="000000" w:sz="4" w:space="0"/>
              <w:left w:val="single" w:color="000000" w:sz="4" w:space="0"/>
              <w:bottom w:val="single" w:color="000000" w:sz="4" w:space="0"/>
              <w:right w:val="single" w:color="000000" w:sz="4" w:space="0"/>
            </w:tcBorders>
            <w:vAlign w:val="center"/>
          </w:tcPr>
          <w:p w14:paraId="5E500B94">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2</w:t>
            </w:r>
          </w:p>
        </w:tc>
      </w:tr>
      <w:tr w14:paraId="2CDF2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continue"/>
            <w:tcBorders>
              <w:top w:val="single" w:color="000000" w:sz="4" w:space="0"/>
              <w:left w:val="single" w:color="000000" w:sz="4" w:space="0"/>
              <w:bottom w:val="single" w:color="000000" w:sz="4" w:space="0"/>
              <w:right w:val="single" w:color="000000" w:sz="4" w:space="0"/>
            </w:tcBorders>
            <w:vAlign w:val="center"/>
          </w:tcPr>
          <w:p w14:paraId="6E5FDCD3">
            <w:pPr>
              <w:jc w:val="center"/>
              <w:rPr>
                <w:rFonts w:hint="eastAsia" w:ascii="黑体" w:hAnsi="黑体" w:eastAsia="黑体" w:cs="黑体"/>
                <w:b w:val="0"/>
                <w:bCs w:val="0"/>
                <w:i w:val="0"/>
                <w:color w:val="000000"/>
                <w:sz w:val="21"/>
                <w:szCs w:val="21"/>
                <w:u w:val="none"/>
              </w:rPr>
            </w:pPr>
          </w:p>
        </w:tc>
        <w:tc>
          <w:tcPr>
            <w:tcW w:w="4272" w:type="dxa"/>
            <w:tcBorders>
              <w:top w:val="single" w:color="000000" w:sz="4" w:space="0"/>
              <w:left w:val="single" w:color="000000" w:sz="4" w:space="0"/>
              <w:bottom w:val="single" w:color="000000" w:sz="4" w:space="0"/>
              <w:right w:val="single" w:color="000000" w:sz="4" w:space="0"/>
            </w:tcBorders>
            <w:vAlign w:val="center"/>
          </w:tcPr>
          <w:p w14:paraId="539F7B43">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22.65～31.71（含）</w:t>
            </w:r>
          </w:p>
        </w:tc>
        <w:tc>
          <w:tcPr>
            <w:tcW w:w="2450" w:type="dxa"/>
            <w:tcBorders>
              <w:top w:val="single" w:color="000000" w:sz="4" w:space="0"/>
              <w:left w:val="single" w:color="000000" w:sz="4" w:space="0"/>
              <w:bottom w:val="single" w:color="000000" w:sz="4" w:space="0"/>
              <w:right w:val="single" w:color="000000" w:sz="4" w:space="0"/>
            </w:tcBorders>
            <w:vAlign w:val="center"/>
          </w:tcPr>
          <w:p w14:paraId="1F45DED0">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kern w:val="0"/>
                <w:sz w:val="21"/>
                <w:szCs w:val="21"/>
                <w:u w:val="none"/>
                <w:lang w:bidi="ar"/>
              </w:rPr>
            </w:pPr>
            <w:r>
              <w:rPr>
                <w:rFonts w:hint="default" w:ascii="Times New Roman" w:hAnsi="Times New Roman" w:eastAsia="仿宋_GB2312" w:cs="Times New Roman"/>
                <w:b w:val="0"/>
                <w:bCs w:val="0"/>
                <w:i w:val="0"/>
                <w:color w:val="000000"/>
                <w:kern w:val="0"/>
                <w:sz w:val="21"/>
                <w:szCs w:val="21"/>
                <w:u w:val="none"/>
                <w:lang w:val="en-US" w:eastAsia="zh-CN" w:bidi="ar"/>
              </w:rPr>
              <w:t>3</w:t>
            </w:r>
          </w:p>
        </w:tc>
      </w:tr>
      <w:tr w14:paraId="3770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1628" w:type="dxa"/>
            <w:vMerge w:val="continue"/>
            <w:tcBorders>
              <w:top w:val="single" w:color="000000" w:sz="4" w:space="0"/>
              <w:left w:val="single" w:color="000000" w:sz="4" w:space="0"/>
              <w:bottom w:val="single" w:color="000000" w:sz="4" w:space="0"/>
              <w:right w:val="single" w:color="000000" w:sz="4" w:space="0"/>
            </w:tcBorders>
            <w:vAlign w:val="center"/>
          </w:tcPr>
          <w:p w14:paraId="731044BE">
            <w:pPr>
              <w:jc w:val="center"/>
              <w:rPr>
                <w:rFonts w:hint="eastAsia" w:ascii="黑体" w:hAnsi="黑体" w:eastAsia="黑体" w:cs="黑体"/>
                <w:b w:val="0"/>
                <w:bCs w:val="0"/>
                <w:i w:val="0"/>
                <w:color w:val="000000"/>
                <w:sz w:val="21"/>
                <w:szCs w:val="21"/>
                <w:u w:val="none"/>
              </w:rPr>
            </w:pPr>
          </w:p>
        </w:tc>
        <w:tc>
          <w:tcPr>
            <w:tcW w:w="4272" w:type="dxa"/>
            <w:tcBorders>
              <w:top w:val="single" w:color="000000" w:sz="4" w:space="0"/>
              <w:left w:val="single" w:color="000000" w:sz="4" w:space="0"/>
              <w:bottom w:val="single" w:color="000000" w:sz="4" w:space="0"/>
              <w:right w:val="single" w:color="000000" w:sz="4" w:space="0"/>
            </w:tcBorders>
            <w:vAlign w:val="center"/>
          </w:tcPr>
          <w:p w14:paraId="11268FCD">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31.71～40.77（含）</w:t>
            </w:r>
          </w:p>
        </w:tc>
        <w:tc>
          <w:tcPr>
            <w:tcW w:w="2450" w:type="dxa"/>
            <w:tcBorders>
              <w:top w:val="single" w:color="000000" w:sz="4" w:space="0"/>
              <w:left w:val="single" w:color="000000" w:sz="4" w:space="0"/>
              <w:bottom w:val="single" w:color="000000" w:sz="4" w:space="0"/>
              <w:right w:val="single" w:color="000000" w:sz="4" w:space="0"/>
            </w:tcBorders>
            <w:vAlign w:val="center"/>
          </w:tcPr>
          <w:p w14:paraId="47CB0E43">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kern w:val="0"/>
                <w:sz w:val="21"/>
                <w:szCs w:val="21"/>
                <w:u w:val="none"/>
                <w:lang w:bidi="ar"/>
              </w:rPr>
            </w:pPr>
            <w:r>
              <w:rPr>
                <w:rFonts w:hint="default" w:ascii="Times New Roman" w:hAnsi="Times New Roman" w:eastAsia="仿宋_GB2312" w:cs="Times New Roman"/>
                <w:b w:val="0"/>
                <w:bCs w:val="0"/>
                <w:i w:val="0"/>
                <w:color w:val="000000"/>
                <w:kern w:val="0"/>
                <w:sz w:val="21"/>
                <w:szCs w:val="21"/>
                <w:u w:val="none"/>
                <w:lang w:val="en-US" w:eastAsia="zh-CN" w:bidi="ar"/>
              </w:rPr>
              <w:t>4</w:t>
            </w:r>
          </w:p>
        </w:tc>
      </w:tr>
      <w:tr w14:paraId="58F1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continue"/>
            <w:tcBorders>
              <w:top w:val="single" w:color="000000" w:sz="4" w:space="0"/>
              <w:left w:val="single" w:color="000000" w:sz="4" w:space="0"/>
              <w:bottom w:val="single" w:color="000000" w:sz="4" w:space="0"/>
              <w:right w:val="single" w:color="000000" w:sz="4" w:space="0"/>
            </w:tcBorders>
            <w:vAlign w:val="center"/>
          </w:tcPr>
          <w:p w14:paraId="0FB3CB8A">
            <w:pPr>
              <w:jc w:val="center"/>
              <w:rPr>
                <w:rFonts w:hint="eastAsia" w:ascii="黑体" w:hAnsi="黑体" w:eastAsia="黑体" w:cs="黑体"/>
                <w:b w:val="0"/>
                <w:bCs w:val="0"/>
                <w:i w:val="0"/>
                <w:color w:val="000000"/>
                <w:sz w:val="21"/>
                <w:szCs w:val="21"/>
                <w:u w:val="none"/>
              </w:rPr>
            </w:pPr>
          </w:p>
        </w:tc>
        <w:tc>
          <w:tcPr>
            <w:tcW w:w="4272" w:type="dxa"/>
            <w:tcBorders>
              <w:top w:val="single" w:color="000000" w:sz="4" w:space="0"/>
              <w:left w:val="single" w:color="000000" w:sz="4" w:space="0"/>
              <w:bottom w:val="single" w:color="000000" w:sz="4" w:space="0"/>
              <w:right w:val="single" w:color="000000" w:sz="4" w:space="0"/>
            </w:tcBorders>
            <w:vAlign w:val="center"/>
          </w:tcPr>
          <w:p w14:paraId="0000A051">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40.77～49.83（含）</w:t>
            </w:r>
          </w:p>
        </w:tc>
        <w:tc>
          <w:tcPr>
            <w:tcW w:w="2450" w:type="dxa"/>
            <w:tcBorders>
              <w:top w:val="single" w:color="000000" w:sz="4" w:space="0"/>
              <w:left w:val="single" w:color="000000" w:sz="4" w:space="0"/>
              <w:bottom w:val="single" w:color="000000" w:sz="4" w:space="0"/>
              <w:right w:val="single" w:color="000000" w:sz="4" w:space="0"/>
            </w:tcBorders>
            <w:vAlign w:val="center"/>
          </w:tcPr>
          <w:p w14:paraId="7F4C8962">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kern w:val="0"/>
                <w:sz w:val="21"/>
                <w:szCs w:val="21"/>
                <w:u w:val="none"/>
                <w:lang w:bidi="ar"/>
              </w:rPr>
            </w:pPr>
            <w:r>
              <w:rPr>
                <w:rFonts w:hint="default" w:ascii="Times New Roman" w:hAnsi="Times New Roman" w:eastAsia="仿宋_GB2312" w:cs="Times New Roman"/>
                <w:b w:val="0"/>
                <w:bCs w:val="0"/>
                <w:i w:val="0"/>
                <w:color w:val="000000"/>
                <w:kern w:val="0"/>
                <w:sz w:val="21"/>
                <w:szCs w:val="21"/>
                <w:u w:val="none"/>
                <w:lang w:val="en-US" w:eastAsia="zh-CN" w:bidi="ar"/>
              </w:rPr>
              <w:t>5</w:t>
            </w:r>
          </w:p>
        </w:tc>
      </w:tr>
      <w:tr w14:paraId="4C20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restart"/>
            <w:tcBorders>
              <w:top w:val="single" w:color="000000" w:sz="4" w:space="0"/>
              <w:left w:val="single" w:color="000000" w:sz="4" w:space="0"/>
              <w:bottom w:val="single" w:color="000000" w:sz="4" w:space="0"/>
              <w:right w:val="single" w:color="000000" w:sz="4" w:space="0"/>
            </w:tcBorders>
            <w:vAlign w:val="center"/>
          </w:tcPr>
          <w:p w14:paraId="247106F8">
            <w:pPr>
              <w:keepNext w:val="0"/>
              <w:keepLines w:val="0"/>
              <w:widowControl/>
              <w:suppressLineNumbers w:val="0"/>
              <w:ind w:firstLine="0" w:firstLineChars="0"/>
              <w:jc w:val="center"/>
              <w:textAlignment w:val="center"/>
              <w:rPr>
                <w:rFonts w:hint="eastAsia" w:ascii="黑体" w:hAnsi="黑体" w:eastAsia="黑体" w:cs="黑体"/>
                <w:b w:val="0"/>
                <w:bCs w:val="0"/>
                <w:i w:val="0"/>
                <w:color w:val="000000"/>
                <w:sz w:val="21"/>
                <w:szCs w:val="21"/>
                <w:u w:val="none"/>
              </w:rPr>
            </w:pPr>
            <w:r>
              <w:rPr>
                <w:rFonts w:hint="eastAsia" w:ascii="黑体" w:hAnsi="黑体" w:eastAsia="黑体" w:cs="黑体"/>
                <w:b w:val="0"/>
                <w:bCs w:val="0"/>
                <w:i w:val="0"/>
                <w:color w:val="000000"/>
                <w:kern w:val="0"/>
                <w:sz w:val="21"/>
                <w:szCs w:val="21"/>
                <w:u w:val="none"/>
                <w:lang w:val="en-US" w:eastAsia="zh-CN" w:bidi="ar"/>
              </w:rPr>
              <w:t>夜班车</w:t>
            </w:r>
          </w:p>
        </w:tc>
        <w:tc>
          <w:tcPr>
            <w:tcW w:w="4272" w:type="dxa"/>
            <w:tcBorders>
              <w:top w:val="single" w:color="000000" w:sz="4" w:space="0"/>
              <w:left w:val="single" w:color="000000" w:sz="4" w:space="0"/>
              <w:bottom w:val="single" w:color="000000" w:sz="4" w:space="0"/>
              <w:right w:val="single" w:color="000000" w:sz="4" w:space="0"/>
            </w:tcBorders>
            <w:vAlign w:val="center"/>
          </w:tcPr>
          <w:p w14:paraId="36CDB78D">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≤21.49</w:t>
            </w:r>
          </w:p>
        </w:tc>
        <w:tc>
          <w:tcPr>
            <w:tcW w:w="2450" w:type="dxa"/>
            <w:tcBorders>
              <w:top w:val="single" w:color="000000" w:sz="4" w:space="0"/>
              <w:left w:val="single" w:color="000000" w:sz="4" w:space="0"/>
              <w:bottom w:val="single" w:color="000000" w:sz="4" w:space="0"/>
              <w:right w:val="single" w:color="000000" w:sz="4" w:space="0"/>
            </w:tcBorders>
            <w:vAlign w:val="center"/>
          </w:tcPr>
          <w:p w14:paraId="4D3BD5B9">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kern w:val="0"/>
                <w:sz w:val="21"/>
                <w:szCs w:val="21"/>
                <w:u w:val="none"/>
                <w:lang w:bidi="ar"/>
              </w:rPr>
            </w:pPr>
            <w:r>
              <w:rPr>
                <w:rFonts w:hint="default" w:ascii="Times New Roman" w:hAnsi="Times New Roman" w:eastAsia="仿宋_GB2312" w:cs="Times New Roman"/>
                <w:b w:val="0"/>
                <w:bCs w:val="0"/>
                <w:i w:val="0"/>
                <w:color w:val="000000"/>
                <w:kern w:val="0"/>
                <w:sz w:val="21"/>
                <w:szCs w:val="21"/>
                <w:u w:val="none"/>
                <w:lang w:val="en-US" w:eastAsia="zh-CN" w:bidi="ar"/>
              </w:rPr>
              <w:t>3</w:t>
            </w:r>
          </w:p>
        </w:tc>
      </w:tr>
      <w:tr w14:paraId="50294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vMerge w:val="continue"/>
            <w:tcBorders>
              <w:top w:val="single" w:color="000000" w:sz="4" w:space="0"/>
              <w:left w:val="single" w:color="000000" w:sz="4" w:space="0"/>
              <w:bottom w:val="single" w:color="000000" w:sz="4" w:space="0"/>
              <w:right w:val="single" w:color="000000" w:sz="4" w:space="0"/>
            </w:tcBorders>
            <w:vAlign w:val="center"/>
          </w:tcPr>
          <w:p w14:paraId="625EC213">
            <w:pPr>
              <w:jc w:val="center"/>
              <w:rPr>
                <w:rFonts w:hint="eastAsia" w:ascii="黑体" w:hAnsi="黑体" w:eastAsia="黑体" w:cs="黑体"/>
                <w:b w:val="0"/>
                <w:bCs w:val="0"/>
                <w:i w:val="0"/>
                <w:color w:val="000000"/>
                <w:sz w:val="21"/>
                <w:szCs w:val="21"/>
                <w:u w:val="none"/>
              </w:rPr>
            </w:pPr>
          </w:p>
        </w:tc>
        <w:tc>
          <w:tcPr>
            <w:tcW w:w="4272" w:type="dxa"/>
            <w:tcBorders>
              <w:top w:val="single" w:color="000000" w:sz="4" w:space="0"/>
              <w:left w:val="single" w:color="000000" w:sz="4" w:space="0"/>
              <w:bottom w:val="single" w:color="000000" w:sz="4" w:space="0"/>
              <w:right w:val="single" w:color="000000" w:sz="4" w:space="0"/>
            </w:tcBorders>
            <w:vAlign w:val="center"/>
          </w:tcPr>
          <w:p w14:paraId="030E5BD3">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 w:eastAsia="zh-CN" w:bidi="ar"/>
              </w:rPr>
              <w:t>&gt;</w:t>
            </w:r>
            <w:r>
              <w:rPr>
                <w:rFonts w:hint="default" w:ascii="Times New Roman" w:hAnsi="Times New Roman" w:eastAsia="仿宋_GB2312" w:cs="Times New Roman"/>
                <w:b w:val="0"/>
                <w:bCs w:val="0"/>
                <w:i w:val="0"/>
                <w:color w:val="000000"/>
                <w:kern w:val="0"/>
                <w:sz w:val="21"/>
                <w:szCs w:val="21"/>
                <w:u w:val="none"/>
                <w:lang w:val="en-US" w:eastAsia="zh-CN" w:bidi="ar"/>
              </w:rPr>
              <w:t>21.49</w:t>
            </w:r>
          </w:p>
        </w:tc>
        <w:tc>
          <w:tcPr>
            <w:tcW w:w="2450" w:type="dxa"/>
            <w:tcBorders>
              <w:top w:val="single" w:color="000000" w:sz="4" w:space="0"/>
              <w:left w:val="single" w:color="000000" w:sz="4" w:space="0"/>
              <w:bottom w:val="single" w:color="000000" w:sz="4" w:space="0"/>
              <w:right w:val="single" w:color="000000" w:sz="4" w:space="0"/>
            </w:tcBorders>
            <w:vAlign w:val="center"/>
          </w:tcPr>
          <w:p w14:paraId="31DB9D32">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kern w:val="0"/>
                <w:sz w:val="21"/>
                <w:szCs w:val="21"/>
                <w:u w:val="none"/>
                <w:lang w:bidi="ar"/>
              </w:rPr>
            </w:pPr>
            <w:r>
              <w:rPr>
                <w:rFonts w:hint="default" w:ascii="Times New Roman" w:hAnsi="Times New Roman" w:eastAsia="仿宋_GB2312" w:cs="Times New Roman"/>
                <w:b w:val="0"/>
                <w:bCs w:val="0"/>
                <w:i w:val="0"/>
                <w:color w:val="000000"/>
                <w:kern w:val="0"/>
                <w:sz w:val="21"/>
                <w:szCs w:val="21"/>
                <w:u w:val="none"/>
                <w:lang w:val="en-US" w:eastAsia="zh-CN" w:bidi="ar"/>
              </w:rPr>
              <w:t>4</w:t>
            </w:r>
          </w:p>
        </w:tc>
      </w:tr>
      <w:tr w14:paraId="317B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 w:type="dxa"/>
            <w:tcBorders>
              <w:top w:val="single" w:color="000000" w:sz="4" w:space="0"/>
              <w:left w:val="single" w:color="000000" w:sz="4" w:space="0"/>
              <w:bottom w:val="single" w:color="000000" w:sz="4" w:space="0"/>
              <w:right w:val="single" w:color="000000" w:sz="4" w:space="0"/>
            </w:tcBorders>
            <w:vAlign w:val="center"/>
          </w:tcPr>
          <w:p w14:paraId="1CA830C4">
            <w:pPr>
              <w:keepNext w:val="0"/>
              <w:keepLines w:val="0"/>
              <w:widowControl/>
              <w:suppressLineNumbers w:val="0"/>
              <w:ind w:firstLine="0" w:firstLineChars="0"/>
              <w:jc w:val="center"/>
              <w:textAlignment w:val="center"/>
              <w:rPr>
                <w:rFonts w:hint="eastAsia" w:ascii="黑体" w:hAnsi="黑体" w:eastAsia="黑体" w:cs="黑体"/>
                <w:b w:val="0"/>
                <w:bCs w:val="0"/>
                <w:i w:val="0"/>
                <w:color w:val="000000"/>
                <w:sz w:val="21"/>
                <w:szCs w:val="21"/>
                <w:u w:val="none"/>
              </w:rPr>
            </w:pPr>
            <w:r>
              <w:rPr>
                <w:rFonts w:hint="eastAsia" w:ascii="黑体" w:hAnsi="黑体" w:eastAsia="黑体" w:cs="黑体"/>
                <w:b w:val="0"/>
                <w:bCs w:val="0"/>
                <w:i w:val="0"/>
                <w:color w:val="000000"/>
                <w:kern w:val="0"/>
                <w:sz w:val="21"/>
                <w:szCs w:val="21"/>
                <w:u w:val="none"/>
                <w:lang w:val="en-US" w:eastAsia="zh-CN" w:bidi="ar"/>
              </w:rPr>
              <w:t>快车</w:t>
            </w:r>
          </w:p>
        </w:tc>
        <w:tc>
          <w:tcPr>
            <w:tcW w:w="6722" w:type="dxa"/>
            <w:gridSpan w:val="2"/>
            <w:tcBorders>
              <w:top w:val="single" w:color="000000" w:sz="4" w:space="0"/>
              <w:left w:val="single" w:color="000000" w:sz="4" w:space="0"/>
              <w:bottom w:val="single" w:color="000000" w:sz="4" w:space="0"/>
              <w:right w:val="single" w:color="000000" w:sz="4" w:space="0"/>
            </w:tcBorders>
            <w:vAlign w:val="center"/>
          </w:tcPr>
          <w:p w14:paraId="3D7A89EF">
            <w:pPr>
              <w:keepNext w:val="0"/>
              <w:keepLines w:val="0"/>
              <w:widowControl/>
              <w:suppressLineNumbers w:val="0"/>
              <w:ind w:firstLine="0" w:firstLineChars="0"/>
              <w:jc w:val="center"/>
              <w:textAlignment w:val="center"/>
              <w:rPr>
                <w:rFonts w:hint="default" w:ascii="Times New Roman" w:hAnsi="Times New Roman" w:eastAsia="仿宋_GB2312" w:cs="Times New Roman"/>
                <w:b w:val="0"/>
                <w:bCs w:val="0"/>
                <w:i w:val="0"/>
                <w:color w:val="000000"/>
                <w:sz w:val="21"/>
                <w:szCs w:val="21"/>
                <w:u w:val="none"/>
              </w:rPr>
            </w:pPr>
            <w:r>
              <w:rPr>
                <w:rFonts w:hint="default" w:ascii="Times New Roman" w:hAnsi="Times New Roman" w:eastAsia="仿宋_GB2312" w:cs="Times New Roman"/>
                <w:b w:val="0"/>
                <w:bCs w:val="0"/>
                <w:i w:val="0"/>
                <w:color w:val="000000"/>
                <w:kern w:val="0"/>
                <w:sz w:val="21"/>
                <w:szCs w:val="21"/>
                <w:u w:val="none"/>
                <w:lang w:val="en-US" w:eastAsia="zh-CN" w:bidi="ar"/>
              </w:rPr>
              <w:t>按0.283元/人·公里计算票价。</w:t>
            </w:r>
          </w:p>
        </w:tc>
      </w:tr>
    </w:tbl>
    <w:p w14:paraId="1A60AD6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2.其他票价规定</w:t>
      </w:r>
    </w:p>
    <w:p w14:paraId="0B5B896F">
      <w:pPr>
        <w:keepNext w:val="0"/>
        <w:keepLines w:val="0"/>
        <w:pageBreakBefore w:val="0"/>
        <w:kinsoku/>
        <w:wordWrap/>
        <w:overflowPunct/>
        <w:topLinePunct w:val="0"/>
        <w:autoSpaceDE/>
        <w:autoSpaceDN/>
        <w:bidi w:val="0"/>
        <w:adjustRightInd w:val="0"/>
        <w:snapToGrid w:val="0"/>
        <w:spacing w:line="56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1）票价</w:t>
      </w:r>
      <w:r>
        <w:rPr>
          <w:rFonts w:hint="eastAsia" w:eastAsia="仿宋_GB2312" w:cs="Times New Roman"/>
          <w:sz w:val="32"/>
          <w:szCs w:val="32"/>
          <w:lang w:val="en-US" w:eastAsia="zh-CN"/>
        </w:rPr>
        <w:t>在</w:t>
      </w:r>
      <w:r>
        <w:rPr>
          <w:rFonts w:hint="default" w:ascii="Times New Roman" w:hAnsi="Times New Roman" w:eastAsia="仿宋_GB2312" w:cs="Times New Roman"/>
          <w:sz w:val="32"/>
          <w:szCs w:val="32"/>
          <w:lang w:val="en-US" w:eastAsia="zh-CN"/>
        </w:rPr>
        <w:t>3元</w:t>
      </w:r>
      <w:r>
        <w:rPr>
          <w:rFonts w:hint="eastAsia" w:eastAsia="仿宋_GB2312" w:cs="Times New Roman"/>
          <w:sz w:val="32"/>
          <w:szCs w:val="32"/>
          <w:lang w:val="en-US" w:eastAsia="zh-CN"/>
        </w:rPr>
        <w:t>/人次及</w:t>
      </w:r>
      <w:r>
        <w:rPr>
          <w:rFonts w:hint="default" w:ascii="Times New Roman" w:hAnsi="Times New Roman" w:eastAsia="仿宋_GB2312" w:cs="Times New Roman"/>
          <w:sz w:val="32"/>
          <w:szCs w:val="32"/>
          <w:lang w:val="en-US" w:eastAsia="zh-CN"/>
        </w:rPr>
        <w:t>以上</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实行分段收费。</w:t>
      </w:r>
    </w:p>
    <w:p w14:paraId="581100DB">
      <w:pPr>
        <w:keepNext w:val="0"/>
        <w:keepLines w:val="0"/>
        <w:pageBreakBefore w:val="0"/>
        <w:kinsoku/>
        <w:wordWrap/>
        <w:overflowPunct/>
        <w:topLinePunct w:val="0"/>
        <w:autoSpaceDE/>
        <w:autoSpaceDN/>
        <w:bidi w:val="0"/>
        <w:adjustRightInd w:val="0"/>
        <w:snapToGrid w:val="0"/>
        <w:spacing w:line="56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eastAsia="仿宋_GB2312" w:cs="Times New Roman"/>
          <w:sz w:val="32"/>
          <w:szCs w:val="32"/>
          <w:lang w:val="en-US" w:eastAsia="zh-CN"/>
        </w:rPr>
        <w:t>加收费用</w:t>
      </w:r>
      <w:r>
        <w:rPr>
          <w:rFonts w:hint="default" w:ascii="Times New Roman" w:hAnsi="Times New Roman" w:eastAsia="仿宋_GB2312" w:cs="Times New Roman"/>
          <w:sz w:val="32"/>
          <w:szCs w:val="32"/>
          <w:lang w:val="en-US" w:eastAsia="zh-CN"/>
        </w:rPr>
        <w:t>的规定。对途经收费道路或桥梁的公交线路，向乘车经过路桥收费站的乘客明确加收</w:t>
      </w:r>
      <w:r>
        <w:rPr>
          <w:rFonts w:hint="eastAsia" w:eastAsia="仿宋_GB2312" w:cs="Times New Roman"/>
          <w:sz w:val="32"/>
          <w:szCs w:val="32"/>
          <w:lang w:val="en-US" w:eastAsia="zh-CN"/>
        </w:rPr>
        <w:t>相应费用</w:t>
      </w:r>
      <w:r>
        <w:rPr>
          <w:rFonts w:hint="default" w:ascii="Times New Roman" w:hAnsi="Times New Roman" w:eastAsia="仿宋_GB2312" w:cs="Times New Roman"/>
          <w:sz w:val="32"/>
          <w:szCs w:val="32"/>
          <w:lang w:val="en-US" w:eastAsia="zh-CN"/>
        </w:rPr>
        <w:t>。对未乘车经过路桥收费站的乘客不得加收。</w:t>
      </w:r>
    </w:p>
    <w:p w14:paraId="77AEB131">
      <w:pPr>
        <w:widowControl w:val="0"/>
        <w:numPr>
          <w:ilvl w:val="0"/>
          <w:numId w:val="0"/>
        </w:numPr>
        <w:adjustRightInd w:val="0"/>
        <w:snapToGrid w:val="0"/>
        <w:spacing w:line="560" w:lineRule="exact"/>
        <w:ind w:firstLine="640" w:firstLineChars="200"/>
        <w:rPr>
          <w:rFonts w:hint="eastAsia" w:ascii="黑体" w:hAnsi="黑体" w:eastAsia="黑体" w:cs="黑体"/>
          <w:b w:val="0"/>
          <w:bCs w:val="0"/>
          <w:color w:val="auto"/>
          <w:sz w:val="32"/>
          <w:szCs w:val="32"/>
          <w:lang w:eastAsia="zh-CN" w:bidi="ar"/>
        </w:rPr>
      </w:pPr>
      <w:r>
        <w:rPr>
          <w:rFonts w:hint="eastAsia" w:ascii="黑体" w:hAnsi="黑体" w:eastAsia="黑体" w:cs="黑体"/>
          <w:b w:val="0"/>
          <w:bCs w:val="0"/>
          <w:color w:val="auto"/>
          <w:sz w:val="32"/>
          <w:szCs w:val="32"/>
          <w:lang w:val="en-US" w:eastAsia="zh-CN" w:bidi="ar"/>
        </w:rPr>
        <w:t>三</w:t>
      </w:r>
      <w:r>
        <w:rPr>
          <w:rFonts w:hint="eastAsia" w:ascii="黑体" w:hAnsi="黑体" w:eastAsia="黑体" w:cs="黑体"/>
          <w:b w:val="0"/>
          <w:bCs w:val="0"/>
          <w:color w:val="auto"/>
          <w:sz w:val="32"/>
          <w:szCs w:val="32"/>
          <w:lang w:eastAsia="zh-CN" w:bidi="ar"/>
        </w:rPr>
        <w:t>、优化调整</w:t>
      </w:r>
      <w:r>
        <w:rPr>
          <w:rFonts w:hint="eastAsia" w:ascii="黑体" w:hAnsi="黑体" w:eastAsia="黑体" w:cs="黑体"/>
          <w:b w:val="0"/>
          <w:bCs w:val="0"/>
          <w:color w:val="auto"/>
          <w:sz w:val="32"/>
          <w:szCs w:val="32"/>
          <w:lang w:val="en-US" w:eastAsia="zh-CN" w:bidi="ar"/>
        </w:rPr>
        <w:t>主要</w:t>
      </w:r>
      <w:r>
        <w:rPr>
          <w:rFonts w:hint="eastAsia" w:ascii="黑体" w:hAnsi="黑体" w:eastAsia="黑体" w:cs="黑体"/>
          <w:b w:val="0"/>
          <w:bCs w:val="0"/>
          <w:color w:val="auto"/>
          <w:sz w:val="32"/>
          <w:szCs w:val="32"/>
          <w:lang w:eastAsia="zh-CN" w:bidi="ar"/>
        </w:rPr>
        <w:t>依据</w:t>
      </w:r>
    </w:p>
    <w:p w14:paraId="192406B8">
      <w:pPr>
        <w:pStyle w:val="7"/>
        <w:rPr>
          <w:rFonts w:hint="default" w:ascii="Times New Roman" w:hAnsi="Times New Roman" w:eastAsia="仿宋_GB2312" w:cs="Times New Roman"/>
          <w:kern w:val="2"/>
          <w:sz w:val="32"/>
          <w:szCs w:val="32"/>
          <w:lang w:val="en-US" w:eastAsia="zh-CN" w:bidi="ar"/>
        </w:rPr>
      </w:pPr>
      <w:r>
        <w:rPr>
          <w:rFonts w:hint="eastAsia" w:ascii="Times New Roman" w:hAnsi="Times New Roman" w:cs="Times New Roman"/>
          <w:kern w:val="2"/>
          <w:sz w:val="32"/>
          <w:szCs w:val="32"/>
          <w:lang w:val="en-US" w:eastAsia="zh-CN" w:bidi="ar"/>
        </w:rPr>
        <w:t>（一）</w:t>
      </w:r>
      <w:r>
        <w:rPr>
          <w:rFonts w:hint="default" w:ascii="Times New Roman" w:hAnsi="Times New Roman" w:eastAsia="仿宋_GB2312" w:cs="Times New Roman"/>
          <w:kern w:val="2"/>
          <w:sz w:val="32"/>
          <w:szCs w:val="32"/>
          <w:lang w:val="en-US" w:eastAsia="zh-CN" w:bidi="ar"/>
        </w:rPr>
        <w:t>城市公共交通条例（国务院令第793号）</w:t>
      </w:r>
    </w:p>
    <w:p w14:paraId="145A5D07">
      <w:pPr>
        <w:pStyle w:val="7"/>
        <w:rPr>
          <w:rFonts w:hint="default" w:ascii="Times New Roman" w:hAnsi="Times New Roman" w:eastAsia="仿宋_GB2312" w:cs="Times New Roman"/>
          <w:kern w:val="2"/>
          <w:sz w:val="32"/>
          <w:szCs w:val="32"/>
          <w:lang w:val="en-US" w:eastAsia="zh-CN" w:bidi="ar"/>
        </w:rPr>
      </w:pPr>
      <w:r>
        <w:rPr>
          <w:rFonts w:hint="eastAsia" w:ascii="Times New Roman" w:hAnsi="Times New Roman" w:cs="Times New Roman"/>
          <w:kern w:val="2"/>
          <w:sz w:val="32"/>
          <w:szCs w:val="32"/>
          <w:lang w:val="en-US" w:eastAsia="zh-CN" w:bidi="ar"/>
        </w:rPr>
        <w:t>（二）</w:t>
      </w:r>
      <w:r>
        <w:rPr>
          <w:rFonts w:hint="default" w:ascii="Times New Roman" w:hAnsi="Times New Roman" w:eastAsia="仿宋_GB2312" w:cs="Times New Roman"/>
          <w:kern w:val="2"/>
          <w:sz w:val="32"/>
          <w:szCs w:val="32"/>
          <w:lang w:val="en-US" w:eastAsia="zh-CN" w:bidi="ar"/>
        </w:rPr>
        <w:t>中共中央国务院关于推进价格机制改革的若干意见</w:t>
      </w:r>
    </w:p>
    <w:p w14:paraId="2F3BF263">
      <w:pPr>
        <w:pStyle w:val="7"/>
        <w:rPr>
          <w:rFonts w:hint="eastAsia" w:ascii="Times New Roman" w:hAnsi="Times New Roman" w:cs="Times New Roman"/>
          <w:kern w:val="2"/>
          <w:sz w:val="32"/>
          <w:szCs w:val="32"/>
          <w:lang w:val="en-US" w:eastAsia="zh-CN" w:bidi="ar"/>
        </w:rPr>
        <w:sectPr>
          <w:footerReference r:id="rId5" w:type="default"/>
          <w:pgSz w:w="11906" w:h="16838"/>
          <w:pgMar w:top="1440" w:right="1800" w:bottom="1440" w:left="1800" w:header="851" w:footer="992" w:gutter="0"/>
          <w:pgNumType w:fmt="decimal"/>
          <w:cols w:space="720" w:num="1"/>
          <w:docGrid w:type="lines" w:linePitch="312" w:charSpace="0"/>
        </w:sectPr>
      </w:pPr>
    </w:p>
    <w:p w14:paraId="72967FB5">
      <w:pPr>
        <w:pStyle w:val="7"/>
        <w:rPr>
          <w:rFonts w:hint="default" w:ascii="Times New Roman" w:hAnsi="Times New Roman" w:eastAsia="仿宋_GB2312" w:cs="Times New Roman"/>
          <w:kern w:val="2"/>
          <w:sz w:val="32"/>
          <w:szCs w:val="32"/>
          <w:lang w:val="en-US" w:eastAsia="zh-CN" w:bidi="ar"/>
        </w:rPr>
      </w:pPr>
      <w:r>
        <w:rPr>
          <w:rFonts w:hint="eastAsia" w:ascii="Times New Roman" w:hAnsi="Times New Roman" w:cs="Times New Roman"/>
          <w:kern w:val="2"/>
          <w:sz w:val="32"/>
          <w:szCs w:val="32"/>
          <w:lang w:val="en-US" w:eastAsia="zh-CN" w:bidi="ar"/>
        </w:rPr>
        <w:t>（三）</w:t>
      </w:r>
      <w:r>
        <w:rPr>
          <w:rFonts w:hint="default" w:ascii="Times New Roman" w:hAnsi="Times New Roman" w:eastAsia="仿宋_GB2312" w:cs="Times New Roman"/>
          <w:kern w:val="2"/>
          <w:sz w:val="32"/>
          <w:szCs w:val="32"/>
          <w:lang w:val="en-US" w:eastAsia="zh-CN" w:bidi="ar"/>
        </w:rPr>
        <w:t>国务院关于优先发展公共交通的指导意见（国发〔2012〕</w:t>
      </w:r>
      <w:r>
        <w:rPr>
          <w:rFonts w:hint="eastAsia" w:ascii="Times New Roman" w:hAnsi="Times New Roman" w:cs="Times New Roman"/>
          <w:kern w:val="2"/>
          <w:sz w:val="32"/>
          <w:szCs w:val="32"/>
          <w:lang w:val="en-US" w:eastAsia="zh-CN" w:bidi="ar"/>
        </w:rPr>
        <w:t>6</w:t>
      </w:r>
      <w:r>
        <w:rPr>
          <w:rFonts w:hint="default" w:ascii="Times New Roman" w:hAnsi="Times New Roman" w:eastAsia="仿宋_GB2312" w:cs="Times New Roman"/>
          <w:kern w:val="2"/>
          <w:sz w:val="32"/>
          <w:szCs w:val="32"/>
          <w:lang w:val="en-US" w:eastAsia="zh-CN" w:bidi="ar"/>
        </w:rPr>
        <w:t>4号）</w:t>
      </w:r>
    </w:p>
    <w:p w14:paraId="22A18DD0">
      <w:pPr>
        <w:pStyle w:val="7"/>
        <w:rPr>
          <w:rFonts w:hint="default"/>
          <w:lang w:val="en-US" w:eastAsia="zh-CN"/>
        </w:rPr>
      </w:pPr>
      <w:r>
        <w:rPr>
          <w:rFonts w:hint="eastAsia" w:ascii="Times New Roman" w:hAnsi="Times New Roman" w:cs="Times New Roman"/>
          <w:kern w:val="2"/>
          <w:sz w:val="32"/>
          <w:szCs w:val="32"/>
          <w:lang w:val="en-US" w:eastAsia="zh-CN" w:bidi="ar"/>
        </w:rPr>
        <w:t>（四）</w:t>
      </w:r>
      <w:r>
        <w:rPr>
          <w:rFonts w:hint="default" w:ascii="Times New Roman" w:hAnsi="Times New Roman" w:eastAsia="仿宋_GB2312" w:cs="Times New Roman"/>
          <w:kern w:val="2"/>
          <w:sz w:val="32"/>
          <w:szCs w:val="32"/>
          <w:lang w:val="en-US" w:eastAsia="zh-CN" w:bidi="ar"/>
        </w:rPr>
        <w:t>广东省人民政府关于城市优先发展公共交通的实施意见（粤府〔2013〕120号）</w:t>
      </w:r>
    </w:p>
    <w:p w14:paraId="2E8D2086">
      <w:pPr>
        <w:pStyle w:val="7"/>
        <w:rPr>
          <w:rFonts w:hint="default" w:ascii="Times New Roman" w:hAnsi="Times New Roman" w:eastAsia="仿宋_GB2312" w:cs="Times New Roman"/>
          <w:kern w:val="2"/>
          <w:sz w:val="32"/>
          <w:szCs w:val="32"/>
          <w:lang w:val="en-US" w:eastAsia="zh-CN" w:bidi="ar"/>
        </w:rPr>
      </w:pPr>
      <w:r>
        <w:rPr>
          <w:rFonts w:hint="eastAsia" w:ascii="Times New Roman" w:hAnsi="Times New Roman" w:cs="Times New Roman"/>
          <w:kern w:val="2"/>
          <w:sz w:val="32"/>
          <w:szCs w:val="32"/>
          <w:lang w:val="en-US" w:eastAsia="zh-CN" w:bidi="ar"/>
        </w:rPr>
        <w:t>（五）</w:t>
      </w:r>
      <w:r>
        <w:rPr>
          <w:rFonts w:hint="default" w:ascii="Times New Roman" w:hAnsi="Times New Roman" w:eastAsia="仿宋_GB2312" w:cs="Times New Roman"/>
          <w:kern w:val="2"/>
          <w:sz w:val="32"/>
          <w:szCs w:val="32"/>
          <w:lang w:val="en-US" w:eastAsia="zh-CN" w:bidi="ar"/>
        </w:rPr>
        <w:t>广东省定价目录（2022年版）</w:t>
      </w:r>
    </w:p>
    <w:p w14:paraId="5CBDAEAD">
      <w:pPr>
        <w:pStyle w:val="7"/>
        <w:ind w:left="0" w:leftChars="0" w:firstLine="640" w:firstLineChars="200"/>
        <w:rPr>
          <w:rFonts w:hint="default"/>
          <w:lang w:eastAsia="zh-CN"/>
        </w:rPr>
      </w:pPr>
      <w:r>
        <w:rPr>
          <w:rFonts w:hint="eastAsia" w:eastAsia="仿宋_GB2312" w:cs="Times New Roman"/>
          <w:kern w:val="2"/>
          <w:sz w:val="32"/>
          <w:szCs w:val="32"/>
          <w:lang w:val="en-US" w:eastAsia="zh-CN" w:bidi="ar"/>
        </w:rPr>
        <w:t>（六</w:t>
      </w:r>
      <w:r>
        <w:rPr>
          <w:rFonts w:hint="eastAsia" w:ascii="Times New Roman" w:hAnsi="Times New Roman"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广州市发展和改革委员会关于优化调整我市公共汽车电车基础票价的通知（穗发改规字〔2024〕6号）</w:t>
      </w:r>
    </w:p>
    <w:p w14:paraId="63AB3E80">
      <w:pPr>
        <w:widowControl/>
        <w:numPr>
          <w:ilvl w:val="0"/>
          <w:numId w:val="0"/>
        </w:numPr>
        <w:adjustRightInd w:val="0"/>
        <w:snapToGrid w:val="0"/>
        <w:spacing w:line="560" w:lineRule="exact"/>
        <w:ind w:firstLine="640" w:firstLineChars="200"/>
        <w:jc w:val="both"/>
        <w:rPr>
          <w:rFonts w:hint="eastAsia" w:ascii="黑体" w:hAnsi="黑体" w:eastAsia="黑体" w:cs="黑体"/>
          <w:b w:val="0"/>
          <w:bCs w:val="0"/>
          <w:sz w:val="32"/>
          <w:szCs w:val="32"/>
          <w:lang w:val="en-US" w:eastAsia="zh-CN" w:bidi="ar"/>
        </w:rPr>
      </w:pPr>
      <w:r>
        <w:rPr>
          <w:rFonts w:hint="eastAsia" w:ascii="黑体" w:hAnsi="黑体" w:eastAsia="黑体" w:cs="黑体"/>
          <w:b w:val="0"/>
          <w:bCs w:val="0"/>
          <w:sz w:val="32"/>
          <w:szCs w:val="32"/>
          <w:lang w:eastAsia="zh-CN" w:bidi="ar"/>
        </w:rPr>
        <w:t>四、优化</w:t>
      </w:r>
      <w:r>
        <w:rPr>
          <w:rFonts w:hint="eastAsia" w:ascii="黑体" w:hAnsi="黑体" w:eastAsia="黑体" w:cs="黑体"/>
          <w:b w:val="0"/>
          <w:bCs w:val="0"/>
          <w:sz w:val="32"/>
          <w:szCs w:val="32"/>
          <w:lang w:val="en-US" w:eastAsia="zh-CN" w:bidi="ar"/>
        </w:rPr>
        <w:t>调整</w:t>
      </w:r>
      <w:r>
        <w:rPr>
          <w:rFonts w:hint="eastAsia" w:ascii="黑体" w:hAnsi="黑体" w:eastAsia="黑体" w:cs="黑体"/>
          <w:b w:val="0"/>
          <w:bCs w:val="0"/>
          <w:sz w:val="32"/>
          <w:szCs w:val="32"/>
          <w:lang w:eastAsia="zh-CN" w:bidi="ar"/>
        </w:rPr>
        <w:t>必要性</w:t>
      </w:r>
    </w:p>
    <w:p w14:paraId="73DA3318">
      <w:pPr>
        <w:widowControl/>
        <w:numPr>
          <w:ilvl w:val="0"/>
          <w:numId w:val="0"/>
        </w:numPr>
        <w:adjustRightInd w:val="0"/>
        <w:snapToGrid w:val="0"/>
        <w:spacing w:line="560" w:lineRule="exact"/>
        <w:ind w:firstLine="640" w:firstLineChars="200"/>
        <w:jc w:val="both"/>
        <w:rPr>
          <w:rFonts w:hint="default" w:ascii="Times New Roman" w:hAnsi="Times New Roman" w:eastAsia="楷体_GB2312" w:cs="Times New Roman"/>
          <w:b w:val="0"/>
          <w:bCs w:val="0"/>
          <w:sz w:val="32"/>
          <w:szCs w:val="32"/>
          <w:lang w:val="en-US" w:bidi="ar"/>
        </w:rPr>
      </w:pPr>
      <w:bookmarkStart w:id="0" w:name="_Toc87267958"/>
      <w:bookmarkStart w:id="1" w:name="_Toc87267961"/>
      <w:r>
        <w:rPr>
          <w:rFonts w:hint="default" w:ascii="Times New Roman" w:hAnsi="Times New Roman" w:eastAsia="楷体_GB2312" w:cs="Times New Roman"/>
          <w:b w:val="0"/>
          <w:bCs w:val="0"/>
          <w:sz w:val="32"/>
          <w:szCs w:val="32"/>
          <w:lang w:bidi="ar"/>
        </w:rPr>
        <w:t>（</w:t>
      </w:r>
      <w:r>
        <w:rPr>
          <w:rFonts w:hint="default" w:ascii="Times New Roman" w:hAnsi="Times New Roman" w:eastAsia="楷体_GB2312" w:cs="Times New Roman"/>
          <w:b w:val="0"/>
          <w:bCs w:val="0"/>
          <w:sz w:val="32"/>
          <w:szCs w:val="32"/>
          <w:lang w:eastAsia="zh-CN" w:bidi="ar"/>
        </w:rPr>
        <w:t>一</w:t>
      </w:r>
      <w:r>
        <w:rPr>
          <w:rFonts w:hint="default" w:ascii="Times New Roman" w:hAnsi="Times New Roman" w:eastAsia="楷体_GB2312" w:cs="Times New Roman"/>
          <w:b w:val="0"/>
          <w:bCs w:val="0"/>
          <w:sz w:val="32"/>
          <w:szCs w:val="32"/>
          <w:lang w:bidi="ar"/>
        </w:rPr>
        <w:t>）</w:t>
      </w:r>
      <w:r>
        <w:rPr>
          <w:rFonts w:hint="eastAsia" w:eastAsia="楷体_GB2312" w:cs="Times New Roman"/>
          <w:b w:val="0"/>
          <w:bCs w:val="0"/>
          <w:sz w:val="32"/>
          <w:szCs w:val="32"/>
          <w:lang w:val="en-US" w:eastAsia="zh-CN" w:bidi="ar"/>
        </w:rPr>
        <w:t>优化公交基础票价是促进公交企业可持续发展的必要保障。</w:t>
      </w:r>
      <w:r>
        <w:rPr>
          <w:rFonts w:hint="eastAsia" w:eastAsia="仿宋_GB2312" w:cs="Times New Roman"/>
          <w:b w:val="0"/>
          <w:bCs w:val="0"/>
          <w:color w:val="auto"/>
          <w:sz w:val="32"/>
          <w:szCs w:val="32"/>
          <w:highlight w:val="none"/>
          <w:lang w:val="en-US" w:eastAsia="zh-CN" w:bidi="ar"/>
        </w:rPr>
        <w:t>当前，我区</w:t>
      </w:r>
      <w:r>
        <w:rPr>
          <w:rFonts w:hint="default" w:ascii="Times New Roman" w:hAnsi="Times New Roman" w:eastAsia="仿宋_GB2312" w:cs="Times New Roman"/>
          <w:b w:val="0"/>
          <w:bCs w:val="0"/>
          <w:color w:val="auto"/>
          <w:sz w:val="32"/>
          <w:szCs w:val="32"/>
          <w:highlight w:val="none"/>
          <w:lang w:eastAsia="zh-CN" w:bidi="ar"/>
        </w:rPr>
        <w:t>公交企业经营压力加大，普遍面临</w:t>
      </w:r>
      <w:r>
        <w:rPr>
          <w:rFonts w:hint="eastAsia" w:eastAsia="仿宋_GB2312" w:cs="Times New Roman"/>
          <w:b w:val="0"/>
          <w:bCs w:val="0"/>
          <w:color w:val="auto"/>
          <w:sz w:val="32"/>
          <w:szCs w:val="32"/>
          <w:highlight w:val="none"/>
          <w:lang w:val="en-US" w:eastAsia="zh-CN" w:bidi="ar"/>
        </w:rPr>
        <w:t>不同程度的</w:t>
      </w:r>
      <w:r>
        <w:rPr>
          <w:rFonts w:hint="default" w:ascii="Times New Roman" w:hAnsi="Times New Roman" w:eastAsia="仿宋_GB2312" w:cs="Times New Roman"/>
          <w:b w:val="0"/>
          <w:bCs w:val="0"/>
          <w:color w:val="auto"/>
          <w:sz w:val="32"/>
          <w:szCs w:val="32"/>
          <w:highlight w:val="none"/>
          <w:lang w:eastAsia="zh-CN" w:bidi="ar"/>
        </w:rPr>
        <w:t>亏损困境</w:t>
      </w:r>
      <w:r>
        <w:rPr>
          <w:rFonts w:hint="eastAsia" w:eastAsia="仿宋_GB2312" w:cs="Times New Roman"/>
          <w:b w:val="0"/>
          <w:bCs w:val="0"/>
          <w:color w:val="auto"/>
          <w:sz w:val="32"/>
          <w:szCs w:val="32"/>
          <w:highlight w:val="none"/>
          <w:lang w:eastAsia="zh-CN" w:bidi="ar"/>
        </w:rPr>
        <w:t>。</w:t>
      </w:r>
      <w:r>
        <w:rPr>
          <w:rFonts w:hint="eastAsia" w:eastAsia="仿宋_GB2312" w:cs="Times New Roman"/>
          <w:b w:val="0"/>
          <w:bCs w:val="0"/>
          <w:color w:val="auto"/>
          <w:sz w:val="32"/>
          <w:szCs w:val="32"/>
          <w:highlight w:val="none"/>
          <w:lang w:val="en-US" w:eastAsia="zh-CN" w:bidi="ar"/>
        </w:rPr>
        <w:t>通过</w:t>
      </w:r>
      <w:r>
        <w:rPr>
          <w:rFonts w:hint="default" w:ascii="Times New Roman" w:hAnsi="Times New Roman" w:eastAsia="仿宋_GB2312" w:cs="Times New Roman"/>
          <w:b w:val="0"/>
          <w:bCs w:val="0"/>
          <w:color w:val="auto"/>
          <w:sz w:val="32"/>
          <w:szCs w:val="32"/>
          <w:highlight w:val="none"/>
          <w:lang w:eastAsia="zh-CN" w:bidi="ar"/>
        </w:rPr>
        <w:t>公交基础</w:t>
      </w:r>
      <w:r>
        <w:rPr>
          <w:rFonts w:hint="eastAsia" w:eastAsia="仿宋_GB2312" w:cs="Times New Roman"/>
          <w:b w:val="0"/>
          <w:bCs w:val="0"/>
          <w:color w:val="auto"/>
          <w:sz w:val="32"/>
          <w:szCs w:val="32"/>
          <w:highlight w:val="none"/>
          <w:lang w:eastAsia="zh-CN" w:bidi="ar"/>
        </w:rPr>
        <w:t>票价优化，</w:t>
      </w:r>
      <w:r>
        <w:rPr>
          <w:rFonts w:hint="eastAsia" w:eastAsia="仿宋_GB2312" w:cs="Times New Roman"/>
          <w:b w:val="0"/>
          <w:bCs w:val="0"/>
          <w:color w:val="auto"/>
          <w:sz w:val="32"/>
          <w:szCs w:val="32"/>
          <w:highlight w:val="none"/>
          <w:lang w:val="en-US" w:eastAsia="zh-CN" w:bidi="ar"/>
        </w:rPr>
        <w:t>有助于推动公交企业结合线路优化，切实增强自身“造血”能力，将更多资源投入到提升服务品质、优化乘车体验和运营效率上，充分提升企业自身内生发展动力，有效缓解企业经营压力，从而保障公交行业的良性运营与可持续发展。</w:t>
      </w:r>
    </w:p>
    <w:p w14:paraId="7636C211">
      <w:pPr>
        <w:widowControl/>
        <w:numPr>
          <w:ilvl w:val="0"/>
          <w:numId w:val="0"/>
        </w:numPr>
        <w:adjustRightInd w:val="0"/>
        <w:snapToGrid w:val="0"/>
        <w:spacing w:line="560" w:lineRule="exact"/>
        <w:ind w:firstLine="640" w:firstLineChars="200"/>
        <w:jc w:val="both"/>
        <w:rPr>
          <w:rFonts w:hint="default" w:ascii="Times New Roman" w:hAnsi="Times New Roman" w:eastAsia="仿宋_GB2312" w:cs="Times New Roman"/>
          <w:i w:val="0"/>
          <w:iCs w:val="0"/>
          <w:sz w:val="32"/>
          <w:szCs w:val="32"/>
          <w:lang w:val="en-US" w:eastAsia="zh-CN" w:bidi="ar"/>
        </w:rPr>
      </w:pPr>
      <w:r>
        <w:rPr>
          <w:rFonts w:hint="eastAsia" w:eastAsia="楷体_GB2312" w:cs="Times New Roman"/>
          <w:b w:val="0"/>
          <w:bCs w:val="0"/>
          <w:sz w:val="32"/>
          <w:szCs w:val="32"/>
          <w:lang w:val="en-US" w:eastAsia="zh-CN" w:bidi="ar"/>
        </w:rPr>
        <w:t>（二）优化公交基础票价是优化交通布局的有效手段。</w:t>
      </w:r>
      <w:r>
        <w:rPr>
          <w:rFonts w:hint="default" w:ascii="Times New Roman" w:hAnsi="Times New Roman" w:eastAsia="仿宋_GB2312" w:cs="Times New Roman"/>
          <w:b w:val="0"/>
          <w:bCs w:val="0"/>
          <w:color w:val="auto"/>
          <w:sz w:val="32"/>
          <w:szCs w:val="32"/>
          <w:highlight w:val="none"/>
          <w:lang w:eastAsia="zh-CN" w:bidi="ar"/>
        </w:rPr>
        <w:t>近年来，</w:t>
      </w:r>
      <w:r>
        <w:rPr>
          <w:rFonts w:hint="eastAsia" w:eastAsia="仿宋_GB2312" w:cs="Times New Roman"/>
          <w:b w:val="0"/>
          <w:bCs w:val="0"/>
          <w:color w:val="auto"/>
          <w:sz w:val="32"/>
          <w:szCs w:val="32"/>
          <w:highlight w:val="none"/>
          <w:lang w:val="en-US" w:eastAsia="zh-CN" w:bidi="ar"/>
        </w:rPr>
        <w:t>随着地铁22号线、18号线、3号线东延段、穗深城际、琶莲城际等轨道交通线路相继开通运营，</w:t>
      </w:r>
      <w:r>
        <w:rPr>
          <w:rFonts w:hint="default" w:ascii="Times New Roman" w:hAnsi="Times New Roman" w:eastAsia="仿宋_GB2312" w:cs="Times New Roman"/>
          <w:b w:val="0"/>
          <w:bCs w:val="0"/>
          <w:color w:val="auto"/>
          <w:sz w:val="32"/>
          <w:szCs w:val="32"/>
          <w:highlight w:val="none"/>
          <w:lang w:eastAsia="zh-CN" w:bidi="ar"/>
        </w:rPr>
        <w:t>电动自行车、网约车</w:t>
      </w:r>
      <w:r>
        <w:rPr>
          <w:rFonts w:hint="eastAsia" w:eastAsia="仿宋_GB2312" w:cs="Times New Roman"/>
          <w:b w:val="0"/>
          <w:bCs w:val="0"/>
          <w:color w:val="auto"/>
          <w:sz w:val="32"/>
          <w:szCs w:val="32"/>
          <w:highlight w:val="none"/>
          <w:lang w:val="en-US" w:eastAsia="zh-CN" w:bidi="ar"/>
        </w:rPr>
        <w:t>等个性化出行迅速普及</w:t>
      </w:r>
      <w:r>
        <w:rPr>
          <w:rFonts w:hint="eastAsia" w:eastAsia="仿宋_GB2312" w:cs="Times New Roman"/>
          <w:b w:val="0"/>
          <w:bCs w:val="0"/>
          <w:color w:val="auto"/>
          <w:sz w:val="32"/>
          <w:szCs w:val="32"/>
          <w:highlight w:val="none"/>
          <w:lang w:eastAsia="zh-CN" w:bidi="ar"/>
        </w:rPr>
        <w:t>，</w:t>
      </w:r>
      <w:r>
        <w:rPr>
          <w:rFonts w:hint="eastAsia" w:eastAsia="仿宋_GB2312" w:cs="Times New Roman"/>
          <w:b w:val="0"/>
          <w:bCs w:val="0"/>
          <w:color w:val="auto"/>
          <w:sz w:val="32"/>
          <w:szCs w:val="32"/>
          <w:highlight w:val="none"/>
          <w:lang w:val="en-US" w:eastAsia="zh-CN" w:bidi="ar"/>
        </w:rPr>
        <w:t>公众出行结构发生显著变化</w:t>
      </w:r>
      <w:r>
        <w:rPr>
          <w:rFonts w:hint="default" w:ascii="Times New Roman" w:hAnsi="Times New Roman" w:eastAsia="仿宋_GB2312" w:cs="Times New Roman"/>
          <w:b w:val="0"/>
          <w:bCs w:val="0"/>
          <w:color w:val="auto"/>
          <w:sz w:val="32"/>
          <w:szCs w:val="32"/>
          <w:highlight w:val="none"/>
          <w:lang w:eastAsia="zh-CN" w:bidi="ar"/>
        </w:rPr>
        <w:t>。推进公交基础</w:t>
      </w:r>
      <w:r>
        <w:rPr>
          <w:rFonts w:hint="eastAsia" w:eastAsia="仿宋_GB2312" w:cs="Times New Roman"/>
          <w:b w:val="0"/>
          <w:bCs w:val="0"/>
          <w:color w:val="auto"/>
          <w:sz w:val="32"/>
          <w:szCs w:val="32"/>
          <w:highlight w:val="none"/>
          <w:lang w:eastAsia="zh-CN" w:bidi="ar"/>
        </w:rPr>
        <w:t>票价优化</w:t>
      </w:r>
      <w:r>
        <w:rPr>
          <w:rFonts w:hint="default" w:ascii="Times New Roman" w:hAnsi="Times New Roman" w:eastAsia="仿宋_GB2312" w:cs="Times New Roman"/>
          <w:b w:val="0"/>
          <w:bCs w:val="0"/>
          <w:color w:val="auto"/>
          <w:sz w:val="32"/>
          <w:szCs w:val="32"/>
          <w:highlight w:val="none"/>
          <w:lang w:eastAsia="zh-CN" w:bidi="ar"/>
        </w:rPr>
        <w:t>，</w:t>
      </w:r>
      <w:r>
        <w:rPr>
          <w:rFonts w:hint="eastAsia" w:eastAsia="仿宋_GB2312" w:cs="Times New Roman"/>
          <w:b w:val="0"/>
          <w:bCs w:val="0"/>
          <w:color w:val="auto"/>
          <w:sz w:val="32"/>
          <w:szCs w:val="32"/>
          <w:highlight w:val="none"/>
          <w:lang w:val="en-US" w:eastAsia="zh-CN" w:bidi="ar"/>
        </w:rPr>
        <w:t>有利于</w:t>
      </w:r>
      <w:r>
        <w:rPr>
          <w:rFonts w:hint="default" w:ascii="Times New Roman" w:hAnsi="Times New Roman" w:eastAsia="仿宋_GB2312" w:cs="Times New Roman"/>
          <w:b w:val="0"/>
          <w:bCs w:val="0"/>
          <w:color w:val="auto"/>
          <w:sz w:val="32"/>
          <w:szCs w:val="32"/>
          <w:highlight w:val="none"/>
          <w:lang w:eastAsia="zh-CN" w:bidi="ar"/>
        </w:rPr>
        <w:t>充分发挥价格机制的引导作用，</w:t>
      </w:r>
      <w:r>
        <w:rPr>
          <w:rFonts w:hint="eastAsia" w:eastAsia="仿宋_GB2312" w:cs="Times New Roman"/>
          <w:b w:val="0"/>
          <w:bCs w:val="0"/>
          <w:color w:val="auto"/>
          <w:sz w:val="32"/>
          <w:szCs w:val="32"/>
          <w:highlight w:val="none"/>
          <w:lang w:val="en-US" w:eastAsia="zh-CN" w:bidi="ar"/>
        </w:rPr>
        <w:t>充分</w:t>
      </w:r>
      <w:r>
        <w:rPr>
          <w:rFonts w:hint="eastAsia" w:ascii="仿宋_GB2312" w:hAnsi="仿宋_GB2312" w:eastAsia="仿宋_GB2312" w:cs="仿宋_GB2312"/>
          <w:b w:val="0"/>
          <w:bCs w:val="0"/>
          <w:color w:val="auto"/>
          <w:sz w:val="32"/>
          <w:szCs w:val="32"/>
          <w:lang w:eastAsia="zh-CN"/>
        </w:rPr>
        <w:t>支持“压减长线、强化接驳”的线网优化调整</w:t>
      </w:r>
      <w:r>
        <w:rPr>
          <w:rFonts w:hint="default" w:ascii="Times New Roman" w:hAnsi="Times New Roman" w:eastAsia="仿宋_GB2312" w:cs="Times New Roman"/>
          <w:b w:val="0"/>
          <w:bCs w:val="0"/>
          <w:color w:val="auto"/>
          <w:sz w:val="32"/>
          <w:szCs w:val="32"/>
          <w:highlight w:val="none"/>
          <w:lang w:eastAsia="zh-CN" w:bidi="ar"/>
        </w:rPr>
        <w:t>，激励企业积极发展地铁接驳型短途线路，同时合理调整客流偏低、运营效率不高的中长距离线路，促进公交与地铁功能互补、错位发展，进一步提升公共交通系统的整体运行效率与资源匹配水平。</w:t>
      </w:r>
    </w:p>
    <w:bookmarkEnd w:id="0"/>
    <w:bookmarkEnd w:id="1"/>
    <w:p w14:paraId="2BF143A4">
      <w:pPr>
        <w:widowControl w:val="0"/>
        <w:numPr>
          <w:ilvl w:val="0"/>
          <w:numId w:val="0"/>
        </w:numPr>
        <w:adjustRightInd w:val="0"/>
        <w:snapToGrid w:val="0"/>
        <w:spacing w:line="560" w:lineRule="exact"/>
        <w:ind w:firstLine="640" w:firstLineChars="200"/>
        <w:rPr>
          <w:rFonts w:hint="eastAsia" w:ascii="黑体" w:hAnsi="黑体" w:eastAsia="黑体" w:cs="黑体"/>
          <w:b w:val="0"/>
          <w:bCs w:val="0"/>
          <w:color w:val="auto"/>
          <w:sz w:val="32"/>
          <w:szCs w:val="32"/>
          <w:lang w:val="en-US" w:eastAsia="zh-CN" w:bidi="ar"/>
        </w:rPr>
      </w:pPr>
      <w:r>
        <w:rPr>
          <w:rFonts w:hint="eastAsia" w:ascii="黑体" w:hAnsi="黑体" w:eastAsia="黑体" w:cs="黑体"/>
          <w:b w:val="0"/>
          <w:bCs w:val="0"/>
          <w:color w:val="auto"/>
          <w:sz w:val="32"/>
          <w:szCs w:val="32"/>
          <w:lang w:val="en-US" w:eastAsia="zh-CN" w:bidi="ar"/>
        </w:rPr>
        <w:t>五、优化调整方案</w:t>
      </w:r>
    </w:p>
    <w:p w14:paraId="739108FA">
      <w:pPr>
        <w:widowControl w:val="0"/>
        <w:numPr>
          <w:ilvl w:val="0"/>
          <w:numId w:val="0"/>
        </w:numPr>
        <w:adjustRightInd w:val="0"/>
        <w:snapToGrid w:val="0"/>
        <w:spacing w:line="560" w:lineRule="exact"/>
        <w:ind w:firstLine="640" w:firstLineChars="200"/>
        <w:rPr>
          <w:rFonts w:hint="default" w:ascii="楷体_GB2312" w:hAnsi="楷体_GB2312" w:eastAsia="楷体_GB2312" w:cs="楷体_GB2312"/>
          <w:b w:val="0"/>
          <w:bCs w:val="0"/>
          <w:color w:val="auto"/>
          <w:sz w:val="32"/>
          <w:szCs w:val="32"/>
          <w:lang w:val="en-US" w:eastAsia="zh-CN" w:bidi="ar"/>
        </w:rPr>
      </w:pPr>
      <w:r>
        <w:rPr>
          <w:rFonts w:hint="default" w:ascii="Times New Roman" w:hAnsi="Times New Roman" w:eastAsia="仿宋_GB2312" w:cs="Times New Roman"/>
          <w:b w:val="0"/>
          <w:bCs w:val="0"/>
          <w:color w:val="auto"/>
          <w:sz w:val="32"/>
          <w:szCs w:val="32"/>
          <w:highlight w:val="none"/>
          <w:lang w:val="en-US" w:eastAsia="zh-CN" w:bidi="ar"/>
        </w:rPr>
        <w:t>本次优化调整</w:t>
      </w:r>
      <w:r>
        <w:rPr>
          <w:rFonts w:hint="eastAsia" w:eastAsia="仿宋_GB2312" w:cs="Times New Roman"/>
          <w:b w:val="0"/>
          <w:bCs w:val="0"/>
          <w:color w:val="auto"/>
          <w:sz w:val="32"/>
          <w:szCs w:val="32"/>
          <w:highlight w:val="none"/>
          <w:lang w:val="en-US" w:eastAsia="zh-CN" w:bidi="ar"/>
        </w:rPr>
        <w:t>对象为</w:t>
      </w:r>
      <w:r>
        <w:rPr>
          <w:rFonts w:hint="default" w:ascii="Times New Roman" w:hAnsi="Times New Roman" w:eastAsia="仿宋_GB2312" w:cs="Times New Roman"/>
          <w:b w:val="0"/>
          <w:bCs w:val="0"/>
          <w:color w:val="auto"/>
          <w:sz w:val="32"/>
          <w:szCs w:val="32"/>
          <w:highlight w:val="none"/>
          <w:lang w:val="en-US" w:eastAsia="zh-CN" w:bidi="ar"/>
        </w:rPr>
        <w:t>公交基础票价，不涉及公交</w:t>
      </w:r>
      <w:r>
        <w:rPr>
          <w:rFonts w:hint="eastAsia" w:eastAsia="仿宋_GB2312" w:cs="Times New Roman"/>
          <w:b w:val="0"/>
          <w:bCs w:val="0"/>
          <w:color w:val="auto"/>
          <w:sz w:val="32"/>
          <w:szCs w:val="32"/>
          <w:highlight w:val="none"/>
          <w:lang w:val="en-US" w:eastAsia="zh-CN" w:bidi="ar"/>
        </w:rPr>
        <w:t>票价</w:t>
      </w:r>
      <w:r>
        <w:rPr>
          <w:rFonts w:hint="default" w:ascii="Times New Roman" w:hAnsi="Times New Roman" w:eastAsia="仿宋_GB2312" w:cs="Times New Roman"/>
          <w:b w:val="0"/>
          <w:bCs w:val="0"/>
          <w:color w:val="auto"/>
          <w:sz w:val="32"/>
          <w:szCs w:val="32"/>
          <w:highlight w:val="none"/>
          <w:lang w:val="en-US" w:eastAsia="zh-CN" w:bidi="ar"/>
        </w:rPr>
        <w:t>优惠政策调整，有关公交</w:t>
      </w:r>
      <w:r>
        <w:rPr>
          <w:rFonts w:hint="eastAsia" w:eastAsia="仿宋_GB2312" w:cs="Times New Roman"/>
          <w:b w:val="0"/>
          <w:bCs w:val="0"/>
          <w:color w:val="auto"/>
          <w:sz w:val="32"/>
          <w:szCs w:val="32"/>
          <w:highlight w:val="none"/>
          <w:lang w:val="en-US" w:eastAsia="zh-CN" w:bidi="ar"/>
        </w:rPr>
        <w:t>票价</w:t>
      </w:r>
      <w:r>
        <w:rPr>
          <w:rFonts w:hint="default" w:ascii="Times New Roman" w:hAnsi="Times New Roman" w:eastAsia="仿宋_GB2312" w:cs="Times New Roman"/>
          <w:b w:val="0"/>
          <w:bCs w:val="0"/>
          <w:color w:val="auto"/>
          <w:sz w:val="32"/>
          <w:szCs w:val="32"/>
          <w:highlight w:val="none"/>
          <w:lang w:val="en-US" w:eastAsia="zh-CN" w:bidi="ar"/>
        </w:rPr>
        <w:t>优惠政策仍按</w:t>
      </w:r>
      <w:r>
        <w:rPr>
          <w:rFonts w:hint="eastAsia" w:eastAsia="仿宋_GB2312" w:cs="Times New Roman"/>
          <w:b w:val="0"/>
          <w:bCs w:val="0"/>
          <w:color w:val="auto"/>
          <w:sz w:val="32"/>
          <w:szCs w:val="32"/>
          <w:highlight w:val="none"/>
          <w:lang w:val="en-US" w:eastAsia="zh-CN" w:bidi="ar"/>
        </w:rPr>
        <w:t>上级相关</w:t>
      </w:r>
      <w:r>
        <w:rPr>
          <w:rFonts w:hint="default" w:ascii="Times New Roman" w:hAnsi="Times New Roman" w:eastAsia="仿宋_GB2312" w:cs="Times New Roman"/>
          <w:b w:val="0"/>
          <w:bCs w:val="0"/>
          <w:color w:val="auto"/>
          <w:sz w:val="32"/>
          <w:szCs w:val="32"/>
          <w:highlight w:val="none"/>
          <w:lang w:val="en-US" w:eastAsia="zh-CN" w:bidi="ar"/>
        </w:rPr>
        <w:t>政策文件执行。</w:t>
      </w:r>
      <w:r>
        <w:rPr>
          <w:rFonts w:hint="eastAsia" w:eastAsia="仿宋_GB2312" w:cs="Times New Roman"/>
          <w:b w:val="0"/>
          <w:bCs w:val="0"/>
          <w:color w:val="auto"/>
          <w:sz w:val="32"/>
          <w:szCs w:val="32"/>
          <w:highlight w:val="none"/>
          <w:lang w:val="en-US" w:eastAsia="zh-CN" w:bidi="ar"/>
        </w:rPr>
        <w:t>具体调整方案如下：</w:t>
      </w:r>
    </w:p>
    <w:p w14:paraId="7D2B9135">
      <w:pPr>
        <w:widowControl w:val="0"/>
        <w:numPr>
          <w:ilvl w:val="0"/>
          <w:numId w:val="0"/>
        </w:numPr>
        <w:adjustRightInd w:val="0"/>
        <w:snapToGrid w:val="0"/>
        <w:spacing w:line="560" w:lineRule="exact"/>
        <w:ind w:firstLine="640" w:firstLineChars="200"/>
        <w:rPr>
          <w:rFonts w:hint="eastAsia" w:ascii="仿宋_GB2312" w:hAnsi="仿宋_GB2312" w:eastAsia="仿宋_GB2312" w:cs="仿宋_GB2312"/>
          <w:b w:val="0"/>
          <w:bCs w:val="0"/>
          <w:color w:val="auto"/>
          <w:sz w:val="32"/>
          <w:szCs w:val="32"/>
          <w:lang w:val="en-US" w:eastAsia="zh-CN" w:bidi="ar"/>
        </w:rPr>
      </w:pPr>
      <w:r>
        <w:rPr>
          <w:rFonts w:hint="eastAsia" w:ascii="楷体_GB2312" w:hAnsi="楷体_GB2312" w:eastAsia="楷体_GB2312" w:cs="楷体_GB2312"/>
          <w:b w:val="0"/>
          <w:bCs w:val="0"/>
          <w:color w:val="auto"/>
          <w:sz w:val="32"/>
          <w:szCs w:val="32"/>
          <w:lang w:val="en-US" w:eastAsia="zh-CN" w:bidi="ar"/>
        </w:rPr>
        <w:t>（一）适用范围</w:t>
      </w:r>
    </w:p>
    <w:p w14:paraId="4F5105E1">
      <w:pPr>
        <w:widowControl w:val="0"/>
        <w:numPr>
          <w:ilvl w:val="0"/>
          <w:numId w:val="0"/>
        </w:numPr>
        <w:adjustRightInd w:val="0"/>
        <w:snapToGrid w:val="0"/>
        <w:spacing w:line="560" w:lineRule="exact"/>
        <w:ind w:firstLine="640" w:firstLineChars="200"/>
        <w:rPr>
          <w:rFonts w:hint="default" w:ascii="仿宋_GB2312" w:hAnsi="仿宋_GB2312" w:eastAsia="仿宋_GB2312" w:cs="仿宋_GB2312"/>
          <w:b w:val="0"/>
          <w:bCs w:val="0"/>
          <w:color w:val="auto"/>
          <w:sz w:val="32"/>
          <w:szCs w:val="32"/>
          <w:lang w:val="en-US" w:eastAsia="zh-CN" w:bidi="ar"/>
        </w:rPr>
      </w:pPr>
      <w:r>
        <w:rPr>
          <w:rFonts w:hint="eastAsia" w:ascii="仿宋_GB2312" w:hAnsi="仿宋_GB2312" w:eastAsia="仿宋_GB2312" w:cs="仿宋_GB2312"/>
          <w:b w:val="0"/>
          <w:bCs w:val="0"/>
          <w:color w:val="auto"/>
          <w:sz w:val="32"/>
          <w:szCs w:val="32"/>
          <w:lang w:val="en-US" w:eastAsia="zh-CN" w:bidi="ar"/>
        </w:rPr>
        <w:t>由区</w:t>
      </w:r>
      <w:r>
        <w:rPr>
          <w:rFonts w:hint="default" w:ascii="仿宋_GB2312" w:hAnsi="仿宋_GB2312" w:eastAsia="仿宋_GB2312" w:cs="仿宋_GB2312"/>
          <w:b w:val="0"/>
          <w:bCs w:val="0"/>
          <w:color w:val="auto"/>
          <w:sz w:val="32"/>
          <w:szCs w:val="32"/>
          <w:lang w:val="en-US" w:eastAsia="zh-CN" w:bidi="ar"/>
        </w:rPr>
        <w:t>交通运输行政管理部门依照法定程序批准经营的公交客运编码线路（不含定制公交等特殊线路）。</w:t>
      </w:r>
    </w:p>
    <w:p w14:paraId="16A5A47B">
      <w:pPr>
        <w:widowControl w:val="0"/>
        <w:numPr>
          <w:ilvl w:val="0"/>
          <w:numId w:val="0"/>
        </w:numPr>
        <w:adjustRightInd w:val="0"/>
        <w:snapToGrid w:val="0"/>
        <w:spacing w:line="560" w:lineRule="exact"/>
        <w:ind w:firstLine="640" w:firstLineChars="200"/>
        <w:rPr>
          <w:rFonts w:hint="default" w:ascii="仿宋_GB2312" w:hAnsi="仿宋_GB2312" w:eastAsia="仿宋_GB2312" w:cs="仿宋_GB2312"/>
          <w:b w:val="0"/>
          <w:bCs w:val="0"/>
          <w:color w:val="auto"/>
          <w:sz w:val="32"/>
          <w:szCs w:val="32"/>
          <w:lang w:val="en-US" w:eastAsia="zh-CN" w:bidi="ar"/>
        </w:rPr>
      </w:pPr>
      <w:r>
        <w:rPr>
          <w:rFonts w:hint="eastAsia" w:ascii="楷体_GB2312" w:hAnsi="楷体_GB2312" w:eastAsia="楷体_GB2312" w:cs="楷体_GB2312"/>
          <w:b w:val="0"/>
          <w:bCs w:val="0"/>
          <w:color w:val="auto"/>
          <w:sz w:val="32"/>
          <w:szCs w:val="32"/>
          <w:lang w:val="en-US" w:eastAsia="zh-CN" w:bidi="ar"/>
        </w:rPr>
        <w:t>（二）两个备选方案</w:t>
      </w:r>
    </w:p>
    <w:p w14:paraId="10980169">
      <w:pPr>
        <w:widowControl/>
        <w:numPr>
          <w:ilvl w:val="0"/>
          <w:numId w:val="0"/>
        </w:numPr>
        <w:adjustRightInd w:val="0"/>
        <w:snapToGrid w:val="0"/>
        <w:spacing w:line="560" w:lineRule="exact"/>
        <w:ind w:firstLine="640" w:firstLineChars="200"/>
        <w:jc w:val="both"/>
        <w:rPr>
          <w:rFonts w:hint="default" w:ascii="Times New Roman" w:hAnsi="Times New Roman" w:eastAsia="仿宋_GB2312" w:cs="Times New Roman"/>
          <w:b w:val="0"/>
          <w:bCs w:val="0"/>
          <w:color w:val="auto"/>
          <w:sz w:val="32"/>
          <w:szCs w:val="32"/>
          <w:highlight w:val="none"/>
          <w:lang w:val="en-US" w:eastAsia="zh-CN" w:bidi="ar"/>
        </w:rPr>
      </w:pPr>
      <w:r>
        <w:rPr>
          <w:rFonts w:hint="default" w:ascii="Times New Roman" w:hAnsi="Times New Roman" w:eastAsia="仿宋_GB2312" w:cs="Times New Roman"/>
          <w:i w:val="0"/>
          <w:iCs w:val="0"/>
          <w:sz w:val="32"/>
          <w:szCs w:val="32"/>
          <w:lang w:val="en-US" w:eastAsia="zh-CN" w:bidi="ar"/>
        </w:rPr>
        <w:t>为简化票价体系、提升公交服务效能，借鉴广州市中心城区</w:t>
      </w:r>
      <w:r>
        <w:rPr>
          <w:rFonts w:hint="eastAsia" w:eastAsia="仿宋_GB2312" w:cs="Times New Roman"/>
          <w:i w:val="0"/>
          <w:iCs w:val="0"/>
          <w:sz w:val="32"/>
          <w:szCs w:val="32"/>
          <w:lang w:val="en-US" w:eastAsia="zh-CN" w:bidi="ar"/>
        </w:rPr>
        <w:t>等地区做法，结合市民出行需求和我区公交发展实际，本次优化调整拟简化票价层级，并优化对应的全程营运里程划分标准。现提出以下两个公交基础票价优化调整比选方案：</w:t>
      </w:r>
    </w:p>
    <w:p w14:paraId="2673ED6D">
      <w:pPr>
        <w:pStyle w:val="7"/>
        <w:adjustRightInd/>
        <w:snapToGrid/>
        <w:spacing w:line="560" w:lineRule="exact"/>
        <w:ind w:firstLine="636" w:firstLineChars="199"/>
        <w:rPr>
          <w:rFonts w:hint="default" w:ascii="Times New Roman" w:hAnsi="Times New Roman" w:eastAsia="仿宋_GB2312" w:cs="Times New Roman"/>
          <w:b w:val="0"/>
          <w:bCs w:val="0"/>
          <w:kern w:val="2"/>
          <w:sz w:val="32"/>
          <w:szCs w:val="24"/>
          <w:highlight w:val="none"/>
          <w:lang w:eastAsia="zh-CN" w:bidi="ar-SA"/>
        </w:rPr>
      </w:pPr>
      <w:r>
        <w:rPr>
          <w:rFonts w:hint="eastAsia" w:ascii="仿宋_GB2312" w:hAnsi="仿宋_GB2312" w:eastAsia="仿宋_GB2312" w:cs="仿宋_GB2312"/>
          <w:b w:val="0"/>
          <w:bCs w:val="0"/>
          <w:sz w:val="32"/>
          <w:highlight w:val="none"/>
          <w:lang w:val="en-US" w:eastAsia="zh-CN"/>
        </w:rPr>
        <w:t>方案一：</w:t>
      </w:r>
      <w:r>
        <w:rPr>
          <w:rFonts w:hint="default" w:ascii="仿宋_GB2312" w:hAnsi="仿宋_GB2312" w:eastAsia="仿宋_GB2312" w:cs="仿宋_GB2312"/>
          <w:b w:val="0"/>
          <w:bCs w:val="0"/>
          <w:kern w:val="2"/>
          <w:sz w:val="32"/>
          <w:szCs w:val="22"/>
          <w:highlight w:val="none"/>
          <w:lang w:val="en-US" w:eastAsia="zh-CN" w:bidi="ar-SA"/>
        </w:rPr>
        <w:t>按线路全程营运里程分段计价，将</w:t>
      </w:r>
      <w:r>
        <w:rPr>
          <w:rFonts w:hint="default" w:ascii="仿宋_GB2312" w:hAnsi="仿宋_GB2312" w:eastAsia="仿宋_GB2312" w:cs="仿宋_GB2312"/>
          <w:b w:val="0"/>
          <w:bCs w:val="0"/>
          <w:kern w:val="2"/>
          <w:sz w:val="32"/>
          <w:szCs w:val="22"/>
          <w:highlight w:val="none"/>
          <w:lang w:eastAsia="zh-CN" w:bidi="ar-SA"/>
        </w:rPr>
        <w:t>日班车线路分段计价层级</w:t>
      </w:r>
      <w:r>
        <w:rPr>
          <w:rFonts w:hint="default" w:ascii="仿宋_GB2312" w:hAnsi="仿宋_GB2312" w:eastAsia="仿宋_GB2312" w:cs="仿宋_GB2312"/>
          <w:b w:val="0"/>
          <w:bCs w:val="0"/>
          <w:kern w:val="2"/>
          <w:sz w:val="32"/>
          <w:szCs w:val="22"/>
          <w:highlight w:val="none"/>
          <w:lang w:val="en-US" w:eastAsia="zh-CN" w:bidi="ar-SA"/>
        </w:rPr>
        <w:t>由五级减少至两级</w:t>
      </w:r>
      <w:r>
        <w:rPr>
          <w:rFonts w:hint="default" w:ascii="仿宋_GB2312" w:hAnsi="仿宋_GB2312" w:eastAsia="仿宋_GB2312" w:cs="仿宋_GB2312"/>
          <w:b w:val="0"/>
          <w:bCs w:val="0"/>
          <w:kern w:val="2"/>
          <w:sz w:val="32"/>
          <w:szCs w:val="24"/>
          <w:highlight w:val="none"/>
          <w:lang w:val="en" w:eastAsia="zh-CN" w:bidi="ar-SA"/>
        </w:rPr>
        <w:t>,</w:t>
      </w:r>
      <w:r>
        <w:rPr>
          <w:rFonts w:hint="eastAsia" w:ascii="仿宋_GB2312" w:hAnsi="仿宋_GB2312" w:eastAsia="仿宋_GB2312" w:cs="仿宋_GB2312"/>
          <w:b w:val="0"/>
          <w:bCs w:val="0"/>
          <w:kern w:val="2"/>
          <w:sz w:val="32"/>
          <w:szCs w:val="24"/>
          <w:highlight w:val="none"/>
          <w:lang w:val="en-US" w:eastAsia="zh-CN" w:bidi="ar-SA"/>
        </w:rPr>
        <w:t>优化对应的全程营运里程</w:t>
      </w:r>
      <w:r>
        <w:rPr>
          <w:rFonts w:hint="default" w:ascii="仿宋_GB2312" w:hAnsi="仿宋_GB2312" w:eastAsia="仿宋_GB2312" w:cs="仿宋_GB2312"/>
          <w:b w:val="0"/>
          <w:bCs w:val="0"/>
          <w:kern w:val="2"/>
          <w:sz w:val="32"/>
          <w:szCs w:val="22"/>
          <w:highlight w:val="none"/>
          <w:lang w:eastAsia="zh-CN" w:bidi="ar-SA"/>
        </w:rPr>
        <w:t>。</w:t>
      </w:r>
      <w:r>
        <w:rPr>
          <w:rFonts w:hint="default" w:ascii="Times New Roman" w:hAnsi="Times New Roman" w:eastAsia="仿宋_GB2312" w:cs="Times New Roman"/>
          <w:b w:val="0"/>
          <w:bCs w:val="0"/>
          <w:kern w:val="2"/>
          <w:sz w:val="32"/>
          <w:szCs w:val="24"/>
          <w:highlight w:val="none"/>
          <w:lang w:eastAsia="zh-CN" w:bidi="ar-SA"/>
        </w:rPr>
        <w:t>取消</w:t>
      </w:r>
      <w:r>
        <w:rPr>
          <w:rFonts w:hint="default" w:ascii="Times New Roman" w:hAnsi="Times New Roman" w:eastAsia="仿宋_GB2312" w:cs="Times New Roman"/>
          <w:b w:val="0"/>
          <w:bCs w:val="0"/>
          <w:kern w:val="2"/>
          <w:sz w:val="32"/>
          <w:szCs w:val="24"/>
          <w:highlight w:val="none"/>
          <w:lang w:val="en-US" w:eastAsia="zh-CN" w:bidi="ar-SA"/>
        </w:rPr>
        <w:t>1元、4元、5元三个票价层级，保留2元、3元两个票价层级。</w:t>
      </w:r>
      <w:r>
        <w:rPr>
          <w:rFonts w:hint="default" w:ascii="Times New Roman" w:hAnsi="Times New Roman" w:eastAsia="仿宋_GB2312" w:cs="Times New Roman"/>
          <w:b w:val="0"/>
          <w:bCs w:val="0"/>
          <w:sz w:val="32"/>
          <w:szCs w:val="32"/>
          <w:lang w:eastAsia="zh-CN" w:bidi="ar"/>
        </w:rPr>
        <w:t>具体为：</w:t>
      </w:r>
      <w:r>
        <w:rPr>
          <w:rFonts w:hint="default" w:ascii="Times New Roman" w:hAnsi="Times New Roman" w:eastAsia="仿宋_GB2312" w:cs="Times New Roman"/>
          <w:b w:val="0"/>
          <w:bCs w:val="0"/>
          <w:sz w:val="32"/>
          <w:szCs w:val="32"/>
          <w:lang w:val="en-US" w:eastAsia="zh-CN" w:bidi="ar"/>
        </w:rPr>
        <w:t>全程营运里程小于或等于20公里的线路票价为2元</w:t>
      </w:r>
      <w:r>
        <w:rPr>
          <w:rFonts w:hint="default" w:ascii="Times New Roman" w:hAnsi="Times New Roman" w:eastAsia="仿宋_GB2312" w:cs="Times New Roman"/>
          <w:b w:val="0"/>
          <w:bCs w:val="0"/>
          <w:sz w:val="32"/>
          <w:szCs w:val="32"/>
          <w:lang w:eastAsia="zh-CN" w:bidi="ar"/>
        </w:rPr>
        <w:t>，</w:t>
      </w:r>
      <w:r>
        <w:rPr>
          <w:rFonts w:hint="default" w:ascii="Times New Roman" w:hAnsi="Times New Roman" w:eastAsia="仿宋_GB2312" w:cs="Times New Roman"/>
          <w:b w:val="0"/>
          <w:bCs w:val="0"/>
          <w:sz w:val="32"/>
          <w:szCs w:val="32"/>
          <w:lang w:val="en-US" w:eastAsia="zh-CN" w:bidi="ar"/>
        </w:rPr>
        <w:t>全程营运里程大于20公里的线路票价为3元</w:t>
      </w:r>
      <w:r>
        <w:rPr>
          <w:rFonts w:hint="default" w:ascii="Times New Roman" w:hAnsi="Times New Roman" w:cs="Times New Roman"/>
          <w:b w:val="0"/>
          <w:bCs w:val="0"/>
          <w:sz w:val="32"/>
          <w:szCs w:val="32"/>
          <w:lang w:val="en-US" w:eastAsia="zh-CN" w:bidi="ar"/>
        </w:rPr>
        <w:t>。</w:t>
      </w:r>
    </w:p>
    <w:p w14:paraId="5C41D1E2">
      <w:pPr>
        <w:pStyle w:val="7"/>
        <w:numPr>
          <w:ilvl w:val="-1"/>
          <w:numId w:val="0"/>
        </w:numPr>
        <w:spacing w:line="560" w:lineRule="exact"/>
        <w:ind w:firstLine="640" w:firstLineChars="200"/>
        <w:rPr>
          <w:rFonts w:hint="default"/>
          <w:lang w:val="en-US" w:eastAsia="zh-CN"/>
        </w:rPr>
      </w:pPr>
      <w:r>
        <w:rPr>
          <w:rFonts w:hint="default" w:ascii="仿宋_GB2312" w:hAnsi="仿宋_GB2312" w:eastAsia="仿宋_GB2312" w:cs="仿宋_GB2312"/>
          <w:b w:val="0"/>
          <w:bCs w:val="0"/>
          <w:color w:val="auto"/>
          <w:kern w:val="2"/>
          <w:szCs w:val="22"/>
          <w:highlight w:val="none"/>
          <w:lang w:val="en-US" w:eastAsia="zh-CN" w:bidi="ar-SA"/>
        </w:rPr>
        <w:t>方案二：</w:t>
      </w:r>
      <w:r>
        <w:rPr>
          <w:rFonts w:hint="default" w:ascii="仿宋_GB2312" w:hAnsi="仿宋_GB2312" w:eastAsia="仿宋_GB2312" w:cs="仿宋_GB2312"/>
          <w:b w:val="0"/>
          <w:bCs w:val="0"/>
          <w:kern w:val="2"/>
          <w:sz w:val="32"/>
          <w:szCs w:val="22"/>
          <w:highlight w:val="none"/>
          <w:lang w:val="en-US" w:eastAsia="zh-CN" w:bidi="ar-SA"/>
        </w:rPr>
        <w:t>按线路全程营运里程分段计价，将</w:t>
      </w:r>
      <w:r>
        <w:rPr>
          <w:rFonts w:hint="default" w:ascii="仿宋_GB2312" w:hAnsi="仿宋_GB2312" w:eastAsia="仿宋_GB2312" w:cs="仿宋_GB2312"/>
          <w:b w:val="0"/>
          <w:bCs w:val="0"/>
          <w:kern w:val="2"/>
          <w:sz w:val="32"/>
          <w:szCs w:val="22"/>
          <w:highlight w:val="none"/>
          <w:lang w:eastAsia="zh-CN" w:bidi="ar-SA"/>
        </w:rPr>
        <w:t>日班车线路分段计价层级</w:t>
      </w:r>
      <w:r>
        <w:rPr>
          <w:rFonts w:hint="default" w:ascii="仿宋_GB2312" w:hAnsi="仿宋_GB2312" w:eastAsia="仿宋_GB2312" w:cs="仿宋_GB2312"/>
          <w:b w:val="0"/>
          <w:bCs w:val="0"/>
          <w:kern w:val="2"/>
          <w:sz w:val="32"/>
          <w:szCs w:val="22"/>
          <w:highlight w:val="none"/>
          <w:lang w:val="en-US" w:eastAsia="zh-CN" w:bidi="ar-SA"/>
        </w:rPr>
        <w:t>由五级减少至两级</w:t>
      </w:r>
      <w:r>
        <w:rPr>
          <w:rFonts w:hint="default" w:ascii="仿宋_GB2312" w:hAnsi="仿宋_GB2312" w:eastAsia="仿宋_GB2312" w:cs="仿宋_GB2312"/>
          <w:b w:val="0"/>
          <w:bCs w:val="0"/>
          <w:kern w:val="2"/>
          <w:sz w:val="32"/>
          <w:szCs w:val="24"/>
          <w:highlight w:val="none"/>
          <w:lang w:val="en" w:eastAsia="zh-CN" w:bidi="ar-SA"/>
        </w:rPr>
        <w:t>,</w:t>
      </w:r>
      <w:r>
        <w:rPr>
          <w:rFonts w:hint="eastAsia" w:ascii="仿宋_GB2312" w:hAnsi="仿宋_GB2312" w:eastAsia="仿宋_GB2312" w:cs="仿宋_GB2312"/>
          <w:b w:val="0"/>
          <w:bCs w:val="0"/>
          <w:kern w:val="2"/>
          <w:sz w:val="32"/>
          <w:szCs w:val="24"/>
          <w:highlight w:val="none"/>
          <w:lang w:val="en-US" w:eastAsia="zh-CN" w:bidi="ar-SA"/>
        </w:rPr>
        <w:t>优化对应的全程营运里程</w:t>
      </w:r>
      <w:r>
        <w:rPr>
          <w:rFonts w:hint="default" w:ascii="仿宋_GB2312" w:hAnsi="仿宋_GB2312" w:eastAsia="仿宋_GB2312" w:cs="仿宋_GB2312"/>
          <w:b w:val="0"/>
          <w:bCs w:val="0"/>
          <w:kern w:val="2"/>
          <w:sz w:val="32"/>
          <w:szCs w:val="22"/>
          <w:highlight w:val="none"/>
          <w:lang w:eastAsia="zh-CN" w:bidi="ar-SA"/>
        </w:rPr>
        <w:t>。</w:t>
      </w:r>
      <w:r>
        <w:rPr>
          <w:rFonts w:hint="default" w:ascii="Times New Roman" w:hAnsi="Times New Roman" w:eastAsia="仿宋_GB2312" w:cs="Times New Roman"/>
          <w:kern w:val="2"/>
          <w:sz w:val="32"/>
          <w:szCs w:val="24"/>
          <w:highlight w:val="none"/>
          <w:lang w:eastAsia="zh-CN" w:bidi="ar-SA"/>
        </w:rPr>
        <w:t>取消</w:t>
      </w:r>
      <w:r>
        <w:rPr>
          <w:rFonts w:hint="default" w:ascii="Times New Roman" w:hAnsi="Times New Roman" w:eastAsia="仿宋_GB2312" w:cs="Times New Roman"/>
          <w:kern w:val="2"/>
          <w:sz w:val="32"/>
          <w:szCs w:val="24"/>
          <w:highlight w:val="none"/>
          <w:lang w:val="en-US" w:eastAsia="zh-CN" w:bidi="ar-SA"/>
        </w:rPr>
        <w:t>1元、4元、5元三个票价层级，保留2元、3元两个票价层级。</w:t>
      </w:r>
      <w:r>
        <w:rPr>
          <w:rFonts w:hint="default" w:ascii="Times New Roman" w:hAnsi="Times New Roman" w:eastAsia="仿宋_GB2312" w:cs="Times New Roman"/>
          <w:sz w:val="32"/>
          <w:szCs w:val="32"/>
          <w:lang w:eastAsia="zh-CN" w:bidi="ar"/>
        </w:rPr>
        <w:t>具体为：</w:t>
      </w:r>
      <w:r>
        <w:rPr>
          <w:rFonts w:hint="default" w:ascii="Times New Roman" w:hAnsi="Times New Roman" w:eastAsia="仿宋_GB2312" w:cs="Times New Roman"/>
          <w:sz w:val="32"/>
          <w:szCs w:val="32"/>
          <w:lang w:val="en-US" w:eastAsia="zh-CN" w:bidi="ar"/>
        </w:rPr>
        <w:t>全程营运里程小于或等于</w:t>
      </w:r>
      <w:r>
        <w:rPr>
          <w:rFonts w:hint="eastAsia" w:ascii="Times New Roman" w:hAnsi="Times New Roman" w:cs="Times New Roman"/>
          <w:sz w:val="32"/>
          <w:szCs w:val="32"/>
          <w:lang w:val="en-US" w:eastAsia="zh-CN" w:bidi="ar"/>
        </w:rPr>
        <w:t>15.42</w:t>
      </w:r>
      <w:r>
        <w:rPr>
          <w:rFonts w:hint="default" w:ascii="Times New Roman" w:hAnsi="Times New Roman" w:eastAsia="仿宋_GB2312" w:cs="Times New Roman"/>
          <w:sz w:val="32"/>
          <w:szCs w:val="32"/>
          <w:lang w:val="en-US" w:eastAsia="zh-CN" w:bidi="ar"/>
        </w:rPr>
        <w:t>公里的线路票价为2元</w:t>
      </w:r>
      <w:r>
        <w:rPr>
          <w:rFonts w:hint="default" w:ascii="Times New Roman" w:hAnsi="Times New Roman" w:eastAsia="仿宋_GB2312" w:cs="Times New Roman"/>
          <w:sz w:val="32"/>
          <w:szCs w:val="32"/>
          <w:lang w:eastAsia="zh-CN" w:bidi="ar"/>
        </w:rPr>
        <w:t>，</w:t>
      </w:r>
      <w:r>
        <w:rPr>
          <w:rFonts w:hint="default" w:ascii="Times New Roman" w:hAnsi="Times New Roman" w:eastAsia="仿宋_GB2312" w:cs="Times New Roman"/>
          <w:sz w:val="32"/>
          <w:szCs w:val="32"/>
          <w:lang w:val="en-US" w:eastAsia="zh-CN" w:bidi="ar"/>
        </w:rPr>
        <w:t>全程营运里程大于</w:t>
      </w:r>
      <w:r>
        <w:rPr>
          <w:rFonts w:hint="eastAsia" w:ascii="Times New Roman" w:hAnsi="Times New Roman" w:cs="Times New Roman"/>
          <w:sz w:val="32"/>
          <w:szCs w:val="32"/>
          <w:lang w:val="en-US" w:eastAsia="zh-CN" w:bidi="ar"/>
        </w:rPr>
        <w:t>15.42</w:t>
      </w:r>
      <w:r>
        <w:rPr>
          <w:rFonts w:hint="default" w:ascii="Times New Roman" w:hAnsi="Times New Roman" w:eastAsia="仿宋_GB2312" w:cs="Times New Roman"/>
          <w:sz w:val="32"/>
          <w:szCs w:val="32"/>
          <w:lang w:val="en-US" w:eastAsia="zh-CN" w:bidi="ar"/>
        </w:rPr>
        <w:t>公里的线路票价为3元</w:t>
      </w:r>
      <w:r>
        <w:rPr>
          <w:rFonts w:hint="default" w:ascii="Times New Roman" w:hAnsi="Times New Roman" w:cs="Times New Roman"/>
          <w:sz w:val="32"/>
          <w:szCs w:val="32"/>
          <w:lang w:val="en-US" w:eastAsia="zh-CN" w:bidi="ar"/>
        </w:rPr>
        <w:t>。</w:t>
      </w:r>
    </w:p>
    <w:tbl>
      <w:tblPr>
        <w:tblStyle w:val="8"/>
        <w:tblW w:w="8659" w:type="dxa"/>
        <w:jc w:val="center"/>
        <w:tblLayout w:type="fixed"/>
        <w:tblCellMar>
          <w:top w:w="0" w:type="dxa"/>
          <w:left w:w="108" w:type="dxa"/>
          <w:bottom w:w="0" w:type="dxa"/>
          <w:right w:w="108" w:type="dxa"/>
        </w:tblCellMar>
      </w:tblPr>
      <w:tblGrid>
        <w:gridCol w:w="881"/>
        <w:gridCol w:w="1215"/>
        <w:gridCol w:w="829"/>
        <w:gridCol w:w="1052"/>
        <w:gridCol w:w="961"/>
        <w:gridCol w:w="968"/>
        <w:gridCol w:w="976"/>
        <w:gridCol w:w="1015"/>
        <w:gridCol w:w="762"/>
      </w:tblGrid>
      <w:tr w14:paraId="61DA2E38">
        <w:tblPrEx>
          <w:tblCellMar>
            <w:top w:w="0" w:type="dxa"/>
            <w:left w:w="108" w:type="dxa"/>
            <w:bottom w:w="0" w:type="dxa"/>
            <w:right w:w="108" w:type="dxa"/>
          </w:tblCellMar>
        </w:tblPrEx>
        <w:trPr>
          <w:trHeight w:val="563" w:hRule="atLeast"/>
          <w:tblHeader/>
          <w:jc w:val="center"/>
        </w:trPr>
        <w:tc>
          <w:tcPr>
            <w:tcW w:w="2925" w:type="dxa"/>
            <w:gridSpan w:val="3"/>
            <w:tcBorders>
              <w:top w:val="single" w:color="000000" w:sz="4" w:space="0"/>
              <w:left w:val="single" w:color="000000" w:sz="4" w:space="0"/>
              <w:bottom w:val="single" w:color="000000" w:sz="4" w:space="0"/>
              <w:right w:val="single" w:color="000000" w:sz="4" w:space="0"/>
            </w:tcBorders>
            <w:vAlign w:val="center"/>
          </w:tcPr>
          <w:p w14:paraId="0C72DA8C">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lang w:eastAsia="zh-CN"/>
              </w:rPr>
            </w:pPr>
            <w:r>
              <w:rPr>
                <w:rFonts w:hint="eastAsia" w:ascii="黑体" w:hAnsi="黑体" w:eastAsia="黑体" w:cs="黑体"/>
                <w:b w:val="0"/>
                <w:bCs w:val="0"/>
                <w:kern w:val="0"/>
                <w:szCs w:val="21"/>
                <w:lang w:eastAsia="zh-CN"/>
              </w:rPr>
              <w:t>现行标准</w:t>
            </w:r>
          </w:p>
        </w:tc>
        <w:tc>
          <w:tcPr>
            <w:tcW w:w="2981" w:type="dxa"/>
            <w:gridSpan w:val="3"/>
            <w:tcBorders>
              <w:top w:val="single" w:color="000000" w:sz="4" w:space="0"/>
              <w:left w:val="single" w:color="000000" w:sz="4" w:space="0"/>
              <w:bottom w:val="single" w:color="000000" w:sz="4" w:space="0"/>
              <w:right w:val="single" w:color="000000" w:sz="4" w:space="0"/>
            </w:tcBorders>
            <w:vAlign w:val="center"/>
          </w:tcPr>
          <w:p w14:paraId="1B919FAA">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0"/>
                <w:szCs w:val="21"/>
              </w:rPr>
            </w:pPr>
            <w:r>
              <w:rPr>
                <w:rFonts w:hint="eastAsia" w:ascii="黑体" w:hAnsi="黑体" w:eastAsia="黑体" w:cs="黑体"/>
                <w:b w:val="0"/>
                <w:bCs w:val="0"/>
                <w:kern w:val="0"/>
                <w:szCs w:val="21"/>
                <w:lang w:eastAsia="zh-CN"/>
              </w:rPr>
              <w:t>方案一</w:t>
            </w:r>
          </w:p>
        </w:tc>
        <w:tc>
          <w:tcPr>
            <w:tcW w:w="2753" w:type="dxa"/>
            <w:gridSpan w:val="3"/>
            <w:tcBorders>
              <w:top w:val="single" w:color="000000" w:sz="4" w:space="0"/>
              <w:left w:val="single" w:color="000000" w:sz="4" w:space="0"/>
              <w:bottom w:val="single" w:color="000000" w:sz="4" w:space="0"/>
              <w:right w:val="single" w:color="000000" w:sz="4" w:space="0"/>
            </w:tcBorders>
            <w:vAlign w:val="center"/>
          </w:tcPr>
          <w:p w14:paraId="2952E06C">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2"/>
                <w:sz w:val="21"/>
                <w:szCs w:val="21"/>
                <w:lang w:val="en-US" w:eastAsia="zh-CN" w:bidi="ar-SA"/>
              </w:rPr>
            </w:pPr>
            <w:r>
              <w:rPr>
                <w:rFonts w:hint="eastAsia" w:ascii="黑体" w:hAnsi="黑体" w:eastAsia="黑体" w:cs="黑体"/>
                <w:b w:val="0"/>
                <w:bCs w:val="0"/>
                <w:kern w:val="0"/>
                <w:szCs w:val="21"/>
              </w:rPr>
              <w:t>方案</w:t>
            </w:r>
            <w:r>
              <w:rPr>
                <w:rFonts w:hint="eastAsia" w:ascii="黑体" w:hAnsi="黑体" w:eastAsia="黑体" w:cs="黑体"/>
                <w:b w:val="0"/>
                <w:bCs w:val="0"/>
                <w:kern w:val="0"/>
                <w:szCs w:val="21"/>
                <w:lang w:eastAsia="zh-CN"/>
              </w:rPr>
              <w:t>二</w:t>
            </w:r>
          </w:p>
        </w:tc>
      </w:tr>
      <w:tr w14:paraId="52BDF5CF">
        <w:tblPrEx>
          <w:tblCellMar>
            <w:top w:w="0" w:type="dxa"/>
            <w:left w:w="108" w:type="dxa"/>
            <w:bottom w:w="0" w:type="dxa"/>
            <w:right w:w="108" w:type="dxa"/>
          </w:tblCellMar>
        </w:tblPrEx>
        <w:trPr>
          <w:trHeight w:val="1339" w:hRule="atLeast"/>
          <w:tblHeader/>
          <w:jc w:val="center"/>
        </w:trPr>
        <w:tc>
          <w:tcPr>
            <w:tcW w:w="881" w:type="dxa"/>
            <w:tcBorders>
              <w:top w:val="single" w:color="000000" w:sz="4" w:space="0"/>
              <w:left w:val="single" w:color="000000" w:sz="4" w:space="0"/>
              <w:bottom w:val="single" w:color="000000" w:sz="4" w:space="0"/>
              <w:right w:val="single" w:color="000000" w:sz="4" w:space="0"/>
            </w:tcBorders>
            <w:vAlign w:val="center"/>
          </w:tcPr>
          <w:p w14:paraId="35A06C6D">
            <w:pPr>
              <w:keepNext w:val="0"/>
              <w:keepLines w:val="0"/>
              <w:pageBreakBefore w:val="0"/>
              <w:kinsoku/>
              <w:wordWrap/>
              <w:overflowPunct/>
              <w:topLinePunct w:val="0"/>
              <w:autoSpaceDE/>
              <w:autoSpaceDN/>
              <w:bidi w:val="0"/>
              <w:adjustRightInd/>
              <w:snapToGrid/>
              <w:spacing w:line="0" w:lineRule="atLeast"/>
              <w:ind w:firstLine="0" w:firstLineChars="0"/>
              <w:jc w:val="center"/>
              <w:rPr>
                <w:rFonts w:hint="eastAsia" w:ascii="黑体" w:hAnsi="黑体" w:eastAsia="黑体" w:cs="黑体"/>
                <w:b w:val="0"/>
                <w:bCs w:val="0"/>
                <w:szCs w:val="21"/>
              </w:rPr>
            </w:pPr>
            <w:r>
              <w:rPr>
                <w:rFonts w:hint="eastAsia" w:ascii="黑体" w:hAnsi="黑体" w:eastAsia="黑体" w:cs="黑体"/>
                <w:b w:val="0"/>
                <w:bCs w:val="0"/>
                <w:szCs w:val="21"/>
              </w:rPr>
              <w:t>类别</w:t>
            </w:r>
          </w:p>
        </w:tc>
        <w:tc>
          <w:tcPr>
            <w:tcW w:w="1215" w:type="dxa"/>
            <w:tcBorders>
              <w:top w:val="single" w:color="000000" w:sz="4" w:space="0"/>
              <w:left w:val="single" w:color="000000" w:sz="4" w:space="0"/>
              <w:bottom w:val="single" w:color="000000" w:sz="4" w:space="0"/>
              <w:right w:val="single" w:color="000000" w:sz="4" w:space="0"/>
            </w:tcBorders>
            <w:vAlign w:val="center"/>
          </w:tcPr>
          <w:p w14:paraId="4395BFCA">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szCs w:val="21"/>
              </w:rPr>
            </w:pPr>
            <w:r>
              <w:rPr>
                <w:rFonts w:hint="eastAsia" w:ascii="黑体" w:hAnsi="黑体" w:eastAsia="黑体" w:cs="黑体"/>
                <w:b w:val="0"/>
                <w:bCs w:val="0"/>
                <w:kern w:val="0"/>
                <w:szCs w:val="21"/>
              </w:rPr>
              <w:t>全程营运里程（公里）</w:t>
            </w:r>
          </w:p>
        </w:tc>
        <w:tc>
          <w:tcPr>
            <w:tcW w:w="829" w:type="dxa"/>
            <w:tcBorders>
              <w:top w:val="single" w:color="000000" w:sz="4" w:space="0"/>
              <w:left w:val="single" w:color="000000" w:sz="4" w:space="0"/>
              <w:bottom w:val="single" w:color="000000" w:sz="4" w:space="0"/>
              <w:right w:val="single" w:color="000000" w:sz="4" w:space="0"/>
            </w:tcBorders>
            <w:vAlign w:val="center"/>
          </w:tcPr>
          <w:p w14:paraId="77268646">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szCs w:val="21"/>
              </w:rPr>
            </w:pPr>
            <w:r>
              <w:rPr>
                <w:rFonts w:hint="eastAsia" w:ascii="黑体" w:hAnsi="黑体" w:eastAsia="黑体" w:cs="黑体"/>
                <w:b w:val="0"/>
                <w:bCs w:val="0"/>
                <w:szCs w:val="21"/>
              </w:rPr>
              <w:t>票价</w:t>
            </w:r>
          </w:p>
          <w:p w14:paraId="4F220B0B">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szCs w:val="21"/>
              </w:rPr>
            </w:pPr>
            <w:r>
              <w:rPr>
                <w:rFonts w:hint="eastAsia" w:ascii="黑体" w:hAnsi="黑体" w:eastAsia="黑体" w:cs="黑体"/>
                <w:b w:val="0"/>
                <w:bCs w:val="0"/>
                <w:kern w:val="0"/>
                <w:szCs w:val="21"/>
              </w:rPr>
              <w:t>（元/人次）</w:t>
            </w:r>
          </w:p>
        </w:tc>
        <w:tc>
          <w:tcPr>
            <w:tcW w:w="1052" w:type="dxa"/>
            <w:tcBorders>
              <w:top w:val="single" w:color="000000" w:sz="4" w:space="0"/>
              <w:left w:val="single" w:color="000000" w:sz="4" w:space="0"/>
              <w:bottom w:val="single" w:color="000000" w:sz="4" w:space="0"/>
              <w:right w:val="single" w:color="000000" w:sz="4" w:space="0"/>
            </w:tcBorders>
            <w:vAlign w:val="center"/>
          </w:tcPr>
          <w:p w14:paraId="7E9EEA2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2"/>
                <w:sz w:val="21"/>
                <w:szCs w:val="21"/>
                <w:lang w:val="en-US" w:eastAsia="zh-CN" w:bidi="ar-SA"/>
              </w:rPr>
            </w:pPr>
            <w:r>
              <w:rPr>
                <w:rFonts w:hint="eastAsia" w:ascii="黑体" w:hAnsi="黑体" w:eastAsia="黑体" w:cs="黑体"/>
                <w:b w:val="0"/>
                <w:bCs w:val="0"/>
                <w:kern w:val="0"/>
                <w:szCs w:val="21"/>
              </w:rPr>
              <w:t>全程营运里程（公里）</w:t>
            </w:r>
          </w:p>
        </w:tc>
        <w:tc>
          <w:tcPr>
            <w:tcW w:w="961" w:type="dxa"/>
            <w:tcBorders>
              <w:top w:val="single" w:color="000000" w:sz="4" w:space="0"/>
              <w:left w:val="single" w:color="000000" w:sz="4" w:space="0"/>
              <w:bottom w:val="single" w:color="000000" w:sz="4" w:space="0"/>
              <w:right w:val="single" w:color="000000" w:sz="4" w:space="0"/>
            </w:tcBorders>
            <w:vAlign w:val="center"/>
          </w:tcPr>
          <w:p w14:paraId="42F350DF">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2"/>
                <w:sz w:val="21"/>
                <w:szCs w:val="21"/>
                <w:lang w:val="en-US" w:eastAsia="zh-CN" w:bidi="ar-SA"/>
              </w:rPr>
            </w:pPr>
            <w:r>
              <w:rPr>
                <w:rFonts w:hint="eastAsia" w:ascii="黑体" w:hAnsi="黑体" w:eastAsia="黑体" w:cs="黑体"/>
                <w:b w:val="0"/>
                <w:bCs w:val="0"/>
                <w:szCs w:val="21"/>
              </w:rPr>
              <w:t>票价</w:t>
            </w:r>
            <w:r>
              <w:rPr>
                <w:rFonts w:hint="eastAsia" w:ascii="黑体" w:hAnsi="黑体" w:eastAsia="黑体" w:cs="黑体"/>
                <w:b w:val="0"/>
                <w:bCs w:val="0"/>
                <w:kern w:val="0"/>
                <w:szCs w:val="21"/>
              </w:rPr>
              <w:t>（元/人次）</w:t>
            </w:r>
          </w:p>
        </w:tc>
        <w:tc>
          <w:tcPr>
            <w:tcW w:w="968" w:type="dxa"/>
            <w:tcBorders>
              <w:top w:val="single" w:color="000000" w:sz="4" w:space="0"/>
              <w:left w:val="single" w:color="000000" w:sz="4" w:space="0"/>
              <w:bottom w:val="single" w:color="000000" w:sz="4" w:space="0"/>
              <w:right w:val="single" w:color="000000" w:sz="4" w:space="0"/>
            </w:tcBorders>
            <w:vAlign w:val="center"/>
          </w:tcPr>
          <w:p w14:paraId="4A5C1B2E">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0"/>
                <w:szCs w:val="21"/>
              </w:rPr>
            </w:pPr>
            <w:r>
              <w:rPr>
                <w:rFonts w:hint="eastAsia" w:ascii="黑体" w:hAnsi="黑体" w:eastAsia="黑体" w:cs="黑体"/>
                <w:b w:val="0"/>
                <w:bCs w:val="0"/>
                <w:kern w:val="0"/>
                <w:szCs w:val="21"/>
              </w:rPr>
              <w:t>调整</w:t>
            </w:r>
          </w:p>
          <w:p w14:paraId="5234FD0F">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0"/>
                <w:szCs w:val="21"/>
              </w:rPr>
            </w:pPr>
            <w:r>
              <w:rPr>
                <w:rFonts w:hint="eastAsia" w:ascii="黑体" w:hAnsi="黑体" w:eastAsia="黑体" w:cs="黑体"/>
                <w:b w:val="0"/>
                <w:bCs w:val="0"/>
                <w:kern w:val="0"/>
                <w:szCs w:val="21"/>
              </w:rPr>
              <w:t>情况</w:t>
            </w:r>
          </w:p>
        </w:tc>
        <w:tc>
          <w:tcPr>
            <w:tcW w:w="976" w:type="dxa"/>
            <w:tcBorders>
              <w:top w:val="single" w:color="000000" w:sz="4" w:space="0"/>
              <w:left w:val="single" w:color="000000" w:sz="4" w:space="0"/>
              <w:bottom w:val="single" w:color="000000" w:sz="4" w:space="0"/>
              <w:right w:val="single" w:color="000000" w:sz="4" w:space="0"/>
            </w:tcBorders>
            <w:vAlign w:val="center"/>
          </w:tcPr>
          <w:p w14:paraId="15ECC80E">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2"/>
                <w:sz w:val="21"/>
                <w:szCs w:val="21"/>
                <w:lang w:val="en-US" w:eastAsia="zh-CN" w:bidi="ar-SA"/>
              </w:rPr>
            </w:pPr>
            <w:r>
              <w:rPr>
                <w:rFonts w:hint="eastAsia" w:ascii="黑体" w:hAnsi="黑体" w:eastAsia="黑体" w:cs="黑体"/>
                <w:b w:val="0"/>
                <w:bCs w:val="0"/>
                <w:kern w:val="0"/>
                <w:szCs w:val="21"/>
              </w:rPr>
              <w:t>全程营运里程（公里）</w:t>
            </w:r>
          </w:p>
        </w:tc>
        <w:tc>
          <w:tcPr>
            <w:tcW w:w="1015" w:type="dxa"/>
            <w:tcBorders>
              <w:top w:val="single" w:color="000000" w:sz="4" w:space="0"/>
              <w:left w:val="single" w:color="000000" w:sz="4" w:space="0"/>
              <w:bottom w:val="single" w:color="000000" w:sz="4" w:space="0"/>
              <w:right w:val="single" w:color="000000" w:sz="4" w:space="0"/>
            </w:tcBorders>
            <w:vAlign w:val="center"/>
          </w:tcPr>
          <w:p w14:paraId="2D71307B">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2"/>
                <w:sz w:val="21"/>
                <w:szCs w:val="21"/>
                <w:lang w:val="en-US" w:eastAsia="zh-CN" w:bidi="ar-SA"/>
              </w:rPr>
            </w:pPr>
            <w:r>
              <w:rPr>
                <w:rFonts w:hint="eastAsia" w:ascii="黑体" w:hAnsi="黑体" w:eastAsia="黑体" w:cs="黑体"/>
                <w:b w:val="0"/>
                <w:bCs w:val="0"/>
                <w:szCs w:val="21"/>
              </w:rPr>
              <w:t>票价</w:t>
            </w:r>
            <w:r>
              <w:rPr>
                <w:rFonts w:hint="eastAsia" w:ascii="黑体" w:hAnsi="黑体" w:eastAsia="黑体" w:cs="黑体"/>
                <w:b w:val="0"/>
                <w:bCs w:val="0"/>
                <w:kern w:val="0"/>
                <w:szCs w:val="21"/>
              </w:rPr>
              <w:t>（元/人次）</w:t>
            </w:r>
          </w:p>
        </w:tc>
        <w:tc>
          <w:tcPr>
            <w:tcW w:w="762" w:type="dxa"/>
            <w:tcBorders>
              <w:top w:val="single" w:color="000000" w:sz="4" w:space="0"/>
              <w:left w:val="single" w:color="000000" w:sz="4" w:space="0"/>
              <w:bottom w:val="single" w:color="000000" w:sz="4" w:space="0"/>
              <w:right w:val="single" w:color="000000" w:sz="4" w:space="0"/>
            </w:tcBorders>
            <w:vAlign w:val="center"/>
          </w:tcPr>
          <w:p w14:paraId="0EC20E43">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黑体" w:hAnsi="黑体" w:eastAsia="黑体" w:cs="黑体"/>
                <w:b w:val="0"/>
                <w:bCs w:val="0"/>
                <w:kern w:val="0"/>
                <w:szCs w:val="21"/>
              </w:rPr>
            </w:pPr>
            <w:r>
              <w:rPr>
                <w:rFonts w:hint="eastAsia" w:ascii="黑体" w:hAnsi="黑体" w:eastAsia="黑体" w:cs="黑体"/>
                <w:b w:val="0"/>
                <w:bCs w:val="0"/>
                <w:kern w:val="0"/>
                <w:szCs w:val="21"/>
              </w:rPr>
              <w:t>调整</w:t>
            </w:r>
          </w:p>
          <w:p w14:paraId="1A8FD3D1">
            <w:pPr>
              <w:keepNext w:val="0"/>
              <w:keepLines w:val="0"/>
              <w:pageBreakBefore w:val="0"/>
              <w:kinsoku/>
              <w:wordWrap/>
              <w:overflowPunct/>
              <w:topLinePunct w:val="0"/>
              <w:autoSpaceDE/>
              <w:autoSpaceDN/>
              <w:bidi w:val="0"/>
              <w:adjustRightInd/>
              <w:snapToGrid/>
              <w:spacing w:line="0" w:lineRule="atLeast"/>
              <w:ind w:left="0" w:leftChars="0" w:firstLine="0" w:firstLineChars="0"/>
              <w:jc w:val="center"/>
              <w:rPr>
                <w:rFonts w:hint="eastAsia" w:ascii="黑体" w:hAnsi="黑体" w:eastAsia="黑体" w:cs="黑体"/>
                <w:b w:val="0"/>
                <w:bCs w:val="0"/>
                <w:kern w:val="2"/>
                <w:sz w:val="21"/>
                <w:szCs w:val="21"/>
                <w:lang w:val="en-US" w:eastAsia="zh-CN" w:bidi="ar-SA"/>
              </w:rPr>
            </w:pPr>
            <w:r>
              <w:rPr>
                <w:rFonts w:hint="eastAsia" w:ascii="黑体" w:hAnsi="黑体" w:eastAsia="黑体" w:cs="黑体"/>
                <w:b w:val="0"/>
                <w:bCs w:val="0"/>
                <w:kern w:val="0"/>
                <w:szCs w:val="21"/>
              </w:rPr>
              <w:t>情况</w:t>
            </w:r>
          </w:p>
        </w:tc>
      </w:tr>
      <w:tr w14:paraId="1F3ED926">
        <w:tblPrEx>
          <w:tblCellMar>
            <w:top w:w="0" w:type="dxa"/>
            <w:left w:w="108" w:type="dxa"/>
            <w:bottom w:w="0" w:type="dxa"/>
            <w:right w:w="108" w:type="dxa"/>
          </w:tblCellMar>
        </w:tblPrEx>
        <w:trPr>
          <w:trHeight w:val="721"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14442662">
            <w:pPr>
              <w:keepNext w:val="0"/>
              <w:keepLines w:val="0"/>
              <w:pageBreakBefore w:val="0"/>
              <w:widowControl/>
              <w:kinsoku/>
              <w:wordWrap/>
              <w:overflowPunct/>
              <w:topLinePunct w:val="0"/>
              <w:autoSpaceDE/>
              <w:autoSpaceDN/>
              <w:bidi w:val="0"/>
              <w:adjustRightInd/>
              <w:snapToGrid/>
              <w:spacing w:line="0" w:lineRule="atLeast"/>
              <w:ind w:firstLine="0" w:firstLineChars="0"/>
              <w:textAlignment w:val="center"/>
              <w:rPr>
                <w:rFonts w:ascii="Times New Roman" w:hAnsi="Times New Roman" w:eastAsia="仿宋_GB2312"/>
                <w:sz w:val="20"/>
                <w:szCs w:val="20"/>
              </w:rPr>
            </w:pPr>
            <w:r>
              <w:rPr>
                <w:rFonts w:ascii="Times New Roman" w:hAnsi="Times New Roman" w:eastAsia="仿宋_GB2312"/>
                <w:kern w:val="0"/>
                <w:sz w:val="20"/>
                <w:szCs w:val="20"/>
              </w:rPr>
              <w:t>日班车</w:t>
            </w:r>
          </w:p>
        </w:tc>
        <w:tc>
          <w:tcPr>
            <w:tcW w:w="1215" w:type="dxa"/>
            <w:tcBorders>
              <w:top w:val="single" w:color="000000" w:sz="4" w:space="0"/>
              <w:left w:val="single" w:color="000000" w:sz="4" w:space="0"/>
              <w:bottom w:val="single" w:color="000000" w:sz="4" w:space="0"/>
              <w:right w:val="single" w:color="000000" w:sz="4" w:space="0"/>
            </w:tcBorders>
            <w:vAlign w:val="center"/>
          </w:tcPr>
          <w:p w14:paraId="2D8C6444">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w:t>
            </w:r>
            <w:r>
              <w:rPr>
                <w:rStyle w:val="11"/>
                <w:rFonts w:hint="default" w:ascii="Times New Roman" w:hAnsi="Times New Roman" w:eastAsia="仿宋_GB2312" w:cs="Times New Roman"/>
                <w:color w:val="auto"/>
              </w:rPr>
              <w:t>11.33</w:t>
            </w:r>
          </w:p>
        </w:tc>
        <w:tc>
          <w:tcPr>
            <w:tcW w:w="829" w:type="dxa"/>
            <w:tcBorders>
              <w:top w:val="single" w:color="000000" w:sz="4" w:space="0"/>
              <w:left w:val="single" w:color="000000" w:sz="4" w:space="0"/>
              <w:bottom w:val="single" w:color="000000" w:sz="4" w:space="0"/>
              <w:right w:val="single" w:color="000000" w:sz="4" w:space="0"/>
            </w:tcBorders>
            <w:vAlign w:val="center"/>
          </w:tcPr>
          <w:p w14:paraId="31F38AAA">
            <w:pPr>
              <w:keepNext w:val="0"/>
              <w:keepLines w:val="0"/>
              <w:pageBreakBefore w:val="0"/>
              <w:widowControl/>
              <w:kinsoku/>
              <w:wordWrap/>
              <w:overflowPunct/>
              <w:topLinePunct w:val="0"/>
              <w:autoSpaceDE/>
              <w:autoSpaceDN/>
              <w:bidi w:val="0"/>
              <w:adjustRightInd/>
              <w:snapToGrid/>
              <w:spacing w:line="0" w:lineRule="atLeast"/>
              <w:ind w:left="0" w:leftChars="0"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1</w:t>
            </w:r>
          </w:p>
        </w:tc>
        <w:tc>
          <w:tcPr>
            <w:tcW w:w="1052" w:type="dxa"/>
            <w:tcBorders>
              <w:top w:val="single" w:color="000000" w:sz="4" w:space="0"/>
              <w:left w:val="single" w:color="000000" w:sz="4" w:space="0"/>
              <w:bottom w:val="single" w:color="000000" w:sz="4" w:space="0"/>
              <w:right w:val="single" w:color="000000" w:sz="4" w:space="0"/>
            </w:tcBorders>
            <w:vAlign w:val="center"/>
          </w:tcPr>
          <w:p w14:paraId="238A9BEC">
            <w:pPr>
              <w:keepNext w:val="0"/>
              <w:keepLines w:val="0"/>
              <w:pageBreakBefore w:val="0"/>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仿宋_GB2312"/>
                <w:sz w:val="20"/>
                <w:szCs w:val="20"/>
                <w:lang w:val="en-US" w:eastAsia="zh-CN"/>
              </w:rPr>
            </w:pPr>
            <w:r>
              <w:rPr>
                <w:rFonts w:hint="eastAsia" w:eastAsia="仿宋_GB2312"/>
                <w:sz w:val="20"/>
                <w:szCs w:val="20"/>
                <w:lang w:val="en-US" w:eastAsia="zh-CN"/>
              </w:rPr>
              <w:t>--</w:t>
            </w:r>
          </w:p>
        </w:tc>
        <w:tc>
          <w:tcPr>
            <w:tcW w:w="961" w:type="dxa"/>
            <w:tcBorders>
              <w:top w:val="single" w:color="000000" w:sz="4" w:space="0"/>
              <w:left w:val="single" w:color="000000" w:sz="4" w:space="0"/>
              <w:bottom w:val="single" w:color="000000" w:sz="4" w:space="0"/>
              <w:right w:val="single" w:color="000000" w:sz="4" w:space="0"/>
            </w:tcBorders>
            <w:vAlign w:val="center"/>
          </w:tcPr>
          <w:p w14:paraId="763FA3AA">
            <w:pPr>
              <w:keepNext w:val="0"/>
              <w:keepLines w:val="0"/>
              <w:pageBreakBefore w:val="0"/>
              <w:kinsoku/>
              <w:wordWrap/>
              <w:overflowPunct/>
              <w:topLinePunct w:val="0"/>
              <w:autoSpaceDE/>
              <w:autoSpaceDN/>
              <w:bidi w:val="0"/>
              <w:adjustRightInd/>
              <w:snapToGrid/>
              <w:spacing w:line="0" w:lineRule="atLeast"/>
              <w:ind w:firstLine="0" w:firstLineChars="0"/>
              <w:jc w:val="center"/>
              <w:rPr>
                <w:rFonts w:hint="default" w:ascii="Times New Roman" w:hAnsi="Times New Roman" w:eastAsia="仿宋_GB2312"/>
                <w:sz w:val="20"/>
                <w:szCs w:val="20"/>
                <w:lang w:val="en-US" w:eastAsia="zh-CN"/>
              </w:rPr>
            </w:pPr>
            <w:r>
              <w:rPr>
                <w:rFonts w:hint="eastAsia" w:eastAsia="仿宋_GB2312"/>
                <w:sz w:val="20"/>
                <w:szCs w:val="20"/>
                <w:lang w:val="en-US" w:eastAsia="zh-CN"/>
              </w:rPr>
              <w:t>--</w:t>
            </w:r>
          </w:p>
        </w:tc>
        <w:tc>
          <w:tcPr>
            <w:tcW w:w="968" w:type="dxa"/>
            <w:tcBorders>
              <w:top w:val="single" w:color="000000" w:sz="4" w:space="0"/>
              <w:left w:val="single" w:color="000000" w:sz="4" w:space="0"/>
              <w:bottom w:val="single" w:color="000000" w:sz="4" w:space="0"/>
              <w:right w:val="single" w:color="000000" w:sz="4" w:space="0"/>
            </w:tcBorders>
            <w:vAlign w:val="center"/>
          </w:tcPr>
          <w:p w14:paraId="4759C2BB">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kern w:val="0"/>
                <w:sz w:val="20"/>
                <w:szCs w:val="20"/>
                <w:lang w:val="en-US" w:eastAsia="zh-CN"/>
              </w:rPr>
              <w:t>取消</w:t>
            </w:r>
          </w:p>
        </w:tc>
        <w:tc>
          <w:tcPr>
            <w:tcW w:w="976" w:type="dxa"/>
            <w:tcBorders>
              <w:top w:val="single" w:color="000000" w:sz="4" w:space="0"/>
              <w:left w:val="single" w:color="000000" w:sz="4" w:space="0"/>
              <w:bottom w:val="single" w:color="000000" w:sz="4" w:space="0"/>
              <w:right w:val="single" w:color="000000" w:sz="4" w:space="0"/>
            </w:tcBorders>
            <w:vAlign w:val="center"/>
          </w:tcPr>
          <w:p w14:paraId="2F3EBB5F">
            <w:pPr>
              <w:keepNext w:val="0"/>
              <w:keepLines w:val="0"/>
              <w:pageBreakBefore w:val="0"/>
              <w:kinsoku/>
              <w:wordWrap/>
              <w:overflowPunct/>
              <w:topLinePunct w:val="0"/>
              <w:autoSpaceDE/>
              <w:autoSpaceDN/>
              <w:bidi w:val="0"/>
              <w:adjustRightInd/>
              <w:snapToGrid/>
              <w:spacing w:line="0" w:lineRule="atLeast"/>
              <w:ind w:firstLine="0" w:firstLineChars="0"/>
              <w:jc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1015" w:type="dxa"/>
            <w:tcBorders>
              <w:top w:val="single" w:color="000000" w:sz="4" w:space="0"/>
              <w:left w:val="single" w:color="000000" w:sz="4" w:space="0"/>
              <w:bottom w:val="single" w:color="000000" w:sz="4" w:space="0"/>
              <w:right w:val="single" w:color="000000" w:sz="4" w:space="0"/>
            </w:tcBorders>
            <w:vAlign w:val="center"/>
          </w:tcPr>
          <w:p w14:paraId="0EC311B2">
            <w:pPr>
              <w:keepNext w:val="0"/>
              <w:keepLines w:val="0"/>
              <w:pageBreakBefore w:val="0"/>
              <w:kinsoku/>
              <w:wordWrap/>
              <w:overflowPunct/>
              <w:topLinePunct w:val="0"/>
              <w:autoSpaceDE/>
              <w:autoSpaceDN/>
              <w:bidi w:val="0"/>
              <w:adjustRightInd/>
              <w:snapToGrid/>
              <w:spacing w:line="0" w:lineRule="atLeast"/>
              <w:ind w:firstLine="0" w:firstLineChars="0"/>
              <w:jc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762" w:type="dxa"/>
            <w:tcBorders>
              <w:top w:val="single" w:color="000000" w:sz="4" w:space="0"/>
              <w:left w:val="single" w:color="000000" w:sz="4" w:space="0"/>
              <w:bottom w:val="single" w:color="000000" w:sz="4" w:space="0"/>
              <w:right w:val="single" w:color="000000" w:sz="4" w:space="0"/>
            </w:tcBorders>
            <w:vAlign w:val="center"/>
          </w:tcPr>
          <w:p w14:paraId="405C5D96">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kern w:val="0"/>
                <w:sz w:val="20"/>
                <w:szCs w:val="20"/>
                <w:lang w:val="en-US" w:eastAsia="zh-CN"/>
              </w:rPr>
              <w:t>取消</w:t>
            </w:r>
          </w:p>
        </w:tc>
      </w:tr>
      <w:tr w14:paraId="01F5C7E5">
        <w:tblPrEx>
          <w:tblCellMar>
            <w:top w:w="0" w:type="dxa"/>
            <w:left w:w="108" w:type="dxa"/>
            <w:bottom w:w="0" w:type="dxa"/>
            <w:right w:w="108" w:type="dxa"/>
          </w:tblCellMar>
        </w:tblPrEx>
        <w:trPr>
          <w:trHeight w:val="9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611E23DD">
            <w:pPr>
              <w:keepNext w:val="0"/>
              <w:keepLines w:val="0"/>
              <w:pageBreakBefore w:val="0"/>
              <w:kinsoku/>
              <w:wordWrap/>
              <w:overflowPunct/>
              <w:topLinePunct w:val="0"/>
              <w:autoSpaceDE/>
              <w:autoSpaceDN/>
              <w:bidi w:val="0"/>
              <w:adjustRightInd/>
              <w:snapToGrid/>
              <w:spacing w:line="0" w:lineRule="atLeast"/>
              <w:ind w:firstLine="400"/>
              <w:jc w:val="center"/>
              <w:rPr>
                <w:rFonts w:ascii="Times New Roman" w:hAnsi="Times New Roman" w:eastAsia="仿宋_GB2312"/>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4C63166E">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11.33～22.65（含）</w:t>
            </w:r>
          </w:p>
        </w:tc>
        <w:tc>
          <w:tcPr>
            <w:tcW w:w="829" w:type="dxa"/>
            <w:tcBorders>
              <w:top w:val="single" w:color="000000" w:sz="4" w:space="0"/>
              <w:left w:val="single" w:color="000000" w:sz="4" w:space="0"/>
              <w:bottom w:val="single" w:color="000000" w:sz="4" w:space="0"/>
              <w:right w:val="single" w:color="000000" w:sz="4" w:space="0"/>
            </w:tcBorders>
            <w:vAlign w:val="center"/>
          </w:tcPr>
          <w:p w14:paraId="21802D88">
            <w:pPr>
              <w:keepNext w:val="0"/>
              <w:keepLines w:val="0"/>
              <w:pageBreakBefore w:val="0"/>
              <w:widowControl/>
              <w:kinsoku/>
              <w:wordWrap/>
              <w:overflowPunct/>
              <w:topLinePunct w:val="0"/>
              <w:autoSpaceDE/>
              <w:autoSpaceDN/>
              <w:bidi w:val="0"/>
              <w:adjustRightInd/>
              <w:snapToGrid/>
              <w:spacing w:line="0" w:lineRule="atLeast"/>
              <w:ind w:left="0" w:leftChars="0"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2</w:t>
            </w:r>
          </w:p>
        </w:tc>
        <w:tc>
          <w:tcPr>
            <w:tcW w:w="1052" w:type="dxa"/>
            <w:tcBorders>
              <w:top w:val="single" w:color="000000" w:sz="4" w:space="0"/>
              <w:left w:val="single" w:color="000000" w:sz="4" w:space="0"/>
              <w:bottom w:val="single" w:color="000000" w:sz="4" w:space="0"/>
              <w:right w:val="single" w:color="000000" w:sz="4" w:space="0"/>
            </w:tcBorders>
            <w:vAlign w:val="center"/>
          </w:tcPr>
          <w:p w14:paraId="704903E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ascii="Times New Roman" w:hAnsi="Times New Roman" w:eastAsia="仿宋_GB2312"/>
                <w:kern w:val="0"/>
                <w:sz w:val="20"/>
                <w:szCs w:val="20"/>
              </w:rPr>
              <w:t>≤</w:t>
            </w:r>
            <w:r>
              <w:rPr>
                <w:rFonts w:hint="eastAsia" w:ascii="Times New Roman" w:hAnsi="Times New Roman" w:eastAsia="仿宋_GB2312"/>
                <w:kern w:val="0"/>
                <w:sz w:val="20"/>
                <w:szCs w:val="20"/>
                <w:lang w:val="en-US" w:eastAsia="zh-CN"/>
              </w:rPr>
              <w:t>20</w:t>
            </w:r>
          </w:p>
        </w:tc>
        <w:tc>
          <w:tcPr>
            <w:tcW w:w="961" w:type="dxa"/>
            <w:tcBorders>
              <w:top w:val="single" w:color="000000" w:sz="4" w:space="0"/>
              <w:left w:val="single" w:color="000000" w:sz="4" w:space="0"/>
              <w:bottom w:val="single" w:color="000000" w:sz="4" w:space="0"/>
              <w:right w:val="single" w:color="000000" w:sz="4" w:space="0"/>
            </w:tcBorders>
            <w:vAlign w:val="center"/>
          </w:tcPr>
          <w:p w14:paraId="597366B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cs="Times New Roman"/>
                <w:kern w:val="2"/>
                <w:sz w:val="20"/>
                <w:szCs w:val="20"/>
                <w:lang w:val="en-US" w:eastAsia="zh-CN" w:bidi="ar-SA"/>
              </w:rPr>
            </w:pPr>
            <w:r>
              <w:rPr>
                <w:rFonts w:ascii="Times New Roman" w:hAnsi="Times New Roman" w:eastAsia="仿宋_GB2312"/>
                <w:sz w:val="20"/>
                <w:szCs w:val="20"/>
              </w:rPr>
              <w:t>2</w:t>
            </w:r>
          </w:p>
        </w:tc>
        <w:tc>
          <w:tcPr>
            <w:tcW w:w="968" w:type="dxa"/>
            <w:tcBorders>
              <w:top w:val="single" w:color="000000" w:sz="4" w:space="0"/>
              <w:left w:val="single" w:color="000000" w:sz="4" w:space="0"/>
              <w:bottom w:val="single" w:color="000000" w:sz="4" w:space="0"/>
              <w:right w:val="single" w:color="000000" w:sz="4" w:space="0"/>
            </w:tcBorders>
            <w:vAlign w:val="center"/>
          </w:tcPr>
          <w:p w14:paraId="7D13AAD4">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优化</w:t>
            </w:r>
          </w:p>
        </w:tc>
        <w:tc>
          <w:tcPr>
            <w:tcW w:w="976" w:type="dxa"/>
            <w:tcBorders>
              <w:top w:val="single" w:color="000000" w:sz="4" w:space="0"/>
              <w:left w:val="single" w:color="000000" w:sz="4" w:space="0"/>
              <w:bottom w:val="single" w:color="000000" w:sz="4" w:space="0"/>
              <w:right w:val="single" w:color="000000" w:sz="4" w:space="0"/>
            </w:tcBorders>
            <w:vAlign w:val="center"/>
          </w:tcPr>
          <w:p w14:paraId="769312AF">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ascii="Times New Roman" w:hAnsi="Times New Roman" w:eastAsia="仿宋_GB2312"/>
                <w:kern w:val="0"/>
                <w:sz w:val="20"/>
                <w:szCs w:val="20"/>
              </w:rPr>
              <w:t>≤</w:t>
            </w:r>
            <w:r>
              <w:rPr>
                <w:rFonts w:hint="eastAsia" w:eastAsia="仿宋_GB2312"/>
                <w:kern w:val="0"/>
                <w:sz w:val="20"/>
                <w:szCs w:val="20"/>
                <w:lang w:val="en-US" w:eastAsia="zh-CN"/>
              </w:rPr>
              <w:t>15.42</w:t>
            </w:r>
          </w:p>
        </w:tc>
        <w:tc>
          <w:tcPr>
            <w:tcW w:w="1015" w:type="dxa"/>
            <w:tcBorders>
              <w:top w:val="single" w:color="000000" w:sz="4" w:space="0"/>
              <w:left w:val="single" w:color="000000" w:sz="4" w:space="0"/>
              <w:bottom w:val="single" w:color="000000" w:sz="4" w:space="0"/>
              <w:right w:val="single" w:color="000000" w:sz="4" w:space="0"/>
            </w:tcBorders>
            <w:vAlign w:val="center"/>
          </w:tcPr>
          <w:p w14:paraId="751D2986">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eastAsia="仿宋_GB2312" w:cs="Times New Roman"/>
                <w:kern w:val="2"/>
                <w:sz w:val="20"/>
                <w:szCs w:val="20"/>
                <w:lang w:val="en-US" w:eastAsia="zh-CN" w:bidi="ar-SA"/>
              </w:rPr>
              <w:t>2</w:t>
            </w:r>
          </w:p>
        </w:tc>
        <w:tc>
          <w:tcPr>
            <w:tcW w:w="762" w:type="dxa"/>
            <w:tcBorders>
              <w:top w:val="single" w:color="000000" w:sz="4" w:space="0"/>
              <w:left w:val="single" w:color="000000" w:sz="4" w:space="0"/>
              <w:bottom w:val="single" w:color="000000" w:sz="4" w:space="0"/>
              <w:right w:val="single" w:color="000000" w:sz="4" w:space="0"/>
            </w:tcBorders>
            <w:vAlign w:val="center"/>
          </w:tcPr>
          <w:p w14:paraId="543BB51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eastAsia="仿宋_GB2312" w:cs="Times New Roman"/>
                <w:kern w:val="2"/>
                <w:sz w:val="20"/>
                <w:szCs w:val="20"/>
                <w:lang w:val="en-US" w:eastAsia="zh-CN" w:bidi="ar-SA"/>
              </w:rPr>
              <w:t>优化</w:t>
            </w:r>
          </w:p>
        </w:tc>
      </w:tr>
      <w:tr w14:paraId="64C7D062">
        <w:tblPrEx>
          <w:tblCellMar>
            <w:top w:w="0" w:type="dxa"/>
            <w:left w:w="108" w:type="dxa"/>
            <w:bottom w:w="0" w:type="dxa"/>
            <w:right w:w="108" w:type="dxa"/>
          </w:tblCellMar>
        </w:tblPrEx>
        <w:trPr>
          <w:trHeight w:val="9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DB9CE85">
            <w:pPr>
              <w:keepNext w:val="0"/>
              <w:keepLines w:val="0"/>
              <w:pageBreakBefore w:val="0"/>
              <w:kinsoku/>
              <w:wordWrap/>
              <w:overflowPunct/>
              <w:topLinePunct w:val="0"/>
              <w:autoSpaceDE/>
              <w:autoSpaceDN/>
              <w:bidi w:val="0"/>
              <w:adjustRightInd/>
              <w:snapToGrid/>
              <w:spacing w:line="0" w:lineRule="atLeast"/>
              <w:ind w:firstLine="400"/>
              <w:jc w:val="center"/>
              <w:rPr>
                <w:rFonts w:ascii="Times New Roman" w:hAnsi="Times New Roman" w:eastAsia="仿宋_GB2312"/>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376A30F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22.65～31.71（含）</w:t>
            </w:r>
          </w:p>
        </w:tc>
        <w:tc>
          <w:tcPr>
            <w:tcW w:w="829" w:type="dxa"/>
            <w:tcBorders>
              <w:top w:val="single" w:color="000000" w:sz="4" w:space="0"/>
              <w:left w:val="single" w:color="000000" w:sz="4" w:space="0"/>
              <w:bottom w:val="single" w:color="000000" w:sz="4" w:space="0"/>
              <w:right w:val="single" w:color="000000" w:sz="4" w:space="0"/>
            </w:tcBorders>
            <w:vAlign w:val="center"/>
          </w:tcPr>
          <w:p w14:paraId="39A5B004">
            <w:pPr>
              <w:keepNext w:val="0"/>
              <w:keepLines w:val="0"/>
              <w:pageBreakBefore w:val="0"/>
              <w:widowControl/>
              <w:kinsoku/>
              <w:wordWrap/>
              <w:overflowPunct/>
              <w:topLinePunct w:val="0"/>
              <w:autoSpaceDE/>
              <w:autoSpaceDN/>
              <w:bidi w:val="0"/>
              <w:adjustRightInd/>
              <w:snapToGrid/>
              <w:spacing w:line="0" w:lineRule="atLeast"/>
              <w:ind w:left="0" w:leftChars="0"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3</w:t>
            </w:r>
          </w:p>
        </w:tc>
        <w:tc>
          <w:tcPr>
            <w:tcW w:w="1052" w:type="dxa"/>
            <w:tcBorders>
              <w:top w:val="single" w:color="000000" w:sz="4" w:space="0"/>
              <w:left w:val="single" w:color="000000" w:sz="4" w:space="0"/>
              <w:bottom w:val="single" w:color="000000" w:sz="4" w:space="0"/>
              <w:right w:val="single" w:color="000000" w:sz="4" w:space="0"/>
            </w:tcBorders>
            <w:vAlign w:val="center"/>
          </w:tcPr>
          <w:p w14:paraId="0A99C92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ascii="Times New Roman" w:hAnsi="Times New Roman" w:eastAsia="仿宋_GB2312"/>
                <w:sz w:val="20"/>
                <w:szCs w:val="20"/>
              </w:rPr>
              <w:t>&gt;</w:t>
            </w:r>
            <w:r>
              <w:rPr>
                <w:rFonts w:hint="eastAsia" w:ascii="Times New Roman" w:hAnsi="Times New Roman" w:eastAsia="仿宋_GB2312"/>
                <w:sz w:val="20"/>
                <w:szCs w:val="20"/>
                <w:lang w:val="en-US" w:eastAsia="zh-CN"/>
              </w:rPr>
              <w:t>20</w:t>
            </w:r>
          </w:p>
        </w:tc>
        <w:tc>
          <w:tcPr>
            <w:tcW w:w="961" w:type="dxa"/>
            <w:tcBorders>
              <w:top w:val="single" w:color="000000" w:sz="4" w:space="0"/>
              <w:left w:val="single" w:color="000000" w:sz="4" w:space="0"/>
              <w:bottom w:val="single" w:color="000000" w:sz="4" w:space="0"/>
              <w:right w:val="single" w:color="000000" w:sz="4" w:space="0"/>
            </w:tcBorders>
            <w:vAlign w:val="center"/>
          </w:tcPr>
          <w:p w14:paraId="4EEC8AF1">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cs="Times New Roman"/>
                <w:kern w:val="2"/>
                <w:sz w:val="20"/>
                <w:szCs w:val="20"/>
                <w:lang w:val="en-US" w:eastAsia="zh-CN" w:bidi="ar-SA"/>
              </w:rPr>
            </w:pPr>
            <w:r>
              <w:rPr>
                <w:rFonts w:ascii="Times New Roman" w:hAnsi="Times New Roman" w:eastAsia="仿宋_GB2312"/>
                <w:sz w:val="20"/>
                <w:szCs w:val="20"/>
              </w:rPr>
              <w:t>3</w:t>
            </w:r>
          </w:p>
        </w:tc>
        <w:tc>
          <w:tcPr>
            <w:tcW w:w="968" w:type="dxa"/>
            <w:tcBorders>
              <w:top w:val="single" w:color="000000" w:sz="4" w:space="0"/>
              <w:left w:val="single" w:color="000000" w:sz="4" w:space="0"/>
              <w:bottom w:val="single" w:color="000000" w:sz="4" w:space="0"/>
              <w:right w:val="single" w:color="000000" w:sz="4" w:space="0"/>
            </w:tcBorders>
            <w:vAlign w:val="center"/>
          </w:tcPr>
          <w:p w14:paraId="4CD9D2A5">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kern w:val="0"/>
                <w:sz w:val="20"/>
                <w:szCs w:val="20"/>
                <w:lang w:val="en-US" w:eastAsia="zh-CN"/>
              </w:rPr>
              <w:t>优化</w:t>
            </w:r>
          </w:p>
        </w:tc>
        <w:tc>
          <w:tcPr>
            <w:tcW w:w="976" w:type="dxa"/>
            <w:tcBorders>
              <w:top w:val="single" w:color="000000" w:sz="4" w:space="0"/>
              <w:left w:val="single" w:color="000000" w:sz="4" w:space="0"/>
              <w:bottom w:val="single" w:color="000000" w:sz="4" w:space="0"/>
              <w:right w:val="single" w:color="000000" w:sz="4" w:space="0"/>
            </w:tcBorders>
            <w:vAlign w:val="center"/>
          </w:tcPr>
          <w:p w14:paraId="102FE5D9">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ascii="Times New Roman" w:hAnsi="Times New Roman" w:eastAsia="仿宋_GB2312"/>
                <w:sz w:val="20"/>
                <w:szCs w:val="20"/>
              </w:rPr>
              <w:t>&gt;</w:t>
            </w:r>
            <w:r>
              <w:rPr>
                <w:rFonts w:hint="eastAsia" w:eastAsia="仿宋_GB2312"/>
                <w:sz w:val="20"/>
                <w:szCs w:val="20"/>
                <w:lang w:val="en-US" w:eastAsia="zh-CN"/>
              </w:rPr>
              <w:t>15.42</w:t>
            </w:r>
          </w:p>
        </w:tc>
        <w:tc>
          <w:tcPr>
            <w:tcW w:w="1015" w:type="dxa"/>
            <w:tcBorders>
              <w:top w:val="single" w:color="000000" w:sz="4" w:space="0"/>
              <w:left w:val="single" w:color="000000" w:sz="4" w:space="0"/>
              <w:bottom w:val="single" w:color="000000" w:sz="4" w:space="0"/>
              <w:right w:val="single" w:color="000000" w:sz="4" w:space="0"/>
            </w:tcBorders>
            <w:vAlign w:val="center"/>
          </w:tcPr>
          <w:p w14:paraId="65D76582">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eastAsia="仿宋_GB2312" w:cs="Times New Roman"/>
                <w:kern w:val="2"/>
                <w:sz w:val="20"/>
                <w:szCs w:val="20"/>
                <w:lang w:val="en-US" w:eastAsia="zh-CN" w:bidi="ar-SA"/>
              </w:rPr>
              <w:t>3</w:t>
            </w:r>
          </w:p>
        </w:tc>
        <w:tc>
          <w:tcPr>
            <w:tcW w:w="762" w:type="dxa"/>
            <w:tcBorders>
              <w:top w:val="single" w:color="000000" w:sz="4" w:space="0"/>
              <w:left w:val="single" w:color="000000" w:sz="4" w:space="0"/>
              <w:bottom w:val="single" w:color="000000" w:sz="4" w:space="0"/>
              <w:right w:val="single" w:color="000000" w:sz="4" w:space="0"/>
            </w:tcBorders>
            <w:vAlign w:val="center"/>
          </w:tcPr>
          <w:p w14:paraId="03A81997">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eastAsia="仿宋_GB2312" w:cs="Times New Roman"/>
                <w:kern w:val="2"/>
                <w:sz w:val="20"/>
                <w:szCs w:val="20"/>
                <w:lang w:val="en-US" w:eastAsia="zh-CN" w:bidi="ar-SA"/>
              </w:rPr>
              <w:t>优化</w:t>
            </w:r>
          </w:p>
        </w:tc>
      </w:tr>
      <w:tr w14:paraId="2BA10AC2">
        <w:tblPrEx>
          <w:tblCellMar>
            <w:top w:w="0" w:type="dxa"/>
            <w:left w:w="108" w:type="dxa"/>
            <w:bottom w:w="0" w:type="dxa"/>
            <w:right w:w="108" w:type="dxa"/>
          </w:tblCellMar>
        </w:tblPrEx>
        <w:trPr>
          <w:trHeight w:val="9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560C5081">
            <w:pPr>
              <w:keepNext w:val="0"/>
              <w:keepLines w:val="0"/>
              <w:pageBreakBefore w:val="0"/>
              <w:kinsoku/>
              <w:wordWrap/>
              <w:overflowPunct/>
              <w:topLinePunct w:val="0"/>
              <w:autoSpaceDE/>
              <w:autoSpaceDN/>
              <w:bidi w:val="0"/>
              <w:adjustRightInd/>
              <w:snapToGrid/>
              <w:spacing w:line="0" w:lineRule="atLeast"/>
              <w:ind w:firstLine="400"/>
              <w:jc w:val="center"/>
              <w:rPr>
                <w:rFonts w:ascii="Times New Roman" w:hAnsi="Times New Roman" w:eastAsia="仿宋_GB2312"/>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79F868E2">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31.71～40.77（含）</w:t>
            </w:r>
          </w:p>
        </w:tc>
        <w:tc>
          <w:tcPr>
            <w:tcW w:w="829" w:type="dxa"/>
            <w:tcBorders>
              <w:top w:val="single" w:color="000000" w:sz="4" w:space="0"/>
              <w:left w:val="single" w:color="000000" w:sz="4" w:space="0"/>
              <w:bottom w:val="single" w:color="000000" w:sz="4" w:space="0"/>
              <w:right w:val="single" w:color="000000" w:sz="4" w:space="0"/>
            </w:tcBorders>
            <w:vAlign w:val="center"/>
          </w:tcPr>
          <w:p w14:paraId="4AB8B13C">
            <w:pPr>
              <w:keepNext w:val="0"/>
              <w:keepLines w:val="0"/>
              <w:pageBreakBefore w:val="0"/>
              <w:widowControl/>
              <w:kinsoku/>
              <w:wordWrap/>
              <w:overflowPunct/>
              <w:topLinePunct w:val="0"/>
              <w:autoSpaceDE/>
              <w:autoSpaceDN/>
              <w:bidi w:val="0"/>
              <w:adjustRightInd/>
              <w:snapToGrid/>
              <w:spacing w:line="0" w:lineRule="atLeast"/>
              <w:ind w:left="0" w:leftChars="0"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4</w:t>
            </w:r>
          </w:p>
        </w:tc>
        <w:tc>
          <w:tcPr>
            <w:tcW w:w="1052" w:type="dxa"/>
            <w:tcBorders>
              <w:top w:val="single" w:color="000000" w:sz="4" w:space="0"/>
              <w:left w:val="single" w:color="000000" w:sz="4" w:space="0"/>
              <w:bottom w:val="single" w:color="000000" w:sz="4" w:space="0"/>
              <w:right w:val="single" w:color="000000" w:sz="4" w:space="0"/>
            </w:tcBorders>
            <w:vAlign w:val="center"/>
          </w:tcPr>
          <w:p w14:paraId="1551B926">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961" w:type="dxa"/>
            <w:tcBorders>
              <w:top w:val="single" w:color="000000" w:sz="4" w:space="0"/>
              <w:left w:val="single" w:color="000000" w:sz="4" w:space="0"/>
              <w:bottom w:val="single" w:color="000000" w:sz="4" w:space="0"/>
              <w:right w:val="single" w:color="000000" w:sz="4" w:space="0"/>
            </w:tcBorders>
            <w:vAlign w:val="center"/>
          </w:tcPr>
          <w:p w14:paraId="2F8B9928">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968" w:type="dxa"/>
            <w:tcBorders>
              <w:top w:val="single" w:color="000000" w:sz="4" w:space="0"/>
              <w:left w:val="single" w:color="000000" w:sz="4" w:space="0"/>
              <w:bottom w:val="single" w:color="000000" w:sz="4" w:space="0"/>
              <w:right w:val="single" w:color="000000" w:sz="4" w:space="0"/>
            </w:tcBorders>
            <w:vAlign w:val="center"/>
          </w:tcPr>
          <w:p w14:paraId="0FE3749E">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kern w:val="0"/>
                <w:sz w:val="20"/>
                <w:szCs w:val="20"/>
                <w:lang w:val="en-US" w:eastAsia="zh-CN"/>
              </w:rPr>
              <w:t>取消</w:t>
            </w:r>
          </w:p>
        </w:tc>
        <w:tc>
          <w:tcPr>
            <w:tcW w:w="976" w:type="dxa"/>
            <w:tcBorders>
              <w:top w:val="single" w:color="000000" w:sz="4" w:space="0"/>
              <w:left w:val="single" w:color="000000" w:sz="4" w:space="0"/>
              <w:bottom w:val="single" w:color="000000" w:sz="4" w:space="0"/>
              <w:right w:val="single" w:color="000000" w:sz="4" w:space="0"/>
            </w:tcBorders>
            <w:vAlign w:val="center"/>
          </w:tcPr>
          <w:p w14:paraId="1AEB7787">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1015" w:type="dxa"/>
            <w:tcBorders>
              <w:top w:val="single" w:color="000000" w:sz="4" w:space="0"/>
              <w:left w:val="single" w:color="000000" w:sz="4" w:space="0"/>
              <w:bottom w:val="single" w:color="000000" w:sz="4" w:space="0"/>
              <w:right w:val="single" w:color="000000" w:sz="4" w:space="0"/>
            </w:tcBorders>
            <w:vAlign w:val="center"/>
          </w:tcPr>
          <w:p w14:paraId="0AB8FA84">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762" w:type="dxa"/>
            <w:tcBorders>
              <w:top w:val="single" w:color="000000" w:sz="4" w:space="0"/>
              <w:left w:val="single" w:color="000000" w:sz="4" w:space="0"/>
              <w:bottom w:val="single" w:color="000000" w:sz="4" w:space="0"/>
              <w:right w:val="single" w:color="000000" w:sz="4" w:space="0"/>
            </w:tcBorders>
            <w:vAlign w:val="center"/>
          </w:tcPr>
          <w:p w14:paraId="14C16DD1">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kern w:val="0"/>
                <w:sz w:val="20"/>
                <w:szCs w:val="20"/>
                <w:lang w:val="en-US" w:eastAsia="zh-CN"/>
              </w:rPr>
              <w:t>取消</w:t>
            </w:r>
          </w:p>
        </w:tc>
      </w:tr>
      <w:tr w14:paraId="4E0B6DCE">
        <w:tblPrEx>
          <w:tblCellMar>
            <w:top w:w="0" w:type="dxa"/>
            <w:left w:w="108" w:type="dxa"/>
            <w:bottom w:w="0" w:type="dxa"/>
            <w:right w:w="108" w:type="dxa"/>
          </w:tblCellMar>
        </w:tblPrEx>
        <w:trPr>
          <w:trHeight w:val="643"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54CC33F1">
            <w:pPr>
              <w:keepNext w:val="0"/>
              <w:keepLines w:val="0"/>
              <w:pageBreakBefore w:val="0"/>
              <w:kinsoku/>
              <w:wordWrap/>
              <w:overflowPunct/>
              <w:topLinePunct w:val="0"/>
              <w:autoSpaceDE/>
              <w:autoSpaceDN/>
              <w:bidi w:val="0"/>
              <w:adjustRightInd/>
              <w:snapToGrid/>
              <w:spacing w:line="0" w:lineRule="atLeast"/>
              <w:ind w:firstLine="400"/>
              <w:jc w:val="both"/>
              <w:rPr>
                <w:rFonts w:ascii="Times New Roman" w:hAnsi="Times New Roman" w:eastAsia="仿宋_GB2312"/>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7694FC34">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40.77</w:t>
            </w:r>
            <w:r>
              <w:rPr>
                <w:rStyle w:val="11"/>
                <w:rFonts w:hint="default" w:ascii="Times New Roman" w:hAnsi="Times New Roman" w:eastAsia="仿宋_GB2312" w:cs="Times New Roman"/>
                <w:color w:val="auto"/>
              </w:rPr>
              <w:t>～</w:t>
            </w:r>
            <w:r>
              <w:rPr>
                <w:rFonts w:ascii="Times New Roman" w:hAnsi="Times New Roman" w:eastAsia="仿宋_GB2312"/>
                <w:kern w:val="0"/>
                <w:sz w:val="20"/>
                <w:szCs w:val="20"/>
              </w:rPr>
              <w:t>49.83</w:t>
            </w:r>
          </w:p>
        </w:tc>
        <w:tc>
          <w:tcPr>
            <w:tcW w:w="829" w:type="dxa"/>
            <w:tcBorders>
              <w:top w:val="single" w:color="000000" w:sz="4" w:space="0"/>
              <w:left w:val="single" w:color="000000" w:sz="4" w:space="0"/>
              <w:bottom w:val="single" w:color="000000" w:sz="4" w:space="0"/>
              <w:right w:val="single" w:color="000000" w:sz="4" w:space="0"/>
            </w:tcBorders>
            <w:vAlign w:val="center"/>
          </w:tcPr>
          <w:p w14:paraId="0D007643">
            <w:pPr>
              <w:keepNext w:val="0"/>
              <w:keepLines w:val="0"/>
              <w:pageBreakBefore w:val="0"/>
              <w:widowControl/>
              <w:kinsoku/>
              <w:wordWrap/>
              <w:overflowPunct/>
              <w:topLinePunct w:val="0"/>
              <w:autoSpaceDE/>
              <w:autoSpaceDN/>
              <w:bidi w:val="0"/>
              <w:adjustRightInd/>
              <w:snapToGrid/>
              <w:spacing w:line="0" w:lineRule="atLeast"/>
              <w:ind w:left="0" w:leftChars="0" w:firstLine="0" w:firstLineChars="0"/>
              <w:jc w:val="center"/>
              <w:textAlignment w:val="center"/>
              <w:rPr>
                <w:rFonts w:ascii="Times New Roman" w:hAnsi="Times New Roman" w:eastAsia="仿宋_GB2312"/>
                <w:sz w:val="20"/>
                <w:szCs w:val="20"/>
              </w:rPr>
            </w:pPr>
            <w:r>
              <w:rPr>
                <w:rFonts w:ascii="Times New Roman" w:hAnsi="Times New Roman" w:eastAsia="仿宋_GB2312"/>
                <w:kern w:val="0"/>
                <w:sz w:val="20"/>
                <w:szCs w:val="20"/>
              </w:rPr>
              <w:t>5</w:t>
            </w:r>
          </w:p>
        </w:tc>
        <w:tc>
          <w:tcPr>
            <w:tcW w:w="1052" w:type="dxa"/>
            <w:tcBorders>
              <w:top w:val="single" w:color="000000" w:sz="4" w:space="0"/>
              <w:left w:val="single" w:color="000000" w:sz="4" w:space="0"/>
              <w:bottom w:val="single" w:color="000000" w:sz="4" w:space="0"/>
              <w:right w:val="single" w:color="000000" w:sz="4" w:space="0"/>
            </w:tcBorders>
            <w:vAlign w:val="center"/>
          </w:tcPr>
          <w:p w14:paraId="3B9F11E2">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961" w:type="dxa"/>
            <w:tcBorders>
              <w:top w:val="single" w:color="000000" w:sz="4" w:space="0"/>
              <w:left w:val="single" w:color="000000" w:sz="4" w:space="0"/>
              <w:bottom w:val="single" w:color="000000" w:sz="4" w:space="0"/>
              <w:right w:val="single" w:color="000000" w:sz="4" w:space="0"/>
            </w:tcBorders>
            <w:vAlign w:val="center"/>
          </w:tcPr>
          <w:p w14:paraId="08F2BF7C">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968" w:type="dxa"/>
            <w:tcBorders>
              <w:top w:val="single" w:color="000000" w:sz="4" w:space="0"/>
              <w:left w:val="single" w:color="000000" w:sz="4" w:space="0"/>
              <w:bottom w:val="single" w:color="000000" w:sz="4" w:space="0"/>
              <w:right w:val="single" w:color="000000" w:sz="4" w:space="0"/>
            </w:tcBorders>
            <w:vAlign w:val="center"/>
          </w:tcPr>
          <w:p w14:paraId="542BD111">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取消</w:t>
            </w:r>
          </w:p>
        </w:tc>
        <w:tc>
          <w:tcPr>
            <w:tcW w:w="976" w:type="dxa"/>
            <w:tcBorders>
              <w:top w:val="single" w:color="000000" w:sz="4" w:space="0"/>
              <w:left w:val="single" w:color="000000" w:sz="4" w:space="0"/>
              <w:bottom w:val="single" w:color="000000" w:sz="4" w:space="0"/>
              <w:right w:val="single" w:color="000000" w:sz="4" w:space="0"/>
            </w:tcBorders>
            <w:vAlign w:val="center"/>
          </w:tcPr>
          <w:p w14:paraId="78845897">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1015" w:type="dxa"/>
            <w:tcBorders>
              <w:top w:val="single" w:color="000000" w:sz="4" w:space="0"/>
              <w:left w:val="single" w:color="000000" w:sz="4" w:space="0"/>
              <w:bottom w:val="single" w:color="000000" w:sz="4" w:space="0"/>
              <w:right w:val="single" w:color="000000" w:sz="4" w:space="0"/>
            </w:tcBorders>
            <w:vAlign w:val="center"/>
          </w:tcPr>
          <w:p w14:paraId="12A49371">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w:t>
            </w:r>
          </w:p>
        </w:tc>
        <w:tc>
          <w:tcPr>
            <w:tcW w:w="762" w:type="dxa"/>
            <w:tcBorders>
              <w:top w:val="single" w:color="000000" w:sz="4" w:space="0"/>
              <w:left w:val="single" w:color="000000" w:sz="4" w:space="0"/>
              <w:bottom w:val="single" w:color="000000" w:sz="4" w:space="0"/>
              <w:right w:val="single" w:color="000000" w:sz="4" w:space="0"/>
            </w:tcBorders>
            <w:vAlign w:val="center"/>
          </w:tcPr>
          <w:p w14:paraId="2C3DB8C1">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取消</w:t>
            </w:r>
          </w:p>
        </w:tc>
      </w:tr>
      <w:tr w14:paraId="148C866F">
        <w:tblPrEx>
          <w:tblCellMar>
            <w:top w:w="0" w:type="dxa"/>
            <w:left w:w="108" w:type="dxa"/>
            <w:bottom w:w="0" w:type="dxa"/>
            <w:right w:w="108" w:type="dxa"/>
          </w:tblCellMar>
        </w:tblPrEx>
        <w:trPr>
          <w:trHeight w:val="551" w:hRule="atLeast"/>
          <w:jc w:val="center"/>
        </w:trPr>
        <w:tc>
          <w:tcPr>
            <w:tcW w:w="881" w:type="dxa"/>
            <w:vMerge w:val="restart"/>
            <w:tcBorders>
              <w:top w:val="single" w:color="000000" w:sz="4" w:space="0"/>
              <w:left w:val="single" w:color="000000" w:sz="4" w:space="0"/>
              <w:right w:val="single" w:color="000000" w:sz="4" w:space="0"/>
            </w:tcBorders>
            <w:vAlign w:val="center"/>
          </w:tcPr>
          <w:p w14:paraId="501A2D4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夜班车</w:t>
            </w:r>
          </w:p>
        </w:tc>
        <w:tc>
          <w:tcPr>
            <w:tcW w:w="1215" w:type="dxa"/>
            <w:tcBorders>
              <w:top w:val="single" w:color="000000" w:sz="4" w:space="0"/>
              <w:left w:val="single" w:color="000000" w:sz="4" w:space="0"/>
              <w:bottom w:val="single" w:color="000000" w:sz="4" w:space="0"/>
              <w:right w:val="single" w:color="000000" w:sz="4" w:space="0"/>
            </w:tcBorders>
            <w:vAlign w:val="center"/>
          </w:tcPr>
          <w:p w14:paraId="31D5ADD2">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≤21.49</w:t>
            </w:r>
          </w:p>
        </w:tc>
        <w:tc>
          <w:tcPr>
            <w:tcW w:w="829" w:type="dxa"/>
            <w:tcBorders>
              <w:top w:val="single" w:color="000000" w:sz="4" w:space="0"/>
              <w:left w:val="single" w:color="000000" w:sz="4" w:space="0"/>
              <w:bottom w:val="single" w:color="000000" w:sz="4" w:space="0"/>
              <w:right w:val="single" w:color="000000" w:sz="4" w:space="0"/>
            </w:tcBorders>
            <w:vAlign w:val="center"/>
          </w:tcPr>
          <w:p w14:paraId="42B2A52C">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3</w:t>
            </w:r>
          </w:p>
        </w:tc>
        <w:tc>
          <w:tcPr>
            <w:tcW w:w="1052" w:type="dxa"/>
            <w:tcBorders>
              <w:top w:val="single" w:color="000000" w:sz="4" w:space="0"/>
              <w:left w:val="single" w:color="000000" w:sz="4" w:space="0"/>
              <w:bottom w:val="single" w:color="000000" w:sz="4" w:space="0"/>
              <w:right w:val="single" w:color="000000" w:sz="4" w:space="0"/>
            </w:tcBorders>
            <w:vAlign w:val="center"/>
          </w:tcPr>
          <w:p w14:paraId="4542A90D">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≤21.49</w:t>
            </w:r>
          </w:p>
        </w:tc>
        <w:tc>
          <w:tcPr>
            <w:tcW w:w="961" w:type="dxa"/>
            <w:tcBorders>
              <w:top w:val="single" w:color="000000" w:sz="4" w:space="0"/>
              <w:left w:val="single" w:color="000000" w:sz="4" w:space="0"/>
              <w:bottom w:val="single" w:color="000000" w:sz="4" w:space="0"/>
              <w:right w:val="single" w:color="000000" w:sz="4" w:space="0"/>
            </w:tcBorders>
            <w:vAlign w:val="center"/>
          </w:tcPr>
          <w:p w14:paraId="152A5C63">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3</w:t>
            </w:r>
          </w:p>
        </w:tc>
        <w:tc>
          <w:tcPr>
            <w:tcW w:w="968" w:type="dxa"/>
            <w:tcBorders>
              <w:top w:val="single" w:color="000000" w:sz="4" w:space="0"/>
              <w:left w:val="single" w:color="000000" w:sz="4" w:space="0"/>
              <w:bottom w:val="single" w:color="000000" w:sz="4" w:space="0"/>
              <w:right w:val="single" w:color="000000" w:sz="4" w:space="0"/>
            </w:tcBorders>
            <w:vAlign w:val="center"/>
          </w:tcPr>
          <w:p w14:paraId="59EB7C7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不变</w:t>
            </w:r>
          </w:p>
        </w:tc>
        <w:tc>
          <w:tcPr>
            <w:tcW w:w="976" w:type="dxa"/>
            <w:tcBorders>
              <w:top w:val="single" w:color="000000" w:sz="4" w:space="0"/>
              <w:left w:val="single" w:color="000000" w:sz="4" w:space="0"/>
              <w:bottom w:val="single" w:color="000000" w:sz="4" w:space="0"/>
              <w:right w:val="single" w:color="000000" w:sz="4" w:space="0"/>
            </w:tcBorders>
            <w:vAlign w:val="center"/>
          </w:tcPr>
          <w:p w14:paraId="3CA31515">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≤21.49</w:t>
            </w:r>
          </w:p>
        </w:tc>
        <w:tc>
          <w:tcPr>
            <w:tcW w:w="1015" w:type="dxa"/>
            <w:tcBorders>
              <w:top w:val="single" w:color="000000" w:sz="4" w:space="0"/>
              <w:left w:val="single" w:color="000000" w:sz="4" w:space="0"/>
              <w:bottom w:val="single" w:color="000000" w:sz="4" w:space="0"/>
              <w:right w:val="single" w:color="000000" w:sz="4" w:space="0"/>
            </w:tcBorders>
            <w:vAlign w:val="center"/>
          </w:tcPr>
          <w:p w14:paraId="7F1357CD">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3</w:t>
            </w:r>
          </w:p>
        </w:tc>
        <w:tc>
          <w:tcPr>
            <w:tcW w:w="762" w:type="dxa"/>
            <w:tcBorders>
              <w:top w:val="single" w:color="000000" w:sz="4" w:space="0"/>
              <w:left w:val="single" w:color="000000" w:sz="4" w:space="0"/>
              <w:bottom w:val="single" w:color="000000" w:sz="4" w:space="0"/>
              <w:right w:val="single" w:color="000000" w:sz="4" w:space="0"/>
            </w:tcBorders>
            <w:vAlign w:val="center"/>
          </w:tcPr>
          <w:p w14:paraId="2F5FEF5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不变</w:t>
            </w:r>
          </w:p>
        </w:tc>
      </w:tr>
      <w:tr w14:paraId="6953B4C2">
        <w:tblPrEx>
          <w:tblCellMar>
            <w:top w:w="0" w:type="dxa"/>
            <w:left w:w="108" w:type="dxa"/>
            <w:bottom w:w="0" w:type="dxa"/>
            <w:right w:w="108" w:type="dxa"/>
          </w:tblCellMar>
        </w:tblPrEx>
        <w:trPr>
          <w:trHeight w:val="551" w:hRule="atLeast"/>
          <w:jc w:val="center"/>
        </w:trPr>
        <w:tc>
          <w:tcPr>
            <w:tcW w:w="881" w:type="dxa"/>
            <w:vMerge w:val="continue"/>
            <w:tcBorders>
              <w:left w:val="single" w:color="000000" w:sz="4" w:space="0"/>
              <w:bottom w:val="single" w:color="000000" w:sz="4" w:space="0"/>
              <w:right w:val="single" w:color="000000" w:sz="4" w:space="0"/>
            </w:tcBorders>
            <w:vAlign w:val="center"/>
          </w:tcPr>
          <w:p w14:paraId="678F8845">
            <w:pPr>
              <w:keepNext w:val="0"/>
              <w:keepLines w:val="0"/>
              <w:pageBreakBefore w:val="0"/>
              <w:kinsoku/>
              <w:wordWrap/>
              <w:overflowPunct/>
              <w:topLinePunct w:val="0"/>
              <w:autoSpaceDE/>
              <w:autoSpaceDN/>
              <w:bidi w:val="0"/>
              <w:adjustRightInd/>
              <w:snapToGrid/>
              <w:spacing w:line="0" w:lineRule="atLeast"/>
              <w:ind w:firstLine="400"/>
              <w:jc w:val="both"/>
              <w:rPr>
                <w:rFonts w:ascii="Times New Roman" w:hAnsi="Times New Roman" w:eastAsia="仿宋_GB2312"/>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635AE7C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&gt;21.49</w:t>
            </w:r>
          </w:p>
        </w:tc>
        <w:tc>
          <w:tcPr>
            <w:tcW w:w="829" w:type="dxa"/>
            <w:tcBorders>
              <w:top w:val="single" w:color="000000" w:sz="4" w:space="0"/>
              <w:left w:val="single" w:color="000000" w:sz="4" w:space="0"/>
              <w:bottom w:val="single" w:color="000000" w:sz="4" w:space="0"/>
              <w:right w:val="single" w:color="000000" w:sz="4" w:space="0"/>
            </w:tcBorders>
            <w:vAlign w:val="center"/>
          </w:tcPr>
          <w:p w14:paraId="0E2912E6">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4</w:t>
            </w:r>
          </w:p>
        </w:tc>
        <w:tc>
          <w:tcPr>
            <w:tcW w:w="1052" w:type="dxa"/>
            <w:tcBorders>
              <w:top w:val="single" w:color="000000" w:sz="4" w:space="0"/>
              <w:left w:val="single" w:color="000000" w:sz="4" w:space="0"/>
              <w:bottom w:val="single" w:color="000000" w:sz="4" w:space="0"/>
              <w:right w:val="single" w:color="000000" w:sz="4" w:space="0"/>
            </w:tcBorders>
            <w:vAlign w:val="center"/>
          </w:tcPr>
          <w:p w14:paraId="3E69286B">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&gt;21.49</w:t>
            </w:r>
          </w:p>
        </w:tc>
        <w:tc>
          <w:tcPr>
            <w:tcW w:w="961" w:type="dxa"/>
            <w:tcBorders>
              <w:top w:val="single" w:color="000000" w:sz="4" w:space="0"/>
              <w:left w:val="single" w:color="000000" w:sz="4" w:space="0"/>
              <w:bottom w:val="single" w:color="000000" w:sz="4" w:space="0"/>
              <w:right w:val="single" w:color="000000" w:sz="4" w:space="0"/>
            </w:tcBorders>
            <w:vAlign w:val="center"/>
          </w:tcPr>
          <w:p w14:paraId="6A28014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4</w:t>
            </w:r>
          </w:p>
        </w:tc>
        <w:tc>
          <w:tcPr>
            <w:tcW w:w="968" w:type="dxa"/>
            <w:tcBorders>
              <w:top w:val="single" w:color="000000" w:sz="4" w:space="0"/>
              <w:left w:val="single" w:color="000000" w:sz="4" w:space="0"/>
              <w:bottom w:val="single" w:color="000000" w:sz="4" w:space="0"/>
              <w:right w:val="single" w:color="000000" w:sz="4" w:space="0"/>
            </w:tcBorders>
            <w:vAlign w:val="center"/>
          </w:tcPr>
          <w:p w14:paraId="0C22C630">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不变</w:t>
            </w:r>
          </w:p>
        </w:tc>
        <w:tc>
          <w:tcPr>
            <w:tcW w:w="976" w:type="dxa"/>
            <w:tcBorders>
              <w:top w:val="single" w:color="000000" w:sz="4" w:space="0"/>
              <w:left w:val="single" w:color="000000" w:sz="4" w:space="0"/>
              <w:bottom w:val="single" w:color="000000" w:sz="4" w:space="0"/>
              <w:right w:val="single" w:color="000000" w:sz="4" w:space="0"/>
            </w:tcBorders>
            <w:vAlign w:val="center"/>
          </w:tcPr>
          <w:p w14:paraId="0E661EB0">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&gt;21.49</w:t>
            </w:r>
          </w:p>
        </w:tc>
        <w:tc>
          <w:tcPr>
            <w:tcW w:w="1015" w:type="dxa"/>
            <w:tcBorders>
              <w:top w:val="single" w:color="000000" w:sz="4" w:space="0"/>
              <w:left w:val="single" w:color="000000" w:sz="4" w:space="0"/>
              <w:bottom w:val="single" w:color="000000" w:sz="4" w:space="0"/>
              <w:right w:val="single" w:color="000000" w:sz="4" w:space="0"/>
            </w:tcBorders>
            <w:vAlign w:val="center"/>
          </w:tcPr>
          <w:p w14:paraId="11576AEF">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4</w:t>
            </w:r>
          </w:p>
        </w:tc>
        <w:tc>
          <w:tcPr>
            <w:tcW w:w="762" w:type="dxa"/>
            <w:tcBorders>
              <w:top w:val="single" w:color="000000" w:sz="4" w:space="0"/>
              <w:left w:val="single" w:color="000000" w:sz="4" w:space="0"/>
              <w:bottom w:val="single" w:color="000000" w:sz="4" w:space="0"/>
              <w:right w:val="single" w:color="000000" w:sz="4" w:space="0"/>
            </w:tcBorders>
            <w:vAlign w:val="center"/>
          </w:tcPr>
          <w:p w14:paraId="7AD50BE7">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kern w:val="2"/>
                <w:sz w:val="20"/>
                <w:szCs w:val="20"/>
                <w:lang w:val="en-US" w:eastAsia="zh-CN" w:bidi="ar-SA"/>
              </w:rPr>
            </w:pPr>
            <w:r>
              <w:rPr>
                <w:rFonts w:hint="eastAsia" w:ascii="Times New Roman" w:hAnsi="Times New Roman" w:eastAsia="仿宋_GB2312"/>
                <w:sz w:val="20"/>
                <w:szCs w:val="20"/>
                <w:lang w:val="en-US" w:eastAsia="zh-CN"/>
              </w:rPr>
              <w:t>不变</w:t>
            </w:r>
          </w:p>
        </w:tc>
      </w:tr>
      <w:tr w14:paraId="6FA26BF6">
        <w:tblPrEx>
          <w:tblCellMar>
            <w:top w:w="0" w:type="dxa"/>
            <w:left w:w="108" w:type="dxa"/>
            <w:bottom w:w="0" w:type="dxa"/>
            <w:right w:w="108" w:type="dxa"/>
          </w:tblCellMar>
        </w:tblPrEx>
        <w:trPr>
          <w:trHeight w:val="841" w:hRule="atLeast"/>
          <w:jc w:val="center"/>
        </w:trPr>
        <w:tc>
          <w:tcPr>
            <w:tcW w:w="881" w:type="dxa"/>
            <w:tcBorders>
              <w:top w:val="single" w:color="000000" w:sz="4" w:space="0"/>
              <w:left w:val="single" w:color="000000" w:sz="4" w:space="0"/>
              <w:bottom w:val="single" w:color="000000" w:sz="4" w:space="0"/>
              <w:right w:val="single" w:color="000000" w:sz="4" w:space="0"/>
            </w:tcBorders>
            <w:vAlign w:val="center"/>
          </w:tcPr>
          <w:p w14:paraId="5B5CD534">
            <w:pPr>
              <w:keepNext w:val="0"/>
              <w:keepLines w:val="0"/>
              <w:pageBreakBefore w:val="0"/>
              <w:widowControl/>
              <w:suppressLineNumbers w:val="0"/>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2"/>
                <w:sz w:val="20"/>
                <w:szCs w:val="20"/>
                <w:u w:val="none"/>
                <w:lang w:val="en-US" w:eastAsia="zh-CN" w:bidi="ar-SA"/>
              </w:rPr>
            </w:pPr>
            <w:r>
              <w:rPr>
                <w:rFonts w:hint="default" w:ascii="Times New Roman" w:hAnsi="Times New Roman" w:eastAsia="仿宋_GB2312" w:cs="Times New Roman"/>
                <w:b w:val="0"/>
                <w:bCs w:val="0"/>
                <w:i w:val="0"/>
                <w:color w:val="000000"/>
                <w:kern w:val="0"/>
                <w:sz w:val="20"/>
                <w:szCs w:val="20"/>
                <w:u w:val="none"/>
                <w:lang w:val="en-US" w:eastAsia="zh-CN" w:bidi="ar"/>
              </w:rPr>
              <w:t>快车</w:t>
            </w:r>
          </w:p>
        </w:tc>
        <w:tc>
          <w:tcPr>
            <w:tcW w:w="2044" w:type="dxa"/>
            <w:gridSpan w:val="2"/>
            <w:tcBorders>
              <w:top w:val="single" w:color="000000" w:sz="4" w:space="0"/>
              <w:left w:val="single" w:color="000000" w:sz="4" w:space="0"/>
              <w:bottom w:val="single" w:color="000000" w:sz="4" w:space="0"/>
              <w:right w:val="single" w:color="000000" w:sz="4" w:space="0"/>
            </w:tcBorders>
            <w:vAlign w:val="center"/>
          </w:tcPr>
          <w:p w14:paraId="73697AFC">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ascii="Times New Roman" w:hAnsi="Times New Roman" w:eastAsia="仿宋_GB2312"/>
                <w:kern w:val="0"/>
                <w:sz w:val="20"/>
                <w:szCs w:val="20"/>
              </w:rPr>
            </w:pPr>
            <w:r>
              <w:rPr>
                <w:rFonts w:hint="default" w:ascii="Times New Roman" w:hAnsi="Times New Roman" w:eastAsia="仿宋_GB2312" w:cs="Times New Roman"/>
                <w:b w:val="0"/>
                <w:bCs w:val="0"/>
                <w:i w:val="0"/>
                <w:color w:val="000000"/>
                <w:kern w:val="0"/>
                <w:sz w:val="20"/>
                <w:szCs w:val="20"/>
                <w:u w:val="none"/>
                <w:lang w:val="en-US" w:eastAsia="zh-CN" w:bidi="ar"/>
              </w:rPr>
              <w:t>按0.283元/人·公里计算票价。</w:t>
            </w:r>
          </w:p>
        </w:tc>
        <w:tc>
          <w:tcPr>
            <w:tcW w:w="2013" w:type="dxa"/>
            <w:gridSpan w:val="2"/>
            <w:tcBorders>
              <w:top w:val="single" w:color="000000" w:sz="4" w:space="0"/>
              <w:left w:val="single" w:color="000000" w:sz="4" w:space="0"/>
              <w:bottom w:val="single" w:color="000000" w:sz="4" w:space="0"/>
              <w:right w:val="single" w:color="000000" w:sz="4" w:space="0"/>
            </w:tcBorders>
            <w:vAlign w:val="center"/>
          </w:tcPr>
          <w:p w14:paraId="49B949F2">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按0.283元/人·公里计算票价。</w:t>
            </w:r>
          </w:p>
        </w:tc>
        <w:tc>
          <w:tcPr>
            <w:tcW w:w="968" w:type="dxa"/>
            <w:tcBorders>
              <w:top w:val="single" w:color="000000" w:sz="4" w:space="0"/>
              <w:left w:val="single" w:color="000000" w:sz="4" w:space="0"/>
              <w:bottom w:val="single" w:color="000000" w:sz="4" w:space="0"/>
              <w:right w:val="single" w:color="000000" w:sz="4" w:space="0"/>
            </w:tcBorders>
            <w:vAlign w:val="center"/>
          </w:tcPr>
          <w:p w14:paraId="4BFDCF1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default" w:ascii="Times New Roman" w:hAnsi="Times New Roman" w:eastAsia="仿宋_GB2312" w:cs="Times New Roman"/>
                <w:b w:val="0"/>
                <w:bCs w:val="0"/>
                <w:i w:val="0"/>
                <w:color w:val="000000"/>
                <w:kern w:val="0"/>
                <w:sz w:val="20"/>
                <w:szCs w:val="20"/>
                <w:u w:val="none"/>
                <w:lang w:val="en-US" w:eastAsia="zh-CN" w:bidi="ar"/>
              </w:rPr>
            </w:pPr>
            <w:r>
              <w:rPr>
                <w:rFonts w:hint="eastAsia" w:ascii="Times New Roman" w:hAnsi="Times New Roman" w:eastAsia="仿宋_GB2312"/>
                <w:sz w:val="20"/>
                <w:szCs w:val="20"/>
                <w:lang w:val="en-US" w:eastAsia="zh-CN"/>
              </w:rPr>
              <w:t>不变</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14:paraId="28297DAD">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b w:val="0"/>
                <w:bCs w:val="0"/>
                <w:i w:val="0"/>
                <w:color w:val="000000"/>
                <w:kern w:val="0"/>
                <w:sz w:val="20"/>
                <w:szCs w:val="20"/>
                <w:u w:val="none"/>
                <w:lang w:val="en-US" w:eastAsia="zh-CN" w:bidi="ar"/>
              </w:rPr>
            </w:pPr>
            <w:r>
              <w:rPr>
                <w:rFonts w:hint="default" w:ascii="Times New Roman" w:hAnsi="Times New Roman" w:eastAsia="仿宋_GB2312" w:cs="Times New Roman"/>
                <w:b w:val="0"/>
                <w:bCs w:val="0"/>
                <w:i w:val="0"/>
                <w:color w:val="000000"/>
                <w:kern w:val="0"/>
                <w:sz w:val="20"/>
                <w:szCs w:val="20"/>
                <w:u w:val="none"/>
                <w:lang w:val="en-US" w:eastAsia="zh-CN" w:bidi="ar"/>
              </w:rPr>
              <w:t>按0.283元/人·公里计算票价。</w:t>
            </w:r>
          </w:p>
        </w:tc>
        <w:tc>
          <w:tcPr>
            <w:tcW w:w="762" w:type="dxa"/>
            <w:tcBorders>
              <w:top w:val="single" w:color="000000" w:sz="4" w:space="0"/>
              <w:left w:val="single" w:color="000000" w:sz="4" w:space="0"/>
              <w:bottom w:val="single" w:color="000000" w:sz="4" w:space="0"/>
              <w:right w:val="single" w:color="000000" w:sz="4" w:space="0"/>
            </w:tcBorders>
            <w:vAlign w:val="center"/>
          </w:tcPr>
          <w:p w14:paraId="7C412DDF">
            <w:pPr>
              <w:keepNext w:val="0"/>
              <w:keepLines w:val="0"/>
              <w:pageBreakBefore w:val="0"/>
              <w:widowControl/>
              <w:kinsoku/>
              <w:wordWrap/>
              <w:overflowPunct/>
              <w:topLinePunct w:val="0"/>
              <w:autoSpaceDE/>
              <w:autoSpaceDN/>
              <w:bidi w:val="0"/>
              <w:adjustRightInd/>
              <w:snapToGrid/>
              <w:spacing w:line="0" w:lineRule="atLeast"/>
              <w:ind w:firstLine="0" w:firstLineChars="0"/>
              <w:jc w:val="center"/>
              <w:textAlignment w:val="center"/>
              <w:rPr>
                <w:rFonts w:hint="eastAsia" w:ascii="Times New Roman" w:hAnsi="Times New Roman" w:eastAsia="仿宋_GB2312" w:cs="Times New Roman"/>
                <w:b w:val="0"/>
                <w:bCs w:val="0"/>
                <w:i w:val="0"/>
                <w:color w:val="000000"/>
                <w:kern w:val="0"/>
                <w:sz w:val="20"/>
                <w:szCs w:val="20"/>
                <w:u w:val="none"/>
                <w:lang w:val="en-US" w:eastAsia="zh-CN" w:bidi="ar"/>
              </w:rPr>
            </w:pPr>
            <w:r>
              <w:rPr>
                <w:rFonts w:hint="eastAsia" w:ascii="Times New Roman" w:hAnsi="Times New Roman" w:eastAsia="仿宋_GB2312"/>
                <w:sz w:val="20"/>
                <w:szCs w:val="20"/>
                <w:lang w:val="en-US" w:eastAsia="zh-CN"/>
              </w:rPr>
              <w:t>不变</w:t>
            </w:r>
          </w:p>
        </w:tc>
      </w:tr>
      <w:tr w14:paraId="3D3C2B0E">
        <w:tblPrEx>
          <w:tblCellMar>
            <w:top w:w="0" w:type="dxa"/>
            <w:left w:w="108" w:type="dxa"/>
            <w:bottom w:w="0" w:type="dxa"/>
            <w:right w:w="108" w:type="dxa"/>
          </w:tblCellMar>
        </w:tblPrEx>
        <w:trPr>
          <w:trHeight w:val="841" w:hRule="atLeast"/>
          <w:jc w:val="center"/>
        </w:trPr>
        <w:tc>
          <w:tcPr>
            <w:tcW w:w="8659" w:type="dxa"/>
            <w:gridSpan w:val="9"/>
            <w:tcBorders>
              <w:top w:val="single" w:color="000000" w:sz="4" w:space="0"/>
              <w:left w:val="single" w:color="000000" w:sz="4" w:space="0"/>
              <w:bottom w:val="single" w:color="000000" w:sz="4" w:space="0"/>
              <w:right w:val="single" w:color="000000" w:sz="4" w:space="0"/>
            </w:tcBorders>
            <w:vAlign w:val="center"/>
          </w:tcPr>
          <w:p w14:paraId="504DFF9C">
            <w:pPr>
              <w:keepNext w:val="0"/>
              <w:keepLines w:val="0"/>
              <w:pageBreakBefore w:val="0"/>
              <w:widowControl/>
              <w:kinsoku/>
              <w:wordWrap/>
              <w:overflowPunct/>
              <w:topLinePunct w:val="0"/>
              <w:autoSpaceDE/>
              <w:autoSpaceDN/>
              <w:bidi w:val="0"/>
              <w:adjustRightInd/>
              <w:snapToGrid/>
              <w:spacing w:line="0" w:lineRule="atLeast"/>
              <w:ind w:firstLine="0" w:firstLineChars="0"/>
              <w:jc w:val="left"/>
              <w:textAlignment w:val="center"/>
              <w:rPr>
                <w:rFonts w:hint="default" w:eastAsia="仿宋_GB2312"/>
                <w:color w:val="auto"/>
                <w:sz w:val="20"/>
                <w:szCs w:val="20"/>
                <w:lang w:val="en-US" w:eastAsia="zh-CN"/>
              </w:rPr>
            </w:pPr>
            <w:r>
              <w:rPr>
                <w:rFonts w:hint="default" w:eastAsia="仿宋_GB2312"/>
                <w:color w:val="auto"/>
                <w:sz w:val="20"/>
                <w:szCs w:val="20"/>
                <w:lang w:val="en-US" w:eastAsia="zh-CN"/>
              </w:rPr>
              <w:t>备注：</w:t>
            </w:r>
          </w:p>
          <w:p w14:paraId="577B07CB">
            <w:pPr>
              <w:keepNext w:val="0"/>
              <w:keepLines w:val="0"/>
              <w:pageBreakBefore w:val="0"/>
              <w:widowControl/>
              <w:kinsoku/>
              <w:wordWrap/>
              <w:overflowPunct/>
              <w:topLinePunct w:val="0"/>
              <w:autoSpaceDE/>
              <w:autoSpaceDN/>
              <w:bidi w:val="0"/>
              <w:adjustRightInd/>
              <w:snapToGrid/>
              <w:spacing w:line="0" w:lineRule="atLeast"/>
              <w:ind w:firstLine="0" w:firstLineChars="0"/>
              <w:jc w:val="left"/>
              <w:textAlignment w:val="center"/>
              <w:rPr>
                <w:rFonts w:hint="default" w:eastAsia="仿宋_GB2312"/>
                <w:color w:val="auto"/>
                <w:sz w:val="20"/>
                <w:szCs w:val="20"/>
                <w:lang w:val="en-US" w:eastAsia="zh-CN"/>
              </w:rPr>
            </w:pPr>
            <w:r>
              <w:rPr>
                <w:rFonts w:hint="default" w:eastAsia="仿宋_GB2312"/>
                <w:color w:val="auto"/>
                <w:sz w:val="20"/>
                <w:szCs w:val="20"/>
                <w:lang w:val="en-US" w:eastAsia="zh-CN"/>
              </w:rPr>
              <w:t>1.对单向环线公交线路，按全程营运里程的一半确定基础票价标准；对双向环线公交线路，按全程营运里程确定基础票价标准。</w:t>
            </w:r>
          </w:p>
          <w:p w14:paraId="4687765B">
            <w:pPr>
              <w:keepNext w:val="0"/>
              <w:keepLines w:val="0"/>
              <w:pageBreakBefore w:val="0"/>
              <w:widowControl/>
              <w:kinsoku/>
              <w:wordWrap/>
              <w:overflowPunct/>
              <w:topLinePunct w:val="0"/>
              <w:autoSpaceDE/>
              <w:autoSpaceDN/>
              <w:bidi w:val="0"/>
              <w:adjustRightInd/>
              <w:snapToGrid/>
              <w:spacing w:line="0" w:lineRule="atLeast"/>
              <w:ind w:firstLine="0" w:firstLineChars="0"/>
              <w:jc w:val="left"/>
              <w:textAlignment w:val="center"/>
              <w:rPr>
                <w:rFonts w:hint="default" w:eastAsia="仿宋_GB2312"/>
                <w:color w:val="auto"/>
                <w:sz w:val="20"/>
                <w:szCs w:val="20"/>
                <w:lang w:val="en-US" w:eastAsia="zh-CN"/>
              </w:rPr>
            </w:pPr>
            <w:r>
              <w:rPr>
                <w:rFonts w:hint="eastAsia" w:eastAsia="仿宋_GB2312"/>
                <w:color w:val="auto"/>
                <w:sz w:val="20"/>
                <w:szCs w:val="20"/>
                <w:lang w:val="en-US" w:eastAsia="zh-CN"/>
              </w:rPr>
              <w:t>2.</w:t>
            </w:r>
            <w:r>
              <w:rPr>
                <w:rFonts w:hint="default" w:eastAsia="仿宋_GB2312"/>
                <w:color w:val="auto"/>
                <w:sz w:val="20"/>
                <w:szCs w:val="20"/>
                <w:lang w:val="en-US" w:eastAsia="zh-CN"/>
              </w:rPr>
              <w:t>对途经收费道路或桥梁的公交线路，向乘车经过路桥收费站的乘客加收1元；对未乘车经过路桥收费站的乘客，不加收。</w:t>
            </w:r>
          </w:p>
          <w:p w14:paraId="087A99B9">
            <w:pPr>
              <w:keepNext w:val="0"/>
              <w:keepLines w:val="0"/>
              <w:pageBreakBefore w:val="0"/>
              <w:widowControl/>
              <w:kinsoku/>
              <w:wordWrap/>
              <w:overflowPunct/>
              <w:topLinePunct w:val="0"/>
              <w:autoSpaceDE/>
              <w:autoSpaceDN/>
              <w:bidi w:val="0"/>
              <w:adjustRightInd/>
              <w:snapToGrid/>
              <w:spacing w:line="0" w:lineRule="atLeast"/>
              <w:ind w:firstLine="0" w:firstLineChars="0"/>
              <w:jc w:val="left"/>
              <w:textAlignment w:val="center"/>
              <w:rPr>
                <w:rFonts w:hint="default" w:eastAsia="仿宋_GB2312"/>
                <w:color w:val="auto"/>
                <w:sz w:val="20"/>
                <w:szCs w:val="20"/>
                <w:lang w:val="en-US" w:eastAsia="zh-CN"/>
              </w:rPr>
            </w:pPr>
            <w:r>
              <w:rPr>
                <w:rFonts w:hint="eastAsia" w:eastAsia="仿宋_GB2312"/>
                <w:color w:val="auto"/>
                <w:sz w:val="20"/>
                <w:szCs w:val="20"/>
                <w:lang w:val="en-US" w:eastAsia="zh-CN"/>
              </w:rPr>
              <w:t>3</w:t>
            </w:r>
            <w:r>
              <w:rPr>
                <w:rFonts w:hint="default" w:eastAsia="仿宋_GB2312"/>
                <w:color w:val="auto"/>
                <w:sz w:val="20"/>
                <w:szCs w:val="20"/>
                <w:lang w:val="en-US" w:eastAsia="zh-CN"/>
              </w:rPr>
              <w:t>.城市公共汽车电车线路运营企业（以下简称“公交企业”）负责向社会公布线路全程营运里程，按照线路全程营运里程对应确定基础票价标准。对存在纠纷需核定线路全程营运里程的，由交通运输行政管理部门负责核定并出具核定结果，公交企业根据核定结果确定公交线路基础票价标准。</w:t>
            </w:r>
          </w:p>
          <w:p w14:paraId="6E07FAB5">
            <w:pPr>
              <w:keepNext w:val="0"/>
              <w:keepLines w:val="0"/>
              <w:pageBreakBefore w:val="0"/>
              <w:widowControl/>
              <w:kinsoku/>
              <w:wordWrap/>
              <w:overflowPunct/>
              <w:topLinePunct w:val="0"/>
              <w:autoSpaceDE/>
              <w:autoSpaceDN/>
              <w:bidi w:val="0"/>
              <w:adjustRightInd/>
              <w:snapToGrid/>
              <w:spacing w:line="0" w:lineRule="atLeast"/>
              <w:ind w:firstLine="0" w:firstLineChars="0"/>
              <w:jc w:val="left"/>
              <w:textAlignment w:val="center"/>
              <w:rPr>
                <w:rFonts w:hint="default" w:eastAsia="仿宋_GB2312"/>
                <w:color w:val="auto"/>
                <w:sz w:val="20"/>
                <w:szCs w:val="20"/>
                <w:lang w:val="en-US" w:eastAsia="zh-CN"/>
              </w:rPr>
            </w:pPr>
            <w:r>
              <w:rPr>
                <w:rFonts w:hint="eastAsia" w:eastAsia="仿宋_GB2312"/>
                <w:color w:val="auto"/>
                <w:sz w:val="20"/>
                <w:szCs w:val="20"/>
                <w:lang w:val="en-US" w:eastAsia="zh-CN"/>
              </w:rPr>
              <w:t>4.</w:t>
            </w:r>
            <w:r>
              <w:rPr>
                <w:rFonts w:hint="default" w:eastAsia="仿宋_GB2312"/>
                <w:color w:val="auto"/>
                <w:sz w:val="20"/>
                <w:szCs w:val="20"/>
                <w:lang w:val="en-US" w:eastAsia="zh-CN"/>
              </w:rPr>
              <w:t xml:space="preserve">夜班车线路是指线路编码以“夜”开头的线路以及有效文件列明的临时增开的夜间线路。日班车线路在夜间时段运营的，不得按夜班车线路票价标准执行。 </w:t>
            </w:r>
          </w:p>
          <w:p w14:paraId="12D44C2D">
            <w:pPr>
              <w:keepNext w:val="0"/>
              <w:keepLines w:val="0"/>
              <w:pageBreakBefore w:val="0"/>
              <w:widowControl/>
              <w:kinsoku/>
              <w:wordWrap/>
              <w:overflowPunct/>
              <w:topLinePunct w:val="0"/>
              <w:autoSpaceDE/>
              <w:autoSpaceDN/>
              <w:bidi w:val="0"/>
              <w:adjustRightInd/>
              <w:snapToGrid/>
              <w:spacing w:line="0" w:lineRule="atLeast"/>
              <w:ind w:firstLine="0" w:firstLineChars="0"/>
              <w:jc w:val="left"/>
              <w:textAlignment w:val="center"/>
              <w:rPr>
                <w:rFonts w:hint="default" w:eastAsia="仿宋_GB2312"/>
                <w:color w:val="FF0000"/>
                <w:sz w:val="20"/>
                <w:szCs w:val="20"/>
                <w:lang w:val="en-US" w:eastAsia="zh-CN"/>
              </w:rPr>
            </w:pPr>
            <w:r>
              <w:rPr>
                <w:rFonts w:hint="eastAsia" w:eastAsia="仿宋_GB2312"/>
                <w:color w:val="auto"/>
                <w:sz w:val="20"/>
                <w:szCs w:val="20"/>
                <w:lang w:val="en-US" w:eastAsia="zh-CN"/>
              </w:rPr>
              <w:t>5</w:t>
            </w:r>
            <w:r>
              <w:rPr>
                <w:rFonts w:hint="default" w:eastAsia="仿宋_GB2312"/>
                <w:color w:val="auto"/>
                <w:sz w:val="20"/>
                <w:szCs w:val="20"/>
                <w:lang w:val="en-US" w:eastAsia="zh-CN"/>
              </w:rPr>
              <w:t>.快车线路是指点（起点站）对点（终点站）营运、中途站不上下客的线路。</w:t>
            </w:r>
          </w:p>
        </w:tc>
      </w:tr>
    </w:tbl>
    <w:p w14:paraId="0D3729C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黑体_GBK" w:cs="Times New Roman"/>
          <w:b w:val="0"/>
          <w:bCs w:val="0"/>
          <w:color w:val="auto"/>
          <w:sz w:val="32"/>
          <w:szCs w:val="32"/>
          <w:lang w:eastAsia="zh-CN" w:bidi="ar"/>
        </w:rPr>
      </w:pPr>
      <w:r>
        <w:rPr>
          <w:rFonts w:hint="default" w:eastAsia="方正黑体_GBK" w:cs="Times New Roman"/>
          <w:b w:val="0"/>
          <w:bCs w:val="0"/>
          <w:color w:val="auto"/>
          <w:sz w:val="32"/>
          <w:szCs w:val="32"/>
          <w:lang w:eastAsia="zh-CN" w:bidi="ar"/>
        </w:rPr>
        <w:t>六</w:t>
      </w:r>
      <w:r>
        <w:rPr>
          <w:rFonts w:hint="default" w:ascii="Times New Roman" w:hAnsi="Times New Roman" w:eastAsia="方正黑体_GBK" w:cs="Times New Roman"/>
          <w:b w:val="0"/>
          <w:bCs w:val="0"/>
          <w:color w:val="auto"/>
          <w:sz w:val="32"/>
          <w:szCs w:val="32"/>
          <w:lang w:eastAsia="zh-CN" w:bidi="ar"/>
        </w:rPr>
        <w:t>、</w:t>
      </w:r>
      <w:r>
        <w:rPr>
          <w:rFonts w:hint="default" w:eastAsia="方正黑体_GBK" w:cs="Times New Roman"/>
          <w:b w:val="0"/>
          <w:bCs w:val="0"/>
          <w:color w:val="auto"/>
          <w:sz w:val="32"/>
          <w:szCs w:val="32"/>
          <w:lang w:eastAsia="zh-CN" w:bidi="ar"/>
        </w:rPr>
        <w:t>票价标准</w:t>
      </w:r>
      <w:r>
        <w:rPr>
          <w:rFonts w:hint="eastAsia" w:ascii="Times New Roman" w:hAnsi="Times New Roman" w:eastAsia="黑体" w:cs="Times New Roman"/>
          <w:sz w:val="32"/>
          <w:szCs w:val="32"/>
          <w:lang w:val="en-US" w:eastAsia="zh-CN" w:bidi="ar"/>
        </w:rPr>
        <w:t>比选方案的影响分析</w:t>
      </w:r>
      <w:r>
        <w:rPr>
          <w:rFonts w:hint="eastAsia" w:ascii="Times New Roman" w:hAnsi="Times New Roman" w:eastAsia="黑体" w:cs="Times New Roman"/>
          <w:color w:val="0000FF"/>
          <w:sz w:val="32"/>
          <w:szCs w:val="32"/>
          <w:lang w:val="en-US" w:eastAsia="zh-CN" w:bidi="ar"/>
        </w:rPr>
        <w:t xml:space="preserve">  </w:t>
      </w:r>
      <w:r>
        <w:rPr>
          <w:rFonts w:hint="default" w:ascii="Times New Roman" w:hAnsi="Times New Roman" w:cs="Times New Roman"/>
          <w:color w:val="0000FF"/>
          <w:sz w:val="32"/>
          <w:szCs w:val="32"/>
          <w:lang w:val="en-US" w:eastAsia="zh-CN" w:bidi="ar"/>
        </w:rPr>
        <w:t xml:space="preserve"> </w:t>
      </w:r>
    </w:p>
    <w:p w14:paraId="2A7E2C6E">
      <w:pPr>
        <w:pStyle w:val="7"/>
        <w:keepNext w:val="0"/>
        <w:keepLines w:val="0"/>
        <w:pageBreakBefore w:val="0"/>
        <w:widowControl/>
        <w:numPr>
          <w:ilvl w:val="0"/>
          <w:numId w:val="0"/>
        </w:numPr>
        <w:tabs>
          <w:tab w:val="left" w:pos="-200"/>
          <w:tab w:val="left" w:pos="0"/>
        </w:tabs>
        <w:kinsoku/>
        <w:wordWrap/>
        <w:overflowPunct/>
        <w:topLinePunct w:val="0"/>
        <w:autoSpaceDE/>
        <w:autoSpaceDN/>
        <w:bidi w:val="0"/>
        <w:spacing w:line="560" w:lineRule="exact"/>
        <w:ind w:left="0" w:leftChars="0" w:firstLine="640" w:firstLineChars="200"/>
        <w:textAlignment w:val="auto"/>
        <w:rPr>
          <w:rFonts w:hint="eastAsia" w:ascii="Times New Roman" w:hAnsi="Times New Roman" w:eastAsia="楷体_GB2312" w:cs="Times New Roman"/>
          <w:lang w:val="en-US" w:eastAsia="zh-CN"/>
        </w:rPr>
      </w:pPr>
      <w:r>
        <w:rPr>
          <w:rFonts w:hint="default" w:ascii="Times New Roman" w:hAnsi="Times New Roman" w:eastAsia="楷体_GB2312" w:cs="Times New Roman"/>
          <w:szCs w:val="32"/>
        </w:rPr>
        <w:t>（</w:t>
      </w:r>
      <w:r>
        <w:rPr>
          <w:rFonts w:hint="default" w:ascii="Times New Roman" w:hAnsi="Times New Roman" w:eastAsia="楷体_GB2312" w:cs="Times New Roman"/>
          <w:szCs w:val="32"/>
          <w:lang w:eastAsia="zh-CN"/>
        </w:rPr>
        <w:t>一</w:t>
      </w:r>
      <w:r>
        <w:rPr>
          <w:rFonts w:hint="default" w:ascii="Times New Roman" w:hAnsi="Times New Roman" w:eastAsia="楷体_GB2312" w:cs="Times New Roman"/>
          <w:szCs w:val="32"/>
        </w:rPr>
        <w:t>）</w:t>
      </w:r>
      <w:r>
        <w:rPr>
          <w:rFonts w:hint="eastAsia" w:ascii="Times New Roman" w:hAnsi="Times New Roman" w:eastAsia="楷体_GB2312" w:cs="Times New Roman"/>
          <w:lang w:val="en-US" w:eastAsia="zh-CN"/>
        </w:rPr>
        <w:t>对普通乘客公交支出</w:t>
      </w:r>
      <w:r>
        <w:rPr>
          <w:rFonts w:hint="default" w:ascii="Times New Roman" w:hAnsi="Times New Roman" w:eastAsia="楷体_GB2312" w:cs="Times New Roman"/>
          <w:lang w:val="en"/>
        </w:rPr>
        <w:t>的</w:t>
      </w:r>
      <w:r>
        <w:rPr>
          <w:rFonts w:hint="eastAsia" w:ascii="Times New Roman" w:hAnsi="Times New Roman" w:eastAsia="楷体_GB2312" w:cs="Times New Roman"/>
          <w:lang w:val="en-US" w:eastAsia="zh-CN"/>
        </w:rPr>
        <w:t>影响</w:t>
      </w:r>
    </w:p>
    <w:p w14:paraId="1FCA7C33">
      <w:pPr>
        <w:pStyle w:val="7"/>
        <w:keepNext w:val="0"/>
        <w:keepLines w:val="0"/>
        <w:pageBreakBefore w:val="0"/>
        <w:widowControl/>
        <w:numPr>
          <w:ilvl w:val="0"/>
          <w:numId w:val="0"/>
        </w:numPr>
        <w:tabs>
          <w:tab w:val="left" w:pos="-200"/>
          <w:tab w:val="left" w:pos="0"/>
        </w:tabs>
        <w:kinsoku/>
        <w:wordWrap/>
        <w:overflowPunct/>
        <w:topLinePunct w:val="0"/>
        <w:autoSpaceDE/>
        <w:autoSpaceDN/>
        <w:bidi w:val="0"/>
        <w:spacing w:line="560" w:lineRule="exact"/>
        <w:ind w:left="0" w:leftChars="0" w:firstLine="640" w:firstLineChars="200"/>
        <w:textAlignment w:val="auto"/>
        <w:rPr>
          <w:rFonts w:hint="eastAsia" w:ascii="Times New Roman" w:hAnsi="Times New Roman" w:cs="Times New Roman"/>
          <w:szCs w:val="32"/>
          <w:lang w:eastAsia="zh-CN"/>
        </w:rPr>
      </w:pPr>
      <w:r>
        <w:rPr>
          <w:rFonts w:hint="default" w:ascii="Times New Roman" w:hAnsi="Times New Roman" w:eastAsia="仿宋_GB2312" w:cs="Times New Roman"/>
          <w:szCs w:val="32"/>
          <w:lang w:eastAsia="zh-CN"/>
        </w:rPr>
        <w:t>两个方案通过“短途微调、长途让利”的差异化定价，在短途票价适度</w:t>
      </w:r>
      <w:r>
        <w:rPr>
          <w:rFonts w:hint="eastAsia" w:ascii="Times New Roman" w:hAnsi="Times New Roman" w:cs="Times New Roman"/>
          <w:szCs w:val="32"/>
          <w:lang w:val="en-US" w:eastAsia="zh-CN"/>
        </w:rPr>
        <w:t>调整</w:t>
      </w:r>
      <w:r>
        <w:rPr>
          <w:rFonts w:hint="default" w:ascii="Times New Roman" w:hAnsi="Times New Roman" w:eastAsia="仿宋_GB2312" w:cs="Times New Roman"/>
          <w:szCs w:val="32"/>
          <w:lang w:eastAsia="zh-CN"/>
        </w:rPr>
        <w:t>的同时降低长途出行成本</w:t>
      </w:r>
      <w:r>
        <w:rPr>
          <w:rFonts w:hint="eastAsia" w:ascii="Times New Roman" w:hAnsi="Times New Roman" w:cs="Times New Roman"/>
          <w:szCs w:val="32"/>
          <w:lang w:eastAsia="zh-CN"/>
        </w:rPr>
        <w:t>，</w:t>
      </w:r>
      <w:r>
        <w:rPr>
          <w:rFonts w:hint="eastAsia" w:ascii="Times New Roman" w:hAnsi="Times New Roman" w:cs="Times New Roman"/>
          <w:szCs w:val="32"/>
          <w:lang w:val="en-US" w:eastAsia="zh-CN"/>
        </w:rPr>
        <w:t>兼顾市民短途出行的经济性，也降低了市民长途出行的成本</w:t>
      </w:r>
      <w:r>
        <w:rPr>
          <w:rFonts w:hint="default" w:ascii="Times New Roman" w:hAnsi="Times New Roman" w:eastAsia="仿宋_GB2312" w:cs="Times New Roman"/>
          <w:szCs w:val="32"/>
          <w:lang w:eastAsia="zh-CN"/>
        </w:rPr>
        <w:t>。现行人次票价为</w:t>
      </w:r>
      <w:r>
        <w:rPr>
          <w:rFonts w:hint="eastAsia" w:ascii="Times New Roman" w:hAnsi="Times New Roman" w:cs="Times New Roman"/>
          <w:szCs w:val="32"/>
          <w:lang w:val="en-US" w:eastAsia="zh-CN"/>
        </w:rPr>
        <w:t>1.40</w:t>
      </w:r>
      <w:r>
        <w:rPr>
          <w:rFonts w:hint="default" w:ascii="Times New Roman" w:hAnsi="Times New Roman" w:eastAsia="仿宋_GB2312" w:cs="Times New Roman"/>
          <w:szCs w:val="32"/>
          <w:lang w:eastAsia="zh-CN"/>
        </w:rPr>
        <w:t>元。方案一对应人次票价约为</w:t>
      </w:r>
      <w:r>
        <w:rPr>
          <w:rFonts w:hint="eastAsia" w:ascii="Times New Roman" w:hAnsi="Times New Roman" w:cs="Times New Roman"/>
          <w:szCs w:val="32"/>
          <w:lang w:val="en-US" w:eastAsia="zh-CN"/>
        </w:rPr>
        <w:t>1.51</w:t>
      </w:r>
      <w:r>
        <w:rPr>
          <w:rFonts w:hint="default" w:ascii="Times New Roman" w:hAnsi="Times New Roman" w:eastAsia="仿宋_GB2312" w:cs="Times New Roman"/>
          <w:szCs w:val="32"/>
          <w:lang w:eastAsia="zh-CN"/>
        </w:rPr>
        <w:t>元，</w:t>
      </w:r>
      <w:r>
        <w:rPr>
          <w:rFonts w:hint="eastAsia" w:ascii="Times New Roman" w:hAnsi="Times New Roman" w:cs="Times New Roman"/>
          <w:szCs w:val="32"/>
          <w:lang w:val="en-US" w:eastAsia="zh-CN"/>
        </w:rPr>
        <w:t>上调额约为0.10元、</w:t>
      </w:r>
      <w:r>
        <w:rPr>
          <w:rFonts w:hint="default" w:ascii="Times New Roman" w:hAnsi="Times New Roman" w:eastAsia="仿宋_GB2312" w:cs="Times New Roman"/>
          <w:szCs w:val="32"/>
          <w:lang w:eastAsia="zh-CN"/>
        </w:rPr>
        <w:t>增幅为</w:t>
      </w:r>
      <w:r>
        <w:rPr>
          <w:rFonts w:hint="eastAsia" w:ascii="Times New Roman" w:hAnsi="Times New Roman" w:cs="Times New Roman"/>
          <w:szCs w:val="32"/>
          <w:lang w:val="en-US" w:eastAsia="zh-CN"/>
        </w:rPr>
        <w:t>7.1</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 w:val="32"/>
          <w:szCs w:val="32"/>
          <w:lang w:eastAsia="zh-CN"/>
        </w:rPr>
        <w:t>方案二</w:t>
      </w:r>
      <w:r>
        <w:rPr>
          <w:rFonts w:hint="eastAsia" w:eastAsia="仿宋_GB2312" w:cs="Times New Roman"/>
          <w:sz w:val="32"/>
          <w:szCs w:val="32"/>
          <w:lang w:eastAsia="zh-CN"/>
        </w:rPr>
        <w:t>对应</w:t>
      </w:r>
      <w:r>
        <w:rPr>
          <w:rFonts w:hint="default" w:ascii="Times New Roman" w:hAnsi="Times New Roman" w:eastAsia="仿宋_GB2312" w:cs="Times New Roman"/>
          <w:sz w:val="32"/>
          <w:szCs w:val="32"/>
          <w:lang w:eastAsia="zh-CN"/>
        </w:rPr>
        <w:t>人次票价</w:t>
      </w:r>
      <w:r>
        <w:rPr>
          <w:rFonts w:hint="eastAsia" w:eastAsia="仿宋_GB2312" w:cs="Times New Roman"/>
          <w:sz w:val="32"/>
          <w:szCs w:val="32"/>
          <w:lang w:eastAsia="zh-CN"/>
        </w:rPr>
        <w:t>约</w:t>
      </w:r>
      <w:r>
        <w:rPr>
          <w:rFonts w:hint="default" w:ascii="Times New Roman" w:hAnsi="Times New Roman" w:eastAsia="仿宋_GB2312" w:cs="Times New Roman"/>
          <w:sz w:val="32"/>
          <w:szCs w:val="32"/>
          <w:lang w:eastAsia="zh-CN"/>
        </w:rPr>
        <w:t>为</w:t>
      </w:r>
      <w:r>
        <w:rPr>
          <w:rFonts w:hint="eastAsia" w:ascii="Times New Roman" w:hAnsi="Times New Roman" w:cs="Times New Roman"/>
          <w:sz w:val="32"/>
          <w:szCs w:val="32"/>
          <w:lang w:val="en-US" w:eastAsia="zh-CN"/>
        </w:rPr>
        <w:t>1.66</w:t>
      </w:r>
      <w:r>
        <w:rPr>
          <w:rFonts w:hint="default" w:ascii="Times New Roman" w:hAnsi="Times New Roman" w:eastAsia="仿宋_GB2312" w:cs="Times New Roman"/>
          <w:sz w:val="32"/>
          <w:szCs w:val="32"/>
          <w:lang w:eastAsia="zh-CN"/>
        </w:rPr>
        <w:t>元</w:t>
      </w:r>
      <w:r>
        <w:rPr>
          <w:rFonts w:hint="eastAsia" w:eastAsia="仿宋_GB2312" w:cs="Times New Roman"/>
          <w:sz w:val="32"/>
          <w:szCs w:val="32"/>
          <w:lang w:eastAsia="zh-CN"/>
        </w:rPr>
        <w:t>，</w:t>
      </w:r>
      <w:r>
        <w:rPr>
          <w:rFonts w:hint="eastAsia" w:ascii="Times New Roman" w:hAnsi="Times New Roman" w:cs="Times New Roman"/>
          <w:szCs w:val="32"/>
          <w:lang w:val="en-US" w:eastAsia="zh-CN"/>
        </w:rPr>
        <w:t>上调额约为0.26元、</w:t>
      </w:r>
      <w:r>
        <w:rPr>
          <w:rFonts w:hint="default" w:ascii="Times New Roman" w:hAnsi="Times New Roman" w:eastAsia="仿宋_GB2312" w:cs="Times New Roman"/>
          <w:sz w:val="32"/>
          <w:szCs w:val="32"/>
          <w:lang w:eastAsia="zh-CN"/>
        </w:rPr>
        <w:t>增幅为</w:t>
      </w:r>
      <w:r>
        <w:rPr>
          <w:rFonts w:hint="eastAsia" w:ascii="Times New Roman" w:hAnsi="Times New Roman" w:cs="Times New Roman"/>
          <w:sz w:val="32"/>
          <w:szCs w:val="32"/>
          <w:lang w:val="en-US" w:eastAsia="zh-CN"/>
        </w:rPr>
        <w:t>18.6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Cs w:val="32"/>
          <w:lang w:eastAsia="zh-CN"/>
        </w:rPr>
        <w:t>从整体负担水平看，票价调整后乘客出行支出占居民可支配收入的比例仍处于较低范围</w:t>
      </w:r>
      <w:r>
        <w:rPr>
          <w:rFonts w:hint="eastAsia" w:ascii="Times New Roman" w:hAnsi="Times New Roman" w:cs="Times New Roman"/>
          <w:szCs w:val="32"/>
          <w:lang w:eastAsia="zh-CN"/>
        </w:rPr>
        <w:t>，对大多数经常性公交出行乘客的影响在可承受范围内。</w:t>
      </w:r>
    </w:p>
    <w:p w14:paraId="73651A78">
      <w:pPr>
        <w:widowControl/>
        <w:adjustRightInd w:val="0"/>
        <w:snapToGrid w:val="0"/>
        <w:spacing w:line="560" w:lineRule="exact"/>
        <w:ind w:firstLine="640" w:firstLineChars="200"/>
        <w:jc w:val="both"/>
        <w:rPr>
          <w:rFonts w:hint="default" w:ascii="Times New Roman" w:hAnsi="Times New Roman" w:eastAsia="楷体_GB2312" w:cs="Times New Roman"/>
          <w:b w:val="0"/>
          <w:bCs w:val="0"/>
          <w:color w:val="auto"/>
          <w:sz w:val="32"/>
          <w:szCs w:val="32"/>
          <w:highlight w:val="none"/>
          <w:lang w:eastAsia="zh-CN" w:bidi="ar"/>
        </w:rPr>
      </w:pPr>
      <w:r>
        <w:rPr>
          <w:rFonts w:hint="default" w:ascii="Times New Roman" w:hAnsi="Times New Roman" w:eastAsia="楷体_GB2312" w:cs="Times New Roman"/>
          <w:b w:val="0"/>
          <w:bCs w:val="0"/>
          <w:color w:val="auto"/>
          <w:sz w:val="32"/>
          <w:szCs w:val="32"/>
          <w:highlight w:val="none"/>
          <w:lang w:val="en-US" w:eastAsia="zh-CN" w:bidi="ar"/>
        </w:rPr>
        <w:t>（二）对</w:t>
      </w:r>
      <w:r>
        <w:rPr>
          <w:rFonts w:hint="eastAsia" w:eastAsia="楷体_GB2312" w:cs="Times New Roman"/>
          <w:b w:val="0"/>
          <w:bCs w:val="0"/>
          <w:color w:val="auto"/>
          <w:sz w:val="32"/>
          <w:szCs w:val="32"/>
          <w:highlight w:val="none"/>
          <w:lang w:val="en-US" w:eastAsia="zh-CN" w:bidi="ar"/>
        </w:rPr>
        <w:t>公交行业</w:t>
      </w:r>
      <w:r>
        <w:rPr>
          <w:rFonts w:hint="default" w:ascii="Times New Roman" w:hAnsi="Times New Roman" w:eastAsia="楷体_GB2312" w:cs="Times New Roman"/>
          <w:b w:val="0"/>
          <w:bCs w:val="0"/>
          <w:color w:val="auto"/>
          <w:sz w:val="32"/>
          <w:szCs w:val="32"/>
          <w:highlight w:val="none"/>
          <w:lang w:eastAsia="zh-CN" w:bidi="ar"/>
        </w:rPr>
        <w:t>的影响</w:t>
      </w:r>
    </w:p>
    <w:p w14:paraId="33CFFB73">
      <w:pPr>
        <w:widowControl/>
        <w:adjustRightInd w:val="0"/>
        <w:snapToGrid w:val="0"/>
        <w:spacing w:line="560" w:lineRule="exact"/>
        <w:ind w:firstLine="640" w:firstLineChars="200"/>
        <w:jc w:val="both"/>
        <w:rPr>
          <w:highlight w:val="none"/>
        </w:rPr>
      </w:pPr>
      <w:r>
        <w:rPr>
          <w:rFonts w:hint="eastAsia" w:ascii="Times New Roman" w:hAnsi="Times New Roman" w:eastAsia="仿宋_GB2312" w:cs="Times New Roman"/>
          <w:color w:val="auto"/>
          <w:sz w:val="32"/>
          <w:szCs w:val="32"/>
          <w:highlight w:val="none"/>
          <w:lang w:val="en" w:eastAsia="zh-CN" w:bidi="ar"/>
        </w:rPr>
        <w:t>方案实施后，将有效改善公交企业的营收结构，适度缓解经营压力，增强企业自我造血能力和管理内生动力</w:t>
      </w:r>
      <w:r>
        <w:rPr>
          <w:rFonts w:hint="eastAsia" w:eastAsia="仿宋_GB2312" w:cs="Times New Roman"/>
          <w:color w:val="auto"/>
          <w:sz w:val="32"/>
          <w:szCs w:val="32"/>
          <w:highlight w:val="none"/>
          <w:lang w:val="en" w:eastAsia="zh-CN" w:bidi="ar"/>
        </w:rPr>
        <w:t>，</w:t>
      </w:r>
      <w:r>
        <w:rPr>
          <w:rFonts w:hint="eastAsia" w:ascii="Times New Roman" w:hAnsi="Times New Roman" w:eastAsia="仿宋_GB2312" w:cs="Times New Roman"/>
          <w:color w:val="000000"/>
          <w:sz w:val="32"/>
          <w:szCs w:val="32"/>
          <w:highlight w:val="none"/>
          <w:lang w:val="en" w:eastAsia="zh-CN" w:bidi="ar"/>
        </w:rPr>
        <w:t>在减负增能的双重驱动下，企业将更有意愿和资源投入到运营优化与服务升级中，主动优化线网布局、提升运营效率、改善乘车体验，从而为市民提供更加优质、便捷、舒适的出行服务，推动公共交通行业逐步迈入健康可持续发展的良性轨道。</w:t>
      </w: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6A6B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-23495</wp:posOffset>
              </wp:positionV>
              <wp:extent cx="1828800" cy="2266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2266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8B3D4">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85pt;height:17.85pt;width:144pt;mso-position-horizontal:outside;mso-position-horizontal-relative:margin;mso-wrap-style:none;z-index:251659264;mso-width-relative:page;mso-height-relative:page;" filled="f" stroked="f" coordsize="21600,21600" o:gfxdata="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0uILF1gAAAAYBAAAPAAAAAAAAAAEAIAAAACIAAABkcnMvZG93bnJldi54&#10;bWxQSwECFAAUAAAACACHTuJAYmlCcDUCAABgBAAADgAAAAAAAAABACAAAAAlAQAAZHJzL2Uyb0Rv&#10;Yy54bWxQSwUGAAAAAAYABgBZAQAAzAUAAAAA&#10;">
              <v:fill on="f" focussize="0,0"/>
              <v:stroke on="f" weight="0.5pt"/>
              <v:imagedata o:title=""/>
              <o:lock v:ext="edit" aspectratio="f"/>
              <v:textbox inset="0mm,0mm,0mm,0mm">
                <w:txbxContent>
                  <w:p w14:paraId="5A08B3D4">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7069C">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-23495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65A8EB">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85pt;height:144pt;width:144pt;mso-position-horizontal:outside;mso-position-horizontal-relative:margin;mso-wrap-style:none;z-index:251660288;mso-width-relative:page;mso-height-relative:page;" filled="f" stroked="f" coordsize="21600,21600" o:gfxdata="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47WVYey&#10;u4C+syxs9c7ymCYK6e3qGCBmq3EUqFOl1w2d11apn5LY2n/u26inP8Py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Ma82XVAAAABwEAAA8AAAAAAAAAAQAgAAAAIgAAAGRycy9kb3ducmV2LnhtbFBL&#10;AQIUABQAAAAIAIdO4kDhgNOOMgIAAGEEAAAOAAAAAAAAAAEAIAAAACQBAABkcnMvZTJvRG9jLnht&#10;bFBLBQYAAAAABgAGAFkBAADIBQAAAAA=&#10;">
              <v:fill on="f" focussize="0,0"/>
              <v:stroke on="f" weight="0.5pt"/>
              <v:imagedata o:title=""/>
              <o:lock v:ext="edit" aspectratio="f"/>
              <v:textbox inset="0mm,0mm,0mm,0mm" style="mso-fit-shape-to-text:t;">
                <w:txbxContent>
                  <w:p w14:paraId="5365A8EB">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7040EA"/>
    <w:rsid w:val="072E2C38"/>
    <w:rsid w:val="0C06103A"/>
    <w:rsid w:val="0CBB35C0"/>
    <w:rsid w:val="17731292"/>
    <w:rsid w:val="19437B80"/>
    <w:rsid w:val="25663583"/>
    <w:rsid w:val="25936138"/>
    <w:rsid w:val="26315515"/>
    <w:rsid w:val="27661BCC"/>
    <w:rsid w:val="2A850600"/>
    <w:rsid w:val="2B15748E"/>
    <w:rsid w:val="2BAC415E"/>
    <w:rsid w:val="2D3507BC"/>
    <w:rsid w:val="2E0228D1"/>
    <w:rsid w:val="2EC37A2B"/>
    <w:rsid w:val="31EFEC5A"/>
    <w:rsid w:val="382843F2"/>
    <w:rsid w:val="39AF4375"/>
    <w:rsid w:val="3A071A3F"/>
    <w:rsid w:val="3C515204"/>
    <w:rsid w:val="3E41662A"/>
    <w:rsid w:val="3FFB297D"/>
    <w:rsid w:val="421870EC"/>
    <w:rsid w:val="44C91456"/>
    <w:rsid w:val="4B8A76FC"/>
    <w:rsid w:val="4E972D11"/>
    <w:rsid w:val="50FD4573"/>
    <w:rsid w:val="536945D7"/>
    <w:rsid w:val="54B7103C"/>
    <w:rsid w:val="552A7C22"/>
    <w:rsid w:val="55367948"/>
    <w:rsid w:val="56F5659A"/>
    <w:rsid w:val="57C07A89"/>
    <w:rsid w:val="59890DCF"/>
    <w:rsid w:val="5B1259FA"/>
    <w:rsid w:val="5C55389A"/>
    <w:rsid w:val="60341B6C"/>
    <w:rsid w:val="609238CF"/>
    <w:rsid w:val="617D7D73"/>
    <w:rsid w:val="62016069"/>
    <w:rsid w:val="62032D14"/>
    <w:rsid w:val="63365D26"/>
    <w:rsid w:val="66265E16"/>
    <w:rsid w:val="67CE2C56"/>
    <w:rsid w:val="6AF40847"/>
    <w:rsid w:val="6CA8C495"/>
    <w:rsid w:val="6D7600FB"/>
    <w:rsid w:val="6E580ECC"/>
    <w:rsid w:val="705B75E0"/>
    <w:rsid w:val="71F303F6"/>
    <w:rsid w:val="738F3B04"/>
    <w:rsid w:val="778C4867"/>
    <w:rsid w:val="7A9173EA"/>
    <w:rsid w:val="7B745B8B"/>
    <w:rsid w:val="7BA86D96"/>
    <w:rsid w:val="AFFCADF6"/>
    <w:rsid w:val="DFD626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560" w:lineRule="exact"/>
      <w:ind w:firstLine="615"/>
    </w:pPr>
    <w:rPr>
      <w:rFonts w:eastAsia="仿宋_GB2312"/>
      <w:sz w:val="32"/>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next w:val="1"/>
    <w:qFormat/>
    <w:uiPriority w:val="0"/>
    <w:pPr>
      <w:widowControl/>
      <w:spacing w:line="360" w:lineRule="auto"/>
      <w:ind w:left="0" w:leftChars="0" w:firstLine="880" w:firstLineChars="200"/>
    </w:pPr>
    <w:rPr>
      <w:rFonts w:ascii="Calibri" w:hAnsi="Calibri" w:eastAsia="仿宋_GB2312"/>
      <w:kern w:val="0"/>
      <w:sz w:val="32"/>
      <w:lang w:eastAsia="en-US" w:bidi="en-US"/>
    </w:rPr>
  </w:style>
  <w:style w:type="character" w:styleId="10">
    <w:name w:val="Strong"/>
    <w:basedOn w:val="9"/>
    <w:qFormat/>
    <w:uiPriority w:val="0"/>
    <w:rPr>
      <w:b/>
    </w:rPr>
  </w:style>
  <w:style w:type="character" w:customStyle="1" w:styleId="11">
    <w:name w:val="font01"/>
    <w:basedOn w:val="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2859</Words>
  <Characters>3093</Characters>
  <Lines>0</Lines>
  <Paragraphs>0</Paragraphs>
  <TotalTime>75</TotalTime>
  <ScaleCrop>false</ScaleCrop>
  <LinksUpToDate>false</LinksUpToDate>
  <CharactersWithSpaces>3097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2024-03-16T17:54:00Z</dcterms:created>
  <dc:creator>dell</dc:creator>
  <cp:lastModifiedBy>Fgj0010</cp:lastModifiedBy>
  <dcterms:modified xsi:type="dcterms:W3CDTF">2026-09-24T16:30:19Z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19A3DEA23E1742F5B5C9654AAD89BE72_13</vt:lpwstr>
  </property>
  <property fmtid="{D5CDD505-2E9C-101B-9397-08002B2CF9AE}" pid="4" name="KSOTemplateDocerSaveRecord">
    <vt:lpwstr>eyJoZGlkIjoiMGI4ODNmMDA5ZWU1OGVjOGY5ODAyMDQ4NzQ4Y2M0YjAiLCJ1c2VySWQiOiI2NjI2NDM3NzIifQ==</vt:lpwstr>
  </property>
</Properties>
</file>