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C46FD">
      <w:pPr>
        <w:pStyle w:val="11"/>
        <w:keepNext/>
        <w:keepLines/>
        <w:spacing w:before="0" w:after="0" w:line="560" w:lineRule="exact"/>
        <w:rPr>
          <w:rFonts w:ascii="方正小标宋简体" w:eastAsia="方正小标宋简体"/>
          <w:color w:val="auto"/>
          <w:lang w:val="en-US"/>
        </w:rPr>
      </w:pPr>
      <w:bookmarkStart w:id="0" w:name="bookmark2"/>
      <w:bookmarkStart w:id="1" w:name="bookmark0"/>
      <w:bookmarkStart w:id="2" w:name="bookmark1"/>
    </w:p>
    <w:p w14:paraId="5112F2A3">
      <w:pPr>
        <w:pStyle w:val="11"/>
        <w:keepNext/>
        <w:keepLines/>
        <w:spacing w:before="0" w:after="0" w:line="560" w:lineRule="exact"/>
        <w:rPr>
          <w:rFonts w:ascii="方正小标宋简体" w:eastAsia="PMingLiU"/>
          <w:color w:val="auto"/>
          <w:lang w:val="en-US"/>
        </w:rPr>
      </w:pPr>
    </w:p>
    <w:p w14:paraId="5BF0B784">
      <w:pPr>
        <w:pStyle w:val="11"/>
        <w:keepNext/>
        <w:keepLines/>
        <w:spacing w:before="0" w:after="0" w:line="560" w:lineRule="exact"/>
        <w:rPr>
          <w:rFonts w:ascii="方正小标宋简体" w:eastAsia="PMingLiU"/>
          <w:color w:val="auto"/>
          <w:lang w:val="en-US"/>
        </w:rPr>
      </w:pPr>
    </w:p>
    <w:p w14:paraId="2F84269C">
      <w:pPr>
        <w:pStyle w:val="11"/>
        <w:keepNext/>
        <w:keepLines/>
        <w:spacing w:before="0" w:after="0" w:line="560" w:lineRule="exact"/>
        <w:rPr>
          <w:rFonts w:ascii="方正小标宋简体" w:eastAsia="方正小标宋简体"/>
          <w:b/>
          <w:bCs/>
          <w:color w:val="auto"/>
          <w:sz w:val="44"/>
          <w:szCs w:val="44"/>
        </w:rPr>
      </w:pPr>
      <w:r>
        <w:rPr>
          <w:rFonts w:hint="eastAsia" w:ascii="方正小标宋简体" w:eastAsia="方正小标宋简体"/>
          <w:b/>
          <w:bCs/>
          <w:color w:val="auto"/>
          <w:sz w:val="44"/>
          <w:szCs w:val="44"/>
          <w:lang w:val="en-US" w:eastAsia="zh-CN"/>
        </w:rPr>
        <w:t>小谷围街</w:t>
      </w:r>
      <w:r>
        <w:rPr>
          <w:rFonts w:hint="eastAsia" w:ascii="方正小标宋简体" w:eastAsia="方正小标宋简体"/>
          <w:b/>
          <w:bCs/>
          <w:color w:val="auto"/>
          <w:sz w:val="44"/>
          <w:szCs w:val="44"/>
          <w:lang w:val="en-US"/>
        </w:rPr>
        <w:t>社工</w:t>
      </w:r>
      <w:r>
        <w:rPr>
          <w:rFonts w:hint="eastAsia" w:ascii="方正小标宋简体" w:eastAsia="方正小标宋简体"/>
          <w:b/>
          <w:bCs/>
          <w:color w:val="auto"/>
          <w:sz w:val="44"/>
          <w:szCs w:val="44"/>
        </w:rPr>
        <w:t>服务站</w:t>
      </w:r>
      <w:r>
        <w:rPr>
          <w:rFonts w:hint="eastAsia" w:ascii="方正小标宋简体" w:eastAsia="方正小标宋简体"/>
          <w:b/>
          <w:bCs/>
          <w:color w:val="auto"/>
          <w:sz w:val="44"/>
          <w:szCs w:val="44"/>
          <w:lang w:eastAsia="zh-CN"/>
        </w:rPr>
        <w:t>末期</w:t>
      </w:r>
      <w:r>
        <w:rPr>
          <w:rFonts w:hint="eastAsia" w:ascii="方正小标宋简体" w:eastAsia="方正小标宋简体"/>
          <w:b/>
          <w:bCs/>
          <w:color w:val="auto"/>
          <w:sz w:val="44"/>
          <w:szCs w:val="44"/>
        </w:rPr>
        <w:t>评估报告</w:t>
      </w:r>
      <w:bookmarkEnd w:id="0"/>
      <w:bookmarkEnd w:id="1"/>
      <w:bookmarkEnd w:id="2"/>
    </w:p>
    <w:p w14:paraId="664CD093">
      <w:pPr>
        <w:pStyle w:val="11"/>
        <w:keepNext/>
        <w:keepLines/>
        <w:spacing w:before="0" w:after="0" w:line="560" w:lineRule="exact"/>
        <w:rPr>
          <w:rFonts w:ascii="方正小标宋简体" w:eastAsia="方正小标宋简体"/>
          <w:b/>
          <w:bCs/>
          <w:color w:val="auto"/>
          <w:sz w:val="44"/>
          <w:szCs w:val="44"/>
          <w:lang w:eastAsia="zh-CN"/>
        </w:rPr>
      </w:pPr>
      <w:r>
        <w:rPr>
          <w:rFonts w:hint="eastAsia" w:ascii="方正小标宋简体" w:eastAsia="方正小标宋简体"/>
          <w:b/>
          <w:bCs/>
          <w:color w:val="auto"/>
          <w:sz w:val="44"/>
          <w:szCs w:val="44"/>
          <w:lang w:eastAsia="zh-CN"/>
        </w:rPr>
        <w:t>（协议期：202</w:t>
      </w:r>
      <w:r>
        <w:rPr>
          <w:rFonts w:hint="eastAsia" w:ascii="方正小标宋简体" w:eastAsia="方正小标宋简体"/>
          <w:b/>
          <w:bCs/>
          <w:color w:val="auto"/>
          <w:sz w:val="44"/>
          <w:szCs w:val="44"/>
          <w:lang w:val="en-US" w:eastAsia="zh-CN"/>
        </w:rPr>
        <w:t>5</w:t>
      </w:r>
      <w:r>
        <w:rPr>
          <w:rFonts w:hint="eastAsia" w:ascii="方正小标宋简体" w:eastAsia="方正小标宋简体"/>
          <w:b/>
          <w:bCs/>
          <w:color w:val="auto"/>
          <w:sz w:val="44"/>
          <w:szCs w:val="44"/>
          <w:lang w:eastAsia="zh-CN"/>
        </w:rPr>
        <w:t>年</w:t>
      </w:r>
      <w:r>
        <w:rPr>
          <w:rFonts w:hint="eastAsia" w:ascii="方正小标宋简体" w:eastAsia="方正小标宋简体"/>
          <w:b/>
          <w:bCs/>
          <w:color w:val="auto"/>
          <w:sz w:val="44"/>
          <w:szCs w:val="44"/>
          <w:lang w:val="en-US" w:eastAsia="zh-CN"/>
        </w:rPr>
        <w:t>8</w:t>
      </w:r>
      <w:r>
        <w:rPr>
          <w:rFonts w:hint="eastAsia" w:ascii="方正小标宋简体" w:eastAsia="方正小标宋简体"/>
          <w:b/>
          <w:bCs/>
          <w:color w:val="auto"/>
          <w:sz w:val="44"/>
          <w:szCs w:val="44"/>
          <w:lang w:eastAsia="zh-CN"/>
        </w:rPr>
        <w:t>月</w:t>
      </w:r>
      <w:r>
        <w:rPr>
          <w:rFonts w:hint="eastAsia" w:ascii="方正小标宋简体" w:eastAsia="方正小标宋简体"/>
          <w:b/>
          <w:bCs/>
          <w:color w:val="auto"/>
          <w:sz w:val="44"/>
          <w:szCs w:val="44"/>
          <w:lang w:val="en-US" w:eastAsia="zh-CN"/>
        </w:rPr>
        <w:t>15</w:t>
      </w:r>
      <w:r>
        <w:rPr>
          <w:rFonts w:hint="eastAsia" w:ascii="方正小标宋简体" w:eastAsia="方正小标宋简体"/>
          <w:b/>
          <w:bCs/>
          <w:color w:val="auto"/>
          <w:sz w:val="44"/>
          <w:szCs w:val="44"/>
          <w:lang w:eastAsia="zh-CN"/>
        </w:rPr>
        <w:t>日—202</w:t>
      </w:r>
      <w:r>
        <w:rPr>
          <w:rFonts w:hint="eastAsia" w:ascii="方正小标宋简体" w:eastAsia="方正小标宋简体"/>
          <w:b/>
          <w:bCs/>
          <w:color w:val="auto"/>
          <w:sz w:val="44"/>
          <w:szCs w:val="44"/>
          <w:lang w:val="en-US" w:eastAsia="zh-CN"/>
        </w:rPr>
        <w:t>6</w:t>
      </w:r>
      <w:r>
        <w:rPr>
          <w:rFonts w:hint="eastAsia" w:ascii="方正小标宋简体" w:eastAsia="方正小标宋简体"/>
          <w:b/>
          <w:bCs/>
          <w:color w:val="auto"/>
          <w:sz w:val="44"/>
          <w:szCs w:val="44"/>
          <w:lang w:eastAsia="zh-CN"/>
        </w:rPr>
        <w:t>年</w:t>
      </w:r>
      <w:r>
        <w:rPr>
          <w:rFonts w:hint="eastAsia" w:ascii="方正小标宋简体" w:eastAsia="方正小标宋简体"/>
          <w:b/>
          <w:bCs/>
          <w:color w:val="auto"/>
          <w:sz w:val="44"/>
          <w:szCs w:val="44"/>
          <w:lang w:val="en-US" w:eastAsia="zh-CN"/>
        </w:rPr>
        <w:t>8</w:t>
      </w:r>
      <w:r>
        <w:rPr>
          <w:rFonts w:hint="eastAsia" w:ascii="方正小标宋简体" w:eastAsia="方正小标宋简体"/>
          <w:b/>
          <w:bCs/>
          <w:color w:val="auto"/>
          <w:sz w:val="44"/>
          <w:szCs w:val="44"/>
          <w:lang w:eastAsia="zh-CN"/>
        </w:rPr>
        <w:t>月</w:t>
      </w:r>
      <w:r>
        <w:rPr>
          <w:rFonts w:hint="eastAsia" w:ascii="方正小标宋简体" w:eastAsia="方正小标宋简体"/>
          <w:b/>
          <w:bCs/>
          <w:color w:val="auto"/>
          <w:sz w:val="44"/>
          <w:szCs w:val="44"/>
          <w:lang w:val="en-US" w:eastAsia="zh-CN"/>
        </w:rPr>
        <w:t>14</w:t>
      </w:r>
      <w:r>
        <w:rPr>
          <w:rFonts w:hint="eastAsia" w:ascii="方正小标宋简体" w:eastAsia="方正小标宋简体"/>
          <w:b/>
          <w:bCs/>
          <w:color w:val="auto"/>
          <w:sz w:val="44"/>
          <w:szCs w:val="44"/>
          <w:lang w:eastAsia="zh-CN"/>
        </w:rPr>
        <w:t>日）</w:t>
      </w:r>
    </w:p>
    <w:p w14:paraId="3905504A">
      <w:pPr>
        <w:pStyle w:val="13"/>
        <w:spacing w:after="0" w:line="560" w:lineRule="exact"/>
        <w:ind w:firstLine="2522" w:firstLineChars="900"/>
        <w:jc w:val="both"/>
        <w:rPr>
          <w:rFonts w:ascii="仿宋_GB2312" w:eastAsia="PMingLiU"/>
          <w:b/>
          <w:color w:val="auto"/>
        </w:rPr>
      </w:pPr>
      <w:bookmarkStart w:id="3" w:name="bookmark3"/>
      <w:bookmarkStart w:id="4" w:name="bookmark5"/>
      <w:bookmarkStart w:id="5" w:name="bookmark4"/>
    </w:p>
    <w:p w14:paraId="0EA11725">
      <w:pPr>
        <w:pStyle w:val="13"/>
        <w:spacing w:after="0" w:line="560" w:lineRule="exact"/>
        <w:ind w:firstLine="2522" w:firstLineChars="900"/>
        <w:jc w:val="both"/>
        <w:rPr>
          <w:rFonts w:ascii="仿宋_GB2312" w:eastAsia="PMingLiU"/>
          <w:b/>
          <w:color w:val="auto"/>
        </w:rPr>
      </w:pPr>
    </w:p>
    <w:p w14:paraId="7F6BE852">
      <w:pPr>
        <w:pStyle w:val="13"/>
        <w:spacing w:after="0" w:line="560" w:lineRule="exact"/>
        <w:ind w:firstLine="2522" w:firstLineChars="900"/>
        <w:jc w:val="both"/>
        <w:rPr>
          <w:rFonts w:ascii="仿宋_GB2312" w:eastAsia="PMingLiU"/>
          <w:b/>
          <w:color w:val="auto"/>
        </w:rPr>
      </w:pPr>
    </w:p>
    <w:p w14:paraId="48C0AB84">
      <w:pPr>
        <w:pStyle w:val="13"/>
        <w:spacing w:after="0" w:line="560" w:lineRule="exact"/>
        <w:ind w:firstLine="2522" w:firstLineChars="900"/>
        <w:jc w:val="both"/>
        <w:rPr>
          <w:rFonts w:ascii="仿宋_GB2312" w:eastAsia="PMingLiU"/>
          <w:b/>
          <w:color w:val="auto"/>
        </w:rPr>
      </w:pPr>
    </w:p>
    <w:p w14:paraId="62C49376">
      <w:pPr>
        <w:pStyle w:val="13"/>
        <w:spacing w:after="0" w:line="560" w:lineRule="exact"/>
        <w:ind w:firstLine="2522" w:firstLineChars="900"/>
        <w:jc w:val="both"/>
        <w:rPr>
          <w:rFonts w:ascii="仿宋_GB2312" w:eastAsia="PMingLiU"/>
          <w:b/>
          <w:color w:val="auto"/>
        </w:rPr>
      </w:pPr>
    </w:p>
    <w:p w14:paraId="6BC6D949">
      <w:pPr>
        <w:pStyle w:val="13"/>
        <w:spacing w:after="0" w:line="560" w:lineRule="exact"/>
        <w:ind w:firstLine="2522" w:firstLineChars="900"/>
        <w:jc w:val="both"/>
        <w:rPr>
          <w:rFonts w:ascii="仿宋_GB2312" w:eastAsia="PMingLiU"/>
          <w:b/>
          <w:color w:val="auto"/>
        </w:rPr>
      </w:pPr>
    </w:p>
    <w:p w14:paraId="61989B40">
      <w:pPr>
        <w:pStyle w:val="13"/>
        <w:spacing w:after="0" w:line="560" w:lineRule="exact"/>
        <w:ind w:firstLine="2522" w:firstLineChars="900"/>
        <w:jc w:val="both"/>
        <w:rPr>
          <w:rFonts w:ascii="仿宋_GB2312" w:eastAsia="PMingLiU"/>
          <w:b/>
          <w:color w:val="auto"/>
        </w:rPr>
      </w:pPr>
    </w:p>
    <w:p w14:paraId="37D528CD">
      <w:pPr>
        <w:pStyle w:val="13"/>
        <w:spacing w:after="0" w:line="560" w:lineRule="exact"/>
        <w:ind w:firstLine="2522" w:firstLineChars="900"/>
        <w:jc w:val="both"/>
        <w:rPr>
          <w:rFonts w:ascii="仿宋_GB2312" w:eastAsia="PMingLiU"/>
          <w:b/>
          <w:color w:val="auto"/>
        </w:rPr>
      </w:pPr>
    </w:p>
    <w:p w14:paraId="159F3B0A">
      <w:pPr>
        <w:pStyle w:val="13"/>
        <w:spacing w:after="0" w:line="560" w:lineRule="exact"/>
        <w:ind w:firstLine="2522" w:firstLineChars="900"/>
        <w:jc w:val="both"/>
        <w:rPr>
          <w:rFonts w:ascii="仿宋_GB2312" w:eastAsia="PMingLiU"/>
          <w:b/>
          <w:color w:val="auto"/>
        </w:rPr>
      </w:pPr>
    </w:p>
    <w:p w14:paraId="29C80798">
      <w:pPr>
        <w:pStyle w:val="13"/>
        <w:spacing w:after="0" w:line="560" w:lineRule="exact"/>
        <w:ind w:firstLine="2522" w:firstLineChars="900"/>
        <w:jc w:val="both"/>
        <w:rPr>
          <w:rFonts w:ascii="仿宋_GB2312" w:eastAsia="PMingLiU"/>
          <w:b/>
          <w:color w:val="auto"/>
        </w:rPr>
      </w:pPr>
    </w:p>
    <w:p w14:paraId="4824AD5E">
      <w:pPr>
        <w:pStyle w:val="13"/>
        <w:spacing w:after="0" w:line="560" w:lineRule="exact"/>
        <w:ind w:firstLine="2086" w:firstLineChars="742"/>
        <w:jc w:val="both"/>
        <w:rPr>
          <w:rFonts w:ascii="仿宋_GB2312" w:eastAsia="仿宋_GB2312"/>
          <w:b/>
          <w:color w:val="auto"/>
        </w:rPr>
      </w:pPr>
      <w:r>
        <w:rPr>
          <w:rFonts w:hint="eastAsia" w:ascii="仿宋_GB2312" w:eastAsia="仿宋_GB2312"/>
          <w:b/>
          <w:color w:val="auto"/>
        </w:rPr>
        <w:t>评估委托方：广州市</w:t>
      </w:r>
      <w:r>
        <w:rPr>
          <w:rFonts w:hint="eastAsia" w:ascii="仿宋_GB2312" w:eastAsia="仿宋_GB2312"/>
          <w:b/>
          <w:color w:val="auto"/>
          <w:lang w:val="en-US"/>
        </w:rPr>
        <w:t>番禺</w:t>
      </w:r>
      <w:r>
        <w:rPr>
          <w:rFonts w:hint="eastAsia" w:ascii="仿宋_GB2312" w:eastAsia="仿宋_GB2312"/>
          <w:b/>
          <w:color w:val="auto"/>
        </w:rPr>
        <w:t>区民政局</w:t>
      </w:r>
    </w:p>
    <w:p w14:paraId="13AEB5AF">
      <w:pPr>
        <w:pStyle w:val="13"/>
        <w:spacing w:after="0" w:line="560" w:lineRule="exact"/>
        <w:ind w:firstLine="2086" w:firstLineChars="742"/>
        <w:jc w:val="both"/>
        <w:rPr>
          <w:rFonts w:hint="default" w:ascii="仿宋_GB2312" w:eastAsia="仿宋_GB2312"/>
          <w:b/>
          <w:color w:val="auto"/>
          <w:lang w:val="en-US"/>
        </w:rPr>
      </w:pPr>
      <w:r>
        <w:rPr>
          <w:rFonts w:hint="eastAsia" w:ascii="仿宋_GB2312" w:eastAsia="仿宋_GB2312"/>
          <w:b/>
          <w:color w:val="auto"/>
        </w:rPr>
        <w:t>项目购买方：广州市</w:t>
      </w:r>
      <w:r>
        <w:rPr>
          <w:rFonts w:hint="eastAsia" w:ascii="仿宋_GB2312" w:eastAsia="仿宋_GB2312"/>
          <w:b/>
          <w:color w:val="auto"/>
          <w:lang w:val="en-US"/>
        </w:rPr>
        <w:t>番禺区</w:t>
      </w:r>
      <w:r>
        <w:rPr>
          <w:rFonts w:hint="eastAsia" w:ascii="仿宋_GB2312" w:eastAsia="仿宋_GB2312"/>
          <w:b/>
          <w:color w:val="auto"/>
          <w:lang w:val="en-US" w:eastAsia="zh-CN"/>
        </w:rPr>
        <w:t>小谷围街道办事处</w:t>
      </w:r>
    </w:p>
    <w:p w14:paraId="7661B183">
      <w:pPr>
        <w:pStyle w:val="13"/>
        <w:spacing w:after="0" w:line="560" w:lineRule="exact"/>
        <w:ind w:firstLine="2086" w:firstLineChars="742"/>
        <w:jc w:val="both"/>
        <w:rPr>
          <w:rFonts w:hint="default" w:ascii="仿宋_GB2312" w:eastAsia="仿宋_GB2312"/>
          <w:b/>
          <w:color w:val="auto"/>
          <w:lang w:val="en-US" w:eastAsia="zh-CN"/>
        </w:rPr>
      </w:pPr>
      <w:r>
        <w:rPr>
          <w:rFonts w:hint="eastAsia" w:ascii="仿宋_GB2312" w:eastAsia="仿宋_GB2312"/>
          <w:b/>
          <w:color w:val="auto"/>
        </w:rPr>
        <w:t>项目承办方：广州市</w:t>
      </w:r>
      <w:r>
        <w:rPr>
          <w:rFonts w:hint="eastAsia" w:ascii="仿宋_GB2312" w:eastAsia="仿宋_GB2312"/>
          <w:b/>
          <w:color w:val="auto"/>
          <w:lang w:eastAsia="zh-CN"/>
        </w:rPr>
        <w:t>番禺区正阳</w:t>
      </w:r>
      <w:r>
        <w:rPr>
          <w:rFonts w:hint="eastAsia" w:ascii="仿宋_GB2312" w:eastAsia="仿宋_GB2312"/>
          <w:b/>
          <w:color w:val="auto"/>
        </w:rPr>
        <w:t>社会工作服务中心</w:t>
      </w:r>
    </w:p>
    <w:p w14:paraId="7B9A8B9D">
      <w:pPr>
        <w:pStyle w:val="13"/>
        <w:spacing w:after="0" w:line="560" w:lineRule="exact"/>
        <w:ind w:firstLine="2086" w:firstLineChars="742"/>
        <w:jc w:val="both"/>
        <w:rPr>
          <w:rFonts w:ascii="仿宋_GB2312" w:eastAsia="仿宋_GB2312"/>
          <w:b/>
          <w:color w:val="auto"/>
        </w:rPr>
      </w:pPr>
      <w:r>
        <w:rPr>
          <w:rFonts w:hint="eastAsia" w:ascii="仿宋_GB2312" w:eastAsia="仿宋_GB2312"/>
          <w:b/>
          <w:color w:val="auto"/>
        </w:rPr>
        <w:t>项目评估方：</w:t>
      </w:r>
      <w:r>
        <w:rPr>
          <w:rFonts w:hint="eastAsia" w:ascii="仿宋_GB2312" w:eastAsia="仿宋_GB2312"/>
          <w:b/>
          <w:color w:val="auto"/>
          <w:lang w:val="en-US"/>
        </w:rPr>
        <w:t>广州市番禺区</w:t>
      </w:r>
      <w:r>
        <w:rPr>
          <w:rFonts w:hint="eastAsia" w:ascii="仿宋_GB2312" w:eastAsia="仿宋_GB2312"/>
          <w:b/>
          <w:color w:val="auto"/>
        </w:rPr>
        <w:t>社会组织联合会</w:t>
      </w:r>
    </w:p>
    <w:p w14:paraId="653BD74D">
      <w:pPr>
        <w:pStyle w:val="13"/>
        <w:spacing w:after="0" w:line="560" w:lineRule="exact"/>
        <w:ind w:firstLine="2086" w:firstLineChars="742"/>
        <w:jc w:val="both"/>
        <w:rPr>
          <w:rFonts w:ascii="仿宋_GB2312" w:eastAsia="仿宋_GB2312"/>
          <w:b/>
          <w:color w:val="auto"/>
        </w:rPr>
      </w:pPr>
      <w:r>
        <w:rPr>
          <w:rFonts w:hint="eastAsia" w:ascii="仿宋_GB2312" w:eastAsia="仿宋_GB2312"/>
          <w:b/>
          <w:color w:val="auto"/>
        </w:rPr>
        <w:t>评估日期：</w:t>
      </w:r>
      <w:r>
        <w:rPr>
          <w:rFonts w:hint="eastAsia" w:ascii="仿宋_GB2312" w:eastAsia="仿宋_GB2312"/>
          <w:b/>
          <w:color w:val="auto"/>
          <w:lang w:val="en-US" w:eastAsia="zh-CN"/>
        </w:rPr>
        <w:t>2026年8</w:t>
      </w:r>
      <w:r>
        <w:rPr>
          <w:rFonts w:hint="eastAsia" w:ascii="仿宋_GB2312" w:eastAsia="仿宋_GB2312"/>
          <w:b/>
          <w:color w:val="auto"/>
          <w:lang w:val="en-US"/>
        </w:rPr>
        <w:t>月</w:t>
      </w:r>
      <w:r>
        <w:rPr>
          <w:rFonts w:hint="eastAsia" w:ascii="仿宋_GB2312" w:eastAsia="仿宋_GB2312"/>
          <w:b/>
          <w:color w:val="auto"/>
          <w:lang w:val="en-US" w:eastAsia="zh-CN"/>
        </w:rPr>
        <w:t>7</w:t>
      </w:r>
      <w:r>
        <w:rPr>
          <w:rFonts w:hint="eastAsia" w:ascii="仿宋_GB2312" w:eastAsia="仿宋_GB2312"/>
          <w:b/>
          <w:color w:val="auto"/>
          <w:lang w:val="en-US"/>
        </w:rPr>
        <w:t>日</w:t>
      </w:r>
    </w:p>
    <w:p w14:paraId="6A6AC279">
      <w:pPr>
        <w:pStyle w:val="13"/>
        <w:spacing w:after="0" w:line="240" w:lineRule="auto"/>
        <w:ind w:firstLine="0"/>
        <w:rPr>
          <w:color w:val="auto"/>
        </w:rPr>
      </w:pPr>
    </w:p>
    <w:p w14:paraId="1D321848">
      <w:pPr>
        <w:pStyle w:val="13"/>
        <w:spacing w:after="0" w:line="240" w:lineRule="auto"/>
        <w:ind w:firstLine="0"/>
        <w:rPr>
          <w:color w:val="auto"/>
        </w:rPr>
      </w:pPr>
    </w:p>
    <w:p w14:paraId="6B56F931">
      <w:pPr>
        <w:pStyle w:val="13"/>
        <w:spacing w:after="0" w:line="240" w:lineRule="auto"/>
        <w:ind w:firstLine="0"/>
        <w:rPr>
          <w:color w:val="auto"/>
        </w:rPr>
      </w:pPr>
    </w:p>
    <w:p w14:paraId="702A8789">
      <w:pPr>
        <w:pStyle w:val="13"/>
        <w:spacing w:after="0" w:line="240" w:lineRule="auto"/>
        <w:ind w:firstLine="0"/>
        <w:rPr>
          <w:color w:val="auto"/>
        </w:rPr>
      </w:pPr>
    </w:p>
    <w:p w14:paraId="05D90946">
      <w:pPr>
        <w:pStyle w:val="13"/>
        <w:spacing w:after="0" w:line="240" w:lineRule="auto"/>
        <w:ind w:firstLine="0"/>
        <w:rPr>
          <w:rFonts w:eastAsia="PMingLiU"/>
          <w:color w:val="auto"/>
        </w:rPr>
        <w:sectPr>
          <w:pgSz w:w="11900" w:h="16840"/>
          <w:pgMar w:top="1301" w:right="876" w:bottom="1373" w:left="885" w:header="457" w:footer="448" w:gutter="0"/>
          <w:cols w:space="720" w:num="1"/>
          <w:docGrid w:linePitch="360" w:charSpace="0"/>
        </w:sectPr>
      </w:pPr>
    </w:p>
    <w:p w14:paraId="10300385">
      <w:pPr>
        <w:pStyle w:val="13"/>
        <w:spacing w:after="0" w:line="240" w:lineRule="auto"/>
        <w:ind w:firstLine="0"/>
        <w:rPr>
          <w:color w:val="auto"/>
        </w:rPr>
      </w:pPr>
    </w:p>
    <w:bookmarkEnd w:id="3"/>
    <w:bookmarkEnd w:id="4"/>
    <w:bookmarkEnd w:id="5"/>
    <w:p w14:paraId="64DF9E6A">
      <w:pPr>
        <w:pStyle w:val="13"/>
        <w:spacing w:after="0" w:line="560" w:lineRule="exact"/>
        <w:ind w:firstLine="0"/>
        <w:jc w:val="center"/>
        <w:rPr>
          <w:rFonts w:hint="eastAsia" w:ascii="方正小标宋简体" w:eastAsia="方正小标宋简体"/>
          <w:b/>
          <w:bCs/>
          <w:color w:val="auto"/>
          <w:sz w:val="44"/>
          <w:szCs w:val="44"/>
          <w:lang w:val="en-US" w:eastAsia="zh-CN"/>
        </w:rPr>
      </w:pPr>
      <w:r>
        <w:rPr>
          <w:rFonts w:hint="eastAsia" w:ascii="方正小标宋简体" w:eastAsia="方正小标宋简体"/>
          <w:b/>
          <w:bCs/>
          <w:color w:val="auto"/>
          <w:sz w:val="44"/>
          <w:szCs w:val="44"/>
          <w:lang w:val="en-US" w:eastAsia="zh-CN"/>
        </w:rPr>
        <w:t>小谷围街社工服务站末期评估报告</w:t>
      </w:r>
    </w:p>
    <w:p w14:paraId="67C68EA8">
      <w:pPr>
        <w:pStyle w:val="13"/>
        <w:spacing w:after="0" w:line="560" w:lineRule="exact"/>
        <w:ind w:firstLine="0"/>
        <w:jc w:val="center"/>
        <w:rPr>
          <w:rFonts w:hint="eastAsia" w:ascii="方正小标宋简体" w:eastAsia="方正小标宋简体"/>
          <w:b/>
          <w:bCs/>
          <w:color w:val="auto"/>
          <w:sz w:val="44"/>
          <w:szCs w:val="44"/>
          <w:lang w:val="en-US" w:eastAsia="zh-CN"/>
        </w:rPr>
      </w:pPr>
      <w:r>
        <w:rPr>
          <w:rFonts w:hint="eastAsia" w:ascii="方正小标宋简体" w:eastAsia="方正小标宋简体"/>
          <w:b/>
          <w:bCs/>
          <w:color w:val="auto"/>
          <w:sz w:val="44"/>
          <w:szCs w:val="44"/>
          <w:lang w:val="en-US" w:eastAsia="zh-CN"/>
        </w:rPr>
        <w:t>（协议期：2025年8月15日—2026年8月14日）</w:t>
      </w:r>
    </w:p>
    <w:p w14:paraId="799A3E2A">
      <w:pPr>
        <w:pStyle w:val="13"/>
        <w:spacing w:after="0" w:line="560" w:lineRule="exact"/>
        <w:ind w:firstLine="0"/>
        <w:rPr>
          <w:rFonts w:hint="eastAsia" w:ascii="方正小标宋简体" w:eastAsia="方正小标宋简体"/>
          <w:b/>
          <w:bCs/>
          <w:color w:val="auto"/>
          <w:sz w:val="44"/>
          <w:szCs w:val="44"/>
          <w:lang w:val="en-US" w:eastAsia="zh-CN"/>
        </w:rPr>
      </w:pPr>
    </w:p>
    <w:p w14:paraId="3F4D9FFE">
      <w:pPr>
        <w:pStyle w:val="13"/>
        <w:pageBreakBefore w:val="0"/>
        <w:widowControl w:val="0"/>
        <w:kinsoku/>
        <w:wordWrap/>
        <w:overflowPunct/>
        <w:topLinePunct w:val="0"/>
        <w:autoSpaceDE/>
        <w:autoSpaceDN/>
        <w:bidi w:val="0"/>
        <w:adjustRightInd/>
        <w:snapToGrid/>
        <w:spacing w:after="0" w:line="520" w:lineRule="exact"/>
        <w:ind w:firstLine="578"/>
        <w:jc w:val="both"/>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小谷围街社工服务站</w:t>
      </w:r>
      <w:r>
        <w:rPr>
          <w:rFonts w:hint="eastAsia" w:ascii="仿宋_GB2312" w:eastAsia="仿宋_GB2312"/>
          <w:color w:val="auto"/>
          <w:sz w:val="32"/>
          <w:szCs w:val="32"/>
        </w:rPr>
        <w:t>（简称</w:t>
      </w:r>
      <w:r>
        <w:rPr>
          <w:rFonts w:hint="eastAsia" w:ascii="仿宋_GB2312" w:eastAsia="仿宋_GB2312"/>
          <w:color w:val="auto"/>
          <w:sz w:val="32"/>
          <w:szCs w:val="32"/>
          <w:lang w:val="en-US" w:eastAsia="zh-CN"/>
        </w:rPr>
        <w:t>小谷围街</w:t>
      </w:r>
      <w:r>
        <w:rPr>
          <w:rFonts w:hint="eastAsia" w:ascii="仿宋_GB2312" w:eastAsia="仿宋_GB2312"/>
          <w:color w:val="auto"/>
          <w:sz w:val="32"/>
          <w:szCs w:val="32"/>
        </w:rPr>
        <w:t>社工站）</w:t>
      </w:r>
      <w:r>
        <w:rPr>
          <w:rFonts w:hint="eastAsia" w:ascii="仿宋_GB2312" w:eastAsia="仿宋_GB2312"/>
          <w:color w:val="auto"/>
          <w:sz w:val="32"/>
          <w:szCs w:val="32"/>
          <w:lang w:eastAsia="zh-CN"/>
        </w:rPr>
        <w:t>末期</w:t>
      </w:r>
      <w:r>
        <w:rPr>
          <w:rFonts w:hint="eastAsia" w:ascii="仿宋_GB2312" w:eastAsia="仿宋_GB2312"/>
          <w:color w:val="auto"/>
          <w:sz w:val="32"/>
          <w:szCs w:val="32"/>
        </w:rPr>
        <w:t>报告，是专业评估人员通过对</w:t>
      </w:r>
      <w:r>
        <w:rPr>
          <w:rFonts w:hint="eastAsia" w:ascii="仿宋_GB2312" w:eastAsia="仿宋_GB2312"/>
          <w:color w:val="auto"/>
          <w:sz w:val="32"/>
          <w:szCs w:val="32"/>
          <w:lang w:val="en-US" w:eastAsia="zh-CN"/>
        </w:rPr>
        <w:t>小谷围街</w:t>
      </w:r>
      <w:r>
        <w:rPr>
          <w:rFonts w:hint="eastAsia" w:ascii="仿宋_GB2312" w:eastAsia="仿宋_GB2312"/>
          <w:color w:val="auto"/>
          <w:sz w:val="32"/>
          <w:szCs w:val="32"/>
        </w:rPr>
        <w:t>社工站项目阶段性服务的全面调查、综合分析和科学判断，确定目标是否可行，总结服务开展情况，以及服务成效体现的总结文书。经过</w:t>
      </w:r>
      <w:r>
        <w:rPr>
          <w:rFonts w:hint="eastAsia" w:ascii="仿宋_GB2312" w:hAnsi="Times New Roman" w:eastAsia="仿宋_GB2312" w:cs="Times New Roman"/>
          <w:color w:val="auto"/>
          <w:sz w:val="32"/>
          <w:szCs w:val="32"/>
          <w:lang w:val="en-US" w:eastAsia="zh-CN"/>
        </w:rPr>
        <w:t>3</w:t>
      </w:r>
      <w:r>
        <w:rPr>
          <w:rFonts w:hint="eastAsia" w:ascii="仿宋_GB2312" w:eastAsia="仿宋_GB2312"/>
          <w:color w:val="auto"/>
          <w:sz w:val="32"/>
          <w:szCs w:val="32"/>
        </w:rPr>
        <w:t>位专家及</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名工作人员</w:t>
      </w:r>
      <w:r>
        <w:rPr>
          <w:rFonts w:hint="eastAsia" w:ascii="仿宋_GB2312" w:eastAsia="仿宋_GB2312"/>
          <w:color w:val="auto"/>
          <w:sz w:val="32"/>
          <w:szCs w:val="32"/>
          <w:lang w:val="en-US"/>
        </w:rPr>
        <w:t>对</w:t>
      </w:r>
      <w:r>
        <w:rPr>
          <w:rFonts w:hint="eastAsia" w:ascii="仿宋_GB2312" w:eastAsia="仿宋_GB2312"/>
          <w:color w:val="auto"/>
          <w:sz w:val="32"/>
          <w:szCs w:val="32"/>
        </w:rPr>
        <w:t>社工站展开为期一天的实地考察、访谈、查阅资料等形式的评估，形成此报告。</w:t>
      </w:r>
      <w:r>
        <w:rPr>
          <w:rFonts w:hint="eastAsia" w:ascii="仿宋_GB2312" w:eastAsia="仿宋_GB2312"/>
          <w:color w:val="auto"/>
          <w:sz w:val="32"/>
          <w:szCs w:val="32"/>
          <w:lang w:val="en-US" w:eastAsia="zh-CN"/>
        </w:rPr>
        <w:t>小谷围街</w:t>
      </w:r>
      <w:r>
        <w:rPr>
          <w:rFonts w:hint="eastAsia" w:ascii="仿宋_GB2312" w:eastAsia="仿宋_GB2312"/>
          <w:color w:val="auto"/>
          <w:sz w:val="32"/>
          <w:szCs w:val="32"/>
        </w:rPr>
        <w:t>社工站可以将此报告作为参考，进行服务完善和提升，从多方面</w:t>
      </w:r>
      <w:r>
        <w:rPr>
          <w:rFonts w:hint="eastAsia" w:ascii="仿宋_GB2312" w:eastAsia="仿宋_GB2312"/>
          <w:color w:val="auto"/>
          <w:sz w:val="32"/>
          <w:szCs w:val="32"/>
          <w:lang w:eastAsia="zh-CN"/>
        </w:rPr>
        <w:t>夯</w:t>
      </w:r>
      <w:r>
        <w:rPr>
          <w:rFonts w:hint="eastAsia" w:ascii="仿宋_GB2312" w:eastAsia="仿宋_GB2312"/>
          <w:color w:val="auto"/>
          <w:sz w:val="32"/>
          <w:szCs w:val="32"/>
        </w:rPr>
        <w:t>实服务基础，拓展服务面，提升服务的专业化水平。本报告尽量呈现社工站的实际情况，因评估时间较短的关系，社工站部分服务成效不完全体现在报告</w:t>
      </w:r>
      <w:r>
        <w:rPr>
          <w:rFonts w:hint="eastAsia" w:ascii="仿宋_GB2312" w:eastAsia="仿宋_GB2312"/>
          <w:color w:val="auto"/>
          <w:sz w:val="32"/>
          <w:szCs w:val="32"/>
          <w:lang w:eastAsia="zh-CN"/>
        </w:rPr>
        <w:t>中</w:t>
      </w:r>
      <w:r>
        <w:rPr>
          <w:rFonts w:hint="eastAsia" w:ascii="仿宋_GB2312" w:eastAsia="仿宋_GB2312"/>
          <w:color w:val="auto"/>
          <w:sz w:val="32"/>
          <w:szCs w:val="32"/>
        </w:rPr>
        <w:t>。</w:t>
      </w:r>
    </w:p>
    <w:p w14:paraId="2405260C">
      <w:pPr>
        <w:pStyle w:val="11"/>
        <w:keepNext/>
        <w:keepLines/>
        <w:pageBreakBefore w:val="0"/>
        <w:widowControl w:val="0"/>
        <w:kinsoku/>
        <w:wordWrap/>
        <w:overflowPunct/>
        <w:topLinePunct w:val="0"/>
        <w:autoSpaceDE/>
        <w:autoSpaceDN/>
        <w:bidi w:val="0"/>
        <w:adjustRightInd/>
        <w:snapToGrid/>
        <w:spacing w:before="0" w:after="0" w:line="52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一、</w:t>
      </w:r>
      <w:r>
        <w:rPr>
          <w:rFonts w:hint="eastAsia" w:ascii="方正小标宋简体" w:eastAsia="方正小标宋简体"/>
          <w:b/>
          <w:bCs/>
          <w:color w:val="auto"/>
          <w:sz w:val="32"/>
          <w:szCs w:val="28"/>
          <w:lang w:val="en-US" w:eastAsia="zh-CN"/>
        </w:rPr>
        <w:t>末期</w:t>
      </w:r>
      <w:r>
        <w:rPr>
          <w:rFonts w:hint="eastAsia" w:ascii="方正小标宋简体" w:eastAsia="方正小标宋简体"/>
          <w:b/>
          <w:bCs/>
          <w:color w:val="auto"/>
          <w:sz w:val="32"/>
          <w:szCs w:val="28"/>
          <w:lang w:val="en-US"/>
        </w:rPr>
        <w:t>评估背景</w:t>
      </w:r>
    </w:p>
    <w:p w14:paraId="08CA6CF7">
      <w:pPr>
        <w:pStyle w:val="13"/>
        <w:pageBreakBefore w:val="0"/>
        <w:widowControl w:val="0"/>
        <w:kinsoku/>
        <w:wordWrap/>
        <w:overflowPunct/>
        <w:topLinePunct w:val="0"/>
        <w:autoSpaceDE/>
        <w:autoSpaceDN/>
        <w:bidi w:val="0"/>
        <w:adjustRightInd/>
        <w:snapToGrid/>
        <w:spacing w:after="0" w:line="520" w:lineRule="exact"/>
        <w:ind w:firstLine="578"/>
        <w:jc w:val="both"/>
        <w:textAlignment w:val="auto"/>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2026年8月7日，番禺区社会组织联合会3位评委及2名工作人员对小谷围街社工站展开了末期评估工作。评估为期1天，主要通过听取社工站介绍、实地考察、查阅资料、面谈（访谈）、填写问卷、电访困难群众询问等形式，对小谷围街社工站的项目管理、服务开展情况以及项目成效等方面进行评估。评估团队主要完成了以下几方面的工作：</w:t>
      </w:r>
    </w:p>
    <w:p w14:paraId="59B73D9C">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6" w:name="bookmark6"/>
      <w:bookmarkEnd w:id="6"/>
      <w:bookmarkStart w:id="7" w:name="bookmark13"/>
      <w:r>
        <w:rPr>
          <w:rFonts w:hint="eastAsia" w:ascii="仿宋_GB2312" w:eastAsia="仿宋_GB2312"/>
          <w:b/>
          <w:sz w:val="32"/>
          <w:szCs w:val="32"/>
          <w:lang w:val="en-US"/>
        </w:rPr>
        <w:t>1.</w:t>
      </w:r>
      <w:r>
        <w:rPr>
          <w:rFonts w:hint="eastAsia" w:ascii="仿宋_GB2312" w:eastAsia="仿宋_GB2312"/>
          <w:b/>
          <w:sz w:val="32"/>
          <w:szCs w:val="32"/>
        </w:rPr>
        <w:t>听取介绍。</w:t>
      </w:r>
      <w:r>
        <w:rPr>
          <w:rFonts w:hint="eastAsia" w:ascii="仿宋_GB2312" w:eastAsia="仿宋_GB2312"/>
          <w:sz w:val="32"/>
          <w:szCs w:val="32"/>
        </w:rPr>
        <w:t>由社工站负责人介绍社工站的运营及服务情况</w:t>
      </w:r>
      <w:r>
        <w:rPr>
          <w:rFonts w:hint="eastAsia" w:ascii="仿宋_GB2312" w:eastAsia="仿宋_GB2312"/>
          <w:sz w:val="32"/>
          <w:szCs w:val="32"/>
          <w:lang w:eastAsia="zh-CN"/>
        </w:rPr>
        <w:t>、</w:t>
      </w:r>
      <w:r>
        <w:rPr>
          <w:rFonts w:hint="eastAsia" w:ascii="仿宋_GB2312" w:eastAsia="仿宋_GB2312"/>
          <w:sz w:val="32"/>
          <w:szCs w:val="32"/>
        </w:rPr>
        <w:t>各项指标完成情况。</w:t>
      </w:r>
    </w:p>
    <w:p w14:paraId="7C54141E">
      <w:pPr>
        <w:pStyle w:val="13"/>
        <w:keepNext w:val="0"/>
        <w:keepLines w:val="0"/>
        <w:pageBreakBefore w:val="0"/>
        <w:widowControl w:val="0"/>
        <w:tabs>
          <w:tab w:val="left" w:pos="981"/>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8" w:name="bookmark7"/>
      <w:bookmarkEnd w:id="8"/>
      <w:r>
        <w:rPr>
          <w:rFonts w:hint="eastAsia" w:ascii="仿宋_GB2312" w:eastAsia="仿宋_GB2312"/>
          <w:b/>
          <w:sz w:val="32"/>
          <w:szCs w:val="32"/>
          <w:lang w:val="en-US"/>
        </w:rPr>
        <w:t>2.实地观察。</w:t>
      </w:r>
      <w:r>
        <w:rPr>
          <w:rFonts w:hint="eastAsia" w:ascii="仿宋_GB2312" w:eastAsia="仿宋_GB2312"/>
          <w:sz w:val="32"/>
          <w:szCs w:val="32"/>
        </w:rPr>
        <w:t>主要针对社工站硬件建设情况方面进行观察</w:t>
      </w:r>
      <w:r>
        <w:rPr>
          <w:rFonts w:hint="eastAsia" w:ascii="仿宋_GB2312" w:eastAsia="仿宋_GB2312"/>
          <w:sz w:val="32"/>
          <w:szCs w:val="32"/>
          <w:lang w:eastAsia="zh-CN"/>
        </w:rPr>
        <w:t>，</w:t>
      </w:r>
      <w:r>
        <w:rPr>
          <w:rFonts w:hint="eastAsia" w:ascii="仿宋_GB2312" w:eastAsia="仿宋_GB2312"/>
          <w:sz w:val="32"/>
          <w:szCs w:val="32"/>
        </w:rPr>
        <w:t>以评估其设施开展专业服务的适宜性。</w:t>
      </w:r>
    </w:p>
    <w:p w14:paraId="0EC3D9C1">
      <w:pPr>
        <w:pStyle w:val="13"/>
        <w:keepNext w:val="0"/>
        <w:keepLines w:val="0"/>
        <w:pageBreakBefore w:val="0"/>
        <w:widowControl w:val="0"/>
        <w:tabs>
          <w:tab w:val="left" w:pos="976"/>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9" w:name="bookmark8"/>
      <w:bookmarkEnd w:id="9"/>
      <w:r>
        <w:rPr>
          <w:rFonts w:hint="eastAsia" w:ascii="仿宋_GB2312" w:eastAsia="仿宋_GB2312"/>
          <w:b/>
          <w:sz w:val="32"/>
          <w:szCs w:val="32"/>
          <w:lang w:val="en-US"/>
        </w:rPr>
        <w:t>3.查阅资料。</w:t>
      </w:r>
      <w:r>
        <w:rPr>
          <w:rFonts w:hint="eastAsia" w:ascii="仿宋_GB2312" w:eastAsia="仿宋_GB2312"/>
          <w:sz w:val="32"/>
          <w:szCs w:val="32"/>
        </w:rPr>
        <w:t>查阅社工站行政、人事管理制度及专业服务记录等方面的资料。</w:t>
      </w:r>
    </w:p>
    <w:p w14:paraId="0B32A82D">
      <w:pPr>
        <w:pStyle w:val="13"/>
        <w:keepNext w:val="0"/>
        <w:keepLines w:val="0"/>
        <w:pageBreakBefore w:val="0"/>
        <w:widowControl w:val="0"/>
        <w:tabs>
          <w:tab w:val="left" w:pos="986"/>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10" w:name="bookmark9"/>
      <w:bookmarkEnd w:id="10"/>
      <w:r>
        <w:rPr>
          <w:rFonts w:hint="eastAsia" w:ascii="仿宋_GB2312" w:eastAsia="仿宋_GB2312"/>
          <w:b/>
          <w:sz w:val="32"/>
          <w:szCs w:val="32"/>
          <w:lang w:val="en-US"/>
        </w:rPr>
        <w:t>4.各项目访谈。</w:t>
      </w:r>
      <w:r>
        <w:rPr>
          <w:rFonts w:hint="eastAsia" w:ascii="仿宋_GB2312" w:eastAsia="仿宋_GB2312"/>
          <w:sz w:val="32"/>
          <w:szCs w:val="32"/>
        </w:rPr>
        <w:t>评委与各项目社工进行访谈，了解社工站服务推进情况</w:t>
      </w:r>
      <w:r>
        <w:rPr>
          <w:rFonts w:hint="eastAsia" w:ascii="仿宋_GB2312" w:eastAsia="仿宋_GB2312"/>
          <w:sz w:val="32"/>
          <w:szCs w:val="32"/>
          <w:lang w:eastAsia="zh-CN"/>
        </w:rPr>
        <w:t>，</w:t>
      </w:r>
      <w:r>
        <w:rPr>
          <w:rFonts w:hint="eastAsia" w:ascii="仿宋_GB2312" w:eastAsia="仿宋_GB2312"/>
          <w:sz w:val="32"/>
          <w:szCs w:val="32"/>
        </w:rPr>
        <w:t>了解社工对服务项目的理解，以及开展服务的总结反思。</w:t>
      </w:r>
    </w:p>
    <w:p w14:paraId="5751B1AF">
      <w:pPr>
        <w:pStyle w:val="13"/>
        <w:keepNext w:val="0"/>
        <w:keepLines w:val="0"/>
        <w:pageBreakBefore w:val="0"/>
        <w:widowControl w:val="0"/>
        <w:tabs>
          <w:tab w:val="left" w:pos="986"/>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11" w:name="bookmark10"/>
      <w:bookmarkEnd w:id="11"/>
      <w:r>
        <w:rPr>
          <w:rFonts w:hint="eastAsia" w:ascii="仿宋_GB2312" w:eastAsia="仿宋_GB2312"/>
          <w:b/>
          <w:sz w:val="32"/>
          <w:szCs w:val="32"/>
          <w:lang w:val="en-US"/>
        </w:rPr>
        <w:t>5.机构运营访谈。</w:t>
      </w:r>
      <w:r>
        <w:rPr>
          <w:rFonts w:hint="eastAsia" w:ascii="仿宋_GB2312" w:eastAsia="仿宋_GB2312"/>
          <w:sz w:val="32"/>
          <w:szCs w:val="32"/>
        </w:rPr>
        <w:t>主要与承办机构管理人员及行政人员进行访谈</w:t>
      </w:r>
      <w:r>
        <w:rPr>
          <w:rFonts w:hint="eastAsia" w:ascii="仿宋_GB2312" w:eastAsia="仿宋_GB2312"/>
          <w:sz w:val="32"/>
          <w:szCs w:val="32"/>
          <w:lang w:eastAsia="zh-CN"/>
        </w:rPr>
        <w:t>，</w:t>
      </w:r>
      <w:r>
        <w:rPr>
          <w:rFonts w:hint="eastAsia" w:ascii="仿宋_GB2312" w:eastAsia="仿宋_GB2312"/>
          <w:sz w:val="32"/>
          <w:szCs w:val="32"/>
        </w:rPr>
        <w:t>了解机构运营情况，查看机构行政配套制度等情况。</w:t>
      </w:r>
    </w:p>
    <w:p w14:paraId="79413B0D">
      <w:pPr>
        <w:pStyle w:val="13"/>
        <w:keepNext w:val="0"/>
        <w:keepLines w:val="0"/>
        <w:pageBreakBefore w:val="0"/>
        <w:widowControl w:val="0"/>
        <w:tabs>
          <w:tab w:val="left" w:pos="952"/>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12" w:name="bookmark11"/>
      <w:bookmarkEnd w:id="12"/>
      <w:r>
        <w:rPr>
          <w:rFonts w:hint="eastAsia" w:ascii="仿宋_GB2312" w:eastAsia="仿宋_GB2312"/>
          <w:b/>
          <w:sz w:val="32"/>
          <w:szCs w:val="32"/>
          <w:lang w:val="en-US"/>
        </w:rPr>
        <w:t>6.利益相关方满意度及知晓度。</w:t>
      </w:r>
      <w:r>
        <w:rPr>
          <w:rFonts w:hint="eastAsia" w:ascii="仿宋_GB2312" w:eastAsia="仿宋_GB2312"/>
          <w:sz w:val="32"/>
          <w:szCs w:val="32"/>
        </w:rPr>
        <w:t>主要社工站在辖区内的知晓度以及各利益相关方对社工</w:t>
      </w:r>
      <w:r>
        <w:rPr>
          <w:rFonts w:hint="eastAsia" w:ascii="仿宋_GB2312" w:eastAsia="仿宋_GB2312"/>
          <w:sz w:val="32"/>
          <w:szCs w:val="32"/>
          <w:lang w:eastAsia="zh-CN"/>
        </w:rPr>
        <w:t>站</w:t>
      </w:r>
      <w:r>
        <w:rPr>
          <w:rFonts w:hint="eastAsia" w:ascii="仿宋_GB2312" w:eastAsia="仿宋_GB2312"/>
          <w:sz w:val="32"/>
          <w:szCs w:val="32"/>
        </w:rPr>
        <w:t>提供的服务以及过程</w:t>
      </w:r>
      <w:r>
        <w:rPr>
          <w:rFonts w:hint="eastAsia" w:ascii="仿宋_GB2312" w:eastAsia="仿宋_GB2312"/>
          <w:sz w:val="32"/>
          <w:szCs w:val="32"/>
          <w:lang w:eastAsia="zh-CN"/>
        </w:rPr>
        <w:t>中</w:t>
      </w:r>
      <w:r>
        <w:rPr>
          <w:rFonts w:hint="eastAsia" w:ascii="仿宋_GB2312" w:eastAsia="仿宋_GB2312"/>
          <w:sz w:val="32"/>
          <w:szCs w:val="32"/>
        </w:rPr>
        <w:t>的满意度。</w:t>
      </w:r>
    </w:p>
    <w:p w14:paraId="63F2313C">
      <w:pPr>
        <w:pStyle w:val="13"/>
        <w:keepNext w:val="0"/>
        <w:keepLines w:val="0"/>
        <w:pageBreakBefore w:val="0"/>
        <w:widowControl w:val="0"/>
        <w:tabs>
          <w:tab w:val="left" w:pos="986"/>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13" w:name="bookmark12"/>
      <w:bookmarkEnd w:id="13"/>
      <w:r>
        <w:rPr>
          <w:rFonts w:hint="eastAsia" w:ascii="仿宋_GB2312" w:eastAsia="仿宋_GB2312"/>
          <w:b/>
          <w:sz w:val="32"/>
          <w:szCs w:val="32"/>
          <w:lang w:val="en-US"/>
        </w:rPr>
        <w:t>7.总结反馈。</w:t>
      </w:r>
      <w:r>
        <w:rPr>
          <w:rFonts w:hint="eastAsia" w:ascii="仿宋_GB2312" w:eastAsia="仿宋_GB2312"/>
          <w:sz w:val="32"/>
          <w:szCs w:val="32"/>
        </w:rPr>
        <w:t>由评委团队对评估进行总结，与社工站社工进行反馈，听取街道购买方对社工站工作开展的意见和建议，了解社工站同事对本次活动的反馈。</w:t>
      </w:r>
    </w:p>
    <w:p w14:paraId="107530DC">
      <w:pPr>
        <w:pStyle w:val="13"/>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bookmarkEnd w:id="7"/>
      <w:r>
        <w:rPr>
          <w:rFonts w:hint="eastAsia" w:ascii="仿宋_GB2312" w:hAnsi="仿宋_GB2312" w:eastAsia="仿宋_GB2312" w:cs="仿宋_GB2312"/>
          <w:b/>
          <w:sz w:val="32"/>
          <w:szCs w:val="32"/>
        </w:rPr>
        <w:t>一）评估依据</w:t>
      </w:r>
    </w:p>
    <w:p w14:paraId="481F39A0">
      <w:pPr>
        <w:pStyle w:val="13"/>
        <w:pageBreakBefore w:val="0"/>
        <w:widowControl w:val="0"/>
        <w:numPr>
          <w:ilvl w:val="0"/>
          <w:numId w:val="1"/>
        </w:numPr>
        <w:tabs>
          <w:tab w:val="left" w:pos="98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14" w:name="bookmark14"/>
      <w:bookmarkEnd w:id="14"/>
      <w:r>
        <w:rPr>
          <w:rFonts w:hint="eastAsia" w:ascii="仿宋_GB2312" w:hAnsi="仿宋_GB2312" w:eastAsia="仿宋_GB2312" w:cs="仿宋_GB2312"/>
          <w:b/>
          <w:bCs/>
          <w:sz w:val="32"/>
          <w:szCs w:val="32"/>
        </w:rPr>
        <w:t>政策依据：</w:t>
      </w:r>
      <w:r>
        <w:rPr>
          <w:rFonts w:hint="eastAsia" w:ascii="仿宋_GB2312" w:hAnsi="仿宋_GB2312" w:eastAsia="仿宋_GB2312" w:cs="仿宋_GB2312"/>
          <w:sz w:val="32"/>
          <w:szCs w:val="32"/>
        </w:rPr>
        <w:t>《社会工作服务项目绩效评估指南》《广州市社工服务站管理办法》《广州市社工站购买服务项目评估办法》《广州市社工站岗位职责》《广州市社会工作服务条例》《广州市社工站购买服务项目服务清单（民政领域社会工作）》《广州市社工站购买服务项目服务标准》等。</w:t>
      </w:r>
    </w:p>
    <w:p w14:paraId="45719108">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hAnsi="仿宋_GB2312" w:eastAsia="仿宋_GB2312" w:cs="仿宋_GB2312"/>
          <w:sz w:val="32"/>
          <w:szCs w:val="32"/>
        </w:rPr>
      </w:pPr>
      <w:bookmarkStart w:id="15" w:name="bookmark15"/>
      <w:bookmarkEnd w:id="15"/>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评估标准依据：</w:t>
      </w:r>
      <w:r>
        <w:rPr>
          <w:rFonts w:hint="eastAsia" w:ascii="仿宋_GB2312" w:hAnsi="仿宋_GB2312" w:eastAsia="仿宋_GB2312" w:cs="仿宋_GB2312"/>
          <w:sz w:val="32"/>
          <w:szCs w:val="32"/>
        </w:rPr>
        <w:t>《广州市社工站购买服务项目评估指标体系》。</w:t>
      </w:r>
    </w:p>
    <w:p w14:paraId="178EC1BE">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lang w:eastAsia="zh-CN"/>
        </w:rPr>
        <w:t>（二）</w:t>
      </w:r>
      <w:r>
        <w:rPr>
          <w:rFonts w:hint="eastAsia" w:ascii="仿宋_GB2312" w:eastAsia="仿宋_GB2312"/>
          <w:b/>
          <w:sz w:val="32"/>
          <w:szCs w:val="32"/>
        </w:rPr>
        <w:t>评估原则</w:t>
      </w:r>
    </w:p>
    <w:p w14:paraId="4B4D501D">
      <w:pPr>
        <w:pStyle w:val="13"/>
        <w:keepNext w:val="0"/>
        <w:keepLines w:val="0"/>
        <w:pageBreakBefore w:val="0"/>
        <w:widowControl w:val="0"/>
        <w:tabs>
          <w:tab w:val="left" w:pos="986"/>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16" w:name="bookmark17"/>
      <w:bookmarkEnd w:id="16"/>
      <w:bookmarkStart w:id="17" w:name="bookmark23"/>
      <w:r>
        <w:rPr>
          <w:rFonts w:hint="eastAsia" w:ascii="仿宋_GB2312" w:eastAsia="仿宋_GB2312"/>
          <w:b/>
          <w:sz w:val="32"/>
          <w:szCs w:val="32"/>
          <w:lang w:eastAsia="zh-CN"/>
        </w:rPr>
        <w:t>1.真实诚信原则：</w:t>
      </w:r>
      <w:r>
        <w:rPr>
          <w:rFonts w:hint="eastAsia" w:ascii="仿宋_GB2312" w:eastAsia="仿宋_GB2312"/>
          <w:sz w:val="32"/>
          <w:szCs w:val="32"/>
        </w:rPr>
        <w:t>评估要求项目运营方必须以实事求是的态度对待评估，本着诚实守信的原则，提供和展示能够真实、客观反映其项目运营状况的依据和有效资料，以供评估小组考察。</w:t>
      </w:r>
    </w:p>
    <w:p w14:paraId="00ACAF8B">
      <w:pPr>
        <w:pStyle w:val="13"/>
        <w:keepNext w:val="0"/>
        <w:keepLines w:val="0"/>
        <w:pageBreakBefore w:val="0"/>
        <w:widowControl w:val="0"/>
        <w:tabs>
          <w:tab w:val="left" w:pos="991"/>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18" w:name="bookmark18"/>
      <w:bookmarkEnd w:id="18"/>
      <w:r>
        <w:rPr>
          <w:rFonts w:hint="eastAsia" w:ascii="仿宋_GB2312" w:eastAsia="仿宋_GB2312"/>
          <w:b/>
          <w:sz w:val="32"/>
          <w:szCs w:val="32"/>
          <w:lang w:eastAsia="zh-CN"/>
        </w:rPr>
        <w:t>2.客观公正原则：</w:t>
      </w:r>
      <w:r>
        <w:rPr>
          <w:rFonts w:hint="eastAsia" w:ascii="仿宋_GB2312" w:eastAsia="仿宋_GB2312"/>
          <w:sz w:val="32"/>
          <w:szCs w:val="32"/>
        </w:rPr>
        <w:t>评估要求所有评委恪守</w:t>
      </w:r>
      <w:r>
        <w:rPr>
          <w:rFonts w:hint="eastAsia" w:ascii="仿宋_GB2312" w:eastAsia="仿宋_GB2312"/>
          <w:sz w:val="32"/>
          <w:szCs w:val="32"/>
          <w:lang w:val="zh-CN" w:eastAsia="zh-CN" w:bidi="zh-CN"/>
        </w:rPr>
        <w:t>“客</w:t>
      </w:r>
      <w:r>
        <w:rPr>
          <w:rFonts w:hint="eastAsia" w:ascii="仿宋_GB2312" w:eastAsia="仿宋_GB2312"/>
          <w:sz w:val="32"/>
          <w:szCs w:val="32"/>
        </w:rPr>
        <w:t>观公正的第三方”评估者角色，依据事实和真实情况给出客观</w:t>
      </w:r>
      <w:r>
        <w:rPr>
          <w:rFonts w:hint="eastAsia" w:ascii="仿宋_GB2312" w:eastAsia="仿宋_GB2312"/>
          <w:color w:val="auto"/>
          <w:sz w:val="32"/>
          <w:szCs w:val="32"/>
        </w:rPr>
        <w:t>、</w:t>
      </w:r>
      <w:r>
        <w:rPr>
          <w:rFonts w:hint="eastAsia" w:ascii="仿宋_GB2312" w:eastAsia="仿宋_GB2312"/>
          <w:color w:val="auto"/>
          <w:sz w:val="32"/>
          <w:szCs w:val="32"/>
          <w:lang w:eastAsia="zh-CN"/>
        </w:rPr>
        <w:t>中</w:t>
      </w:r>
      <w:r>
        <w:rPr>
          <w:rFonts w:hint="eastAsia" w:ascii="仿宋_GB2312" w:eastAsia="仿宋_GB2312"/>
          <w:color w:val="auto"/>
          <w:sz w:val="32"/>
          <w:szCs w:val="32"/>
        </w:rPr>
        <w:t>肯评价意见或结论</w:t>
      </w:r>
      <w:r>
        <w:rPr>
          <w:rFonts w:hint="eastAsia" w:ascii="仿宋_GB2312" w:eastAsia="仿宋_GB2312"/>
          <w:sz w:val="32"/>
          <w:szCs w:val="32"/>
        </w:rPr>
        <w:t>。</w:t>
      </w:r>
    </w:p>
    <w:p w14:paraId="7D9E10CD">
      <w:pPr>
        <w:pStyle w:val="13"/>
        <w:keepNext w:val="0"/>
        <w:keepLines w:val="0"/>
        <w:pageBreakBefore w:val="0"/>
        <w:widowControl w:val="0"/>
        <w:tabs>
          <w:tab w:val="left" w:pos="976"/>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19" w:name="bookmark19"/>
      <w:bookmarkEnd w:id="19"/>
      <w:r>
        <w:rPr>
          <w:rFonts w:hint="eastAsia" w:ascii="仿宋_GB2312" w:eastAsia="仿宋_GB2312"/>
          <w:b/>
          <w:sz w:val="32"/>
          <w:szCs w:val="32"/>
          <w:lang w:eastAsia="zh-CN"/>
        </w:rPr>
        <w:t>3.证据为本原则：</w:t>
      </w:r>
      <w:r>
        <w:rPr>
          <w:rFonts w:hint="eastAsia" w:ascii="仿宋_GB2312" w:eastAsia="仿宋_GB2312"/>
          <w:sz w:val="32"/>
          <w:szCs w:val="32"/>
        </w:rPr>
        <w:t>评估要求项目运营方应提供有事实依据的证明资料或记录，来展示其项目运营的真实状况和成效；同时，评估要求所有评委以真实有效的工作痕迹记录为依据，做出客观公正的专业评估分析和判断。</w:t>
      </w:r>
    </w:p>
    <w:p w14:paraId="17A35964">
      <w:pPr>
        <w:pStyle w:val="13"/>
        <w:keepNext w:val="0"/>
        <w:keepLines w:val="0"/>
        <w:pageBreakBefore w:val="0"/>
        <w:widowControl w:val="0"/>
        <w:tabs>
          <w:tab w:val="left" w:pos="981"/>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20" w:name="bookmark20"/>
      <w:bookmarkEnd w:id="20"/>
      <w:r>
        <w:rPr>
          <w:rFonts w:hint="eastAsia" w:ascii="仿宋_GB2312"/>
          <w:b/>
          <w:sz w:val="32"/>
          <w:szCs w:val="32"/>
          <w:lang w:eastAsia="zh-CN"/>
        </w:rPr>
        <w:t>4</w:t>
      </w:r>
      <w:r>
        <w:rPr>
          <w:rFonts w:ascii="仿宋_GB2312" w:eastAsia="PMingLiU"/>
          <w:b/>
          <w:sz w:val="32"/>
          <w:szCs w:val="32"/>
        </w:rPr>
        <w:t>.</w:t>
      </w:r>
      <w:r>
        <w:rPr>
          <w:rFonts w:hint="eastAsia" w:ascii="仿宋_GB2312" w:eastAsia="仿宋_GB2312"/>
          <w:b/>
          <w:sz w:val="32"/>
          <w:szCs w:val="32"/>
        </w:rPr>
        <w:t>以评促进原则</w:t>
      </w:r>
      <w:r>
        <w:rPr>
          <w:rFonts w:hint="eastAsia" w:ascii="仿宋_GB2312" w:eastAsia="仿宋_GB2312"/>
          <w:b/>
          <w:sz w:val="32"/>
          <w:szCs w:val="32"/>
          <w:lang w:eastAsia="zh-CN"/>
        </w:rPr>
        <w:t>：</w:t>
      </w:r>
      <w:r>
        <w:rPr>
          <w:rFonts w:hint="eastAsia" w:ascii="仿宋_GB2312" w:eastAsia="仿宋_GB2312"/>
          <w:sz w:val="32"/>
          <w:szCs w:val="32"/>
        </w:rPr>
        <w:t>评估要求评委要本着促进项目运营质量和成效的目标原则实施评估活动，给出评估指导意见，评估意见应具体、清晰、可行，能够切实指导项目运营团队持续改善服务成效和质量。</w:t>
      </w:r>
    </w:p>
    <w:p w14:paraId="58B57742">
      <w:pPr>
        <w:pStyle w:val="13"/>
        <w:keepNext w:val="0"/>
        <w:keepLines w:val="0"/>
        <w:pageBreakBefore w:val="0"/>
        <w:widowControl w:val="0"/>
        <w:tabs>
          <w:tab w:val="left" w:pos="991"/>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sz w:val="32"/>
          <w:szCs w:val="32"/>
        </w:rPr>
      </w:pPr>
      <w:bookmarkStart w:id="21" w:name="bookmark21"/>
      <w:bookmarkEnd w:id="21"/>
      <w:r>
        <w:rPr>
          <w:rFonts w:hint="eastAsia" w:ascii="仿宋_GB2312"/>
          <w:b/>
          <w:sz w:val="32"/>
          <w:szCs w:val="32"/>
          <w:lang w:eastAsia="zh-CN"/>
        </w:rPr>
        <w:t>5</w:t>
      </w:r>
      <w:r>
        <w:rPr>
          <w:rFonts w:ascii="仿宋_GB2312" w:eastAsia="PMingLiU"/>
          <w:b/>
          <w:sz w:val="32"/>
          <w:szCs w:val="32"/>
        </w:rPr>
        <w:t>.</w:t>
      </w:r>
      <w:r>
        <w:rPr>
          <w:rFonts w:hint="eastAsia" w:ascii="仿宋_GB2312" w:eastAsia="仿宋_GB2312"/>
          <w:b/>
          <w:sz w:val="32"/>
          <w:szCs w:val="32"/>
        </w:rPr>
        <w:t>回避监督原则</w:t>
      </w:r>
      <w:r>
        <w:rPr>
          <w:rFonts w:hint="eastAsia" w:ascii="仿宋_GB2312" w:eastAsia="仿宋_GB2312"/>
          <w:b/>
          <w:sz w:val="32"/>
          <w:szCs w:val="32"/>
          <w:lang w:eastAsia="zh-CN"/>
        </w:rPr>
        <w:t>：</w:t>
      </w:r>
      <w:r>
        <w:rPr>
          <w:rFonts w:hint="eastAsia" w:ascii="仿宋_GB2312" w:eastAsia="仿宋_GB2312"/>
          <w:sz w:val="32"/>
          <w:szCs w:val="32"/>
        </w:rPr>
        <w:t>评估要求评委在评估前与被评估方有单独接触、有利益关系或冲突的，均应回避；被评估方有权监督评估团队的评估工作，并有权提出合理异议或回避要求，以免评估失去公正性和可信度。</w:t>
      </w:r>
    </w:p>
    <w:p w14:paraId="39336BD6">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sz w:val="32"/>
          <w:szCs w:val="32"/>
        </w:rPr>
      </w:pPr>
      <w:bookmarkStart w:id="22" w:name="bookmark22"/>
      <w:bookmarkEnd w:id="22"/>
      <w:r>
        <w:rPr>
          <w:rFonts w:hint="eastAsia" w:ascii="仿宋_GB2312" w:eastAsia="仿宋_GB2312"/>
          <w:b/>
          <w:sz w:val="32"/>
          <w:szCs w:val="32"/>
          <w:lang w:eastAsia="zh-CN"/>
        </w:rPr>
        <w:t>6.保密尊重原则：</w:t>
      </w:r>
      <w:r>
        <w:rPr>
          <w:rFonts w:hint="eastAsia" w:ascii="仿宋_GB2312" w:eastAsia="仿宋_GB2312"/>
          <w:sz w:val="32"/>
          <w:szCs w:val="32"/>
        </w:rPr>
        <w:t>评估要求评委应尊重和保护其工作</w:t>
      </w:r>
      <w:r>
        <w:rPr>
          <w:rFonts w:hint="eastAsia" w:ascii="仿宋_GB2312" w:eastAsia="仿宋_GB2312"/>
          <w:sz w:val="32"/>
          <w:szCs w:val="32"/>
          <w:lang w:eastAsia="zh-CN"/>
        </w:rPr>
        <w:t>中</w:t>
      </w:r>
      <w:r>
        <w:rPr>
          <w:rFonts w:hint="eastAsia" w:ascii="仿宋_GB2312" w:eastAsia="仿宋_GB2312"/>
          <w:sz w:val="32"/>
          <w:szCs w:val="32"/>
        </w:rPr>
        <w:t>所接触、发现或遇到的涉及服务对象隐私权等所有受法律保护的事项，并依法负有保密职责；评估要求评委在评估过程</w:t>
      </w:r>
      <w:r>
        <w:rPr>
          <w:rFonts w:hint="eastAsia" w:ascii="仿宋_GB2312" w:eastAsia="仿宋_GB2312"/>
          <w:sz w:val="32"/>
          <w:szCs w:val="32"/>
          <w:lang w:eastAsia="zh-CN"/>
        </w:rPr>
        <w:t>中</w:t>
      </w:r>
      <w:r>
        <w:rPr>
          <w:rFonts w:hint="eastAsia" w:ascii="仿宋_GB2312" w:eastAsia="仿宋_GB2312"/>
          <w:sz w:val="32"/>
          <w:szCs w:val="32"/>
        </w:rPr>
        <w:t>应尊重被评估方的所有原创性专业技术、方法等成果，并依法负有保密职责。</w:t>
      </w:r>
    </w:p>
    <w:p w14:paraId="7ADA4950">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rPr>
        <w:t>（</w:t>
      </w:r>
      <w:bookmarkEnd w:id="17"/>
      <w:r>
        <w:rPr>
          <w:rFonts w:hint="eastAsia" w:ascii="仿宋_GB2312" w:eastAsia="仿宋_GB2312"/>
          <w:b/>
          <w:sz w:val="32"/>
          <w:szCs w:val="32"/>
        </w:rPr>
        <w:t>三）评估阶段</w:t>
      </w:r>
    </w:p>
    <w:p w14:paraId="1C0C03C1">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b/>
          <w:sz w:val="32"/>
          <w:szCs w:val="32"/>
          <w:lang w:eastAsia="zh-CN"/>
        </w:rPr>
      </w:pPr>
      <w:bookmarkStart w:id="23" w:name="bookmark24"/>
      <w:bookmarkEnd w:id="23"/>
      <w:bookmarkStart w:id="24" w:name="bookmark28"/>
      <w:r>
        <w:rPr>
          <w:rFonts w:hint="eastAsia" w:ascii="仿宋_GB2312" w:eastAsia="仿宋_GB2312"/>
          <w:b/>
          <w:sz w:val="32"/>
          <w:szCs w:val="32"/>
          <w:lang w:val="en-US" w:eastAsia="zh-CN"/>
        </w:rPr>
        <w:t>1.</w:t>
      </w:r>
      <w:r>
        <w:rPr>
          <w:rFonts w:hint="eastAsia" w:ascii="仿宋_GB2312" w:eastAsia="仿宋_GB2312"/>
          <w:b/>
          <w:sz w:val="32"/>
          <w:szCs w:val="32"/>
          <w:lang w:eastAsia="zh-CN"/>
        </w:rPr>
        <w:t>制定评估计划</w:t>
      </w:r>
    </w:p>
    <w:p w14:paraId="69DD9410">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番禺区民政局会同番禺区社会组织联合会根据最新管理办法要求及</w:t>
      </w:r>
      <w:r>
        <w:rPr>
          <w:rFonts w:hint="eastAsia" w:ascii="仿宋_GB2312" w:eastAsia="仿宋_GB2312"/>
          <w:sz w:val="32"/>
          <w:szCs w:val="32"/>
          <w:lang w:val="en-US" w:eastAsia="zh-CN"/>
        </w:rPr>
        <w:t>小谷围街</w:t>
      </w:r>
      <w:r>
        <w:rPr>
          <w:rFonts w:hint="eastAsia" w:ascii="仿宋_GB2312" w:eastAsia="仿宋_GB2312"/>
          <w:sz w:val="32"/>
          <w:szCs w:val="32"/>
          <w:lang w:eastAsia="zh-CN"/>
        </w:rPr>
        <w:t>社工站项目合同期限确定评估时间，制定好评估计划和评估通知。</w:t>
      </w:r>
    </w:p>
    <w:p w14:paraId="6DB11716">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2.自我评审阶段</w:t>
      </w:r>
    </w:p>
    <w:p w14:paraId="421B30E4">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val="en-US" w:eastAsia="zh-CN"/>
        </w:rPr>
        <w:t>小谷围街</w:t>
      </w:r>
      <w:r>
        <w:rPr>
          <w:rFonts w:hint="eastAsia" w:ascii="仿宋_GB2312" w:eastAsia="仿宋_GB2312"/>
          <w:sz w:val="32"/>
          <w:szCs w:val="32"/>
        </w:rPr>
        <w:t>社工站结合</w:t>
      </w:r>
      <w:r>
        <w:rPr>
          <w:rFonts w:ascii="仿宋_GB2312" w:eastAsia="仿宋_GB2312"/>
          <w:sz w:val="32"/>
          <w:szCs w:val="32"/>
          <w:lang w:val="en-US"/>
        </w:rPr>
        <w:t>《广州市社工站购买服务项目评估指标体系》</w:t>
      </w:r>
      <w:r>
        <w:rPr>
          <w:rFonts w:hint="eastAsia" w:ascii="仿宋_GB2312" w:eastAsia="仿宋_GB2312"/>
          <w:sz w:val="32"/>
          <w:szCs w:val="32"/>
        </w:rPr>
        <w:t>和签订的服务协议，逐项对照，准备材料，结合实际进行自我评估，并完成自评报告的报送工作。</w:t>
      </w:r>
    </w:p>
    <w:p w14:paraId="5CF3D05E">
      <w:pPr>
        <w:pStyle w:val="13"/>
        <w:keepNext w:val="0"/>
        <w:keepLines w:val="0"/>
        <w:pageBreakBefore w:val="0"/>
        <w:widowControl w:val="0"/>
        <w:tabs>
          <w:tab w:val="left" w:pos="1001"/>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b/>
          <w:sz w:val="32"/>
          <w:szCs w:val="32"/>
          <w:lang w:eastAsia="zh-CN"/>
        </w:rPr>
      </w:pPr>
      <w:bookmarkStart w:id="25" w:name="bookmark25"/>
      <w:bookmarkEnd w:id="25"/>
      <w:r>
        <w:rPr>
          <w:rFonts w:hint="eastAsia" w:ascii="仿宋_GB2312" w:eastAsia="仿宋_GB2312"/>
          <w:b/>
          <w:sz w:val="32"/>
          <w:szCs w:val="32"/>
          <w:lang w:val="en-US" w:eastAsia="zh-CN"/>
        </w:rPr>
        <w:t>3.</w:t>
      </w:r>
      <w:r>
        <w:rPr>
          <w:rFonts w:hint="eastAsia" w:ascii="仿宋_GB2312" w:eastAsia="仿宋_GB2312"/>
          <w:b/>
          <w:sz w:val="32"/>
          <w:szCs w:val="32"/>
          <w:lang w:eastAsia="zh-CN"/>
        </w:rPr>
        <w:t>实地评估阶段</w:t>
      </w:r>
    </w:p>
    <w:p w14:paraId="412D9726">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评估小组根据评估计划组织实施，对</w:t>
      </w:r>
      <w:r>
        <w:rPr>
          <w:rFonts w:hint="eastAsia" w:ascii="仿宋_GB2312" w:eastAsia="仿宋_GB2312"/>
          <w:sz w:val="32"/>
          <w:szCs w:val="32"/>
          <w:lang w:val="en-US" w:eastAsia="zh-CN"/>
        </w:rPr>
        <w:t>小谷围街</w:t>
      </w:r>
      <w:r>
        <w:rPr>
          <w:rFonts w:hint="eastAsia" w:ascii="仿宋_GB2312" w:eastAsia="仿宋_GB2312"/>
          <w:sz w:val="32"/>
          <w:szCs w:val="32"/>
          <w:lang w:eastAsia="zh-CN"/>
        </w:rPr>
        <w:t>社工站提供的材料进行审阅，实地考察，进行现场评估并打分。评估小组根据公平、公正的原则，严格按照评估要求，对</w:t>
      </w:r>
      <w:r>
        <w:rPr>
          <w:rFonts w:hint="eastAsia" w:ascii="仿宋_GB2312" w:eastAsia="仿宋_GB2312"/>
          <w:sz w:val="32"/>
          <w:szCs w:val="32"/>
          <w:lang w:val="en-US" w:eastAsia="zh-CN"/>
        </w:rPr>
        <w:t>小谷围街</w:t>
      </w:r>
      <w:r>
        <w:rPr>
          <w:rFonts w:hint="eastAsia" w:ascii="仿宋_GB2312" w:eastAsia="仿宋_GB2312"/>
          <w:sz w:val="32"/>
          <w:szCs w:val="32"/>
          <w:lang w:eastAsia="zh-CN"/>
        </w:rPr>
        <w:t>社工站进行评估工作。</w:t>
      </w:r>
    </w:p>
    <w:p w14:paraId="554A89D5">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b/>
          <w:sz w:val="32"/>
          <w:szCs w:val="32"/>
        </w:rPr>
      </w:pPr>
      <w:r>
        <w:rPr>
          <w:rFonts w:hint="eastAsia" w:ascii="仿宋_GB2312" w:eastAsia="仿宋_GB2312"/>
          <w:b/>
          <w:bCs/>
          <w:sz w:val="32"/>
          <w:szCs w:val="32"/>
          <w:lang w:val="en-US" w:eastAsia="zh-CN"/>
        </w:rPr>
        <w:t>4.</w:t>
      </w:r>
      <w:r>
        <w:rPr>
          <w:rFonts w:hint="eastAsia" w:ascii="仿宋_GB2312" w:eastAsia="仿宋_GB2312"/>
          <w:b/>
          <w:sz w:val="32"/>
          <w:szCs w:val="32"/>
        </w:rPr>
        <w:t>反馈初评意见</w:t>
      </w:r>
    </w:p>
    <w:p w14:paraId="38EF954C">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ascii="仿宋_GB2312" w:eastAsia="仿宋_GB2312"/>
          <w:sz w:val="32"/>
          <w:szCs w:val="32"/>
          <w:lang w:eastAsia="zh-CN"/>
        </w:rPr>
      </w:pPr>
      <w:r>
        <w:rPr>
          <w:rFonts w:hint="eastAsia" w:ascii="仿宋_GB2312" w:eastAsia="仿宋_GB2312"/>
          <w:sz w:val="32"/>
          <w:szCs w:val="32"/>
          <w:lang w:eastAsia="zh-CN"/>
        </w:rPr>
        <w:t>综合评委专家、监督方、购买方、市督导中心的意见和建议，在评估工作结束后5个工作日内，向番禺区民政局、</w:t>
      </w:r>
      <w:r>
        <w:rPr>
          <w:rFonts w:hint="eastAsia" w:ascii="仿宋_GB2312" w:eastAsia="仿宋_GB2312"/>
          <w:sz w:val="32"/>
          <w:szCs w:val="32"/>
          <w:lang w:val="en-US" w:eastAsia="zh-CN"/>
        </w:rPr>
        <w:t>小谷围街</w:t>
      </w:r>
      <w:r>
        <w:rPr>
          <w:rFonts w:hint="eastAsia" w:ascii="仿宋_GB2312" w:eastAsia="仿宋_GB2312"/>
          <w:sz w:val="32"/>
          <w:szCs w:val="32"/>
          <w:lang w:eastAsia="zh-CN"/>
        </w:rPr>
        <w:t>道办事处及</w:t>
      </w:r>
      <w:r>
        <w:rPr>
          <w:rFonts w:hint="eastAsia" w:ascii="仿宋_GB2312" w:eastAsia="仿宋_GB2312"/>
          <w:sz w:val="32"/>
          <w:szCs w:val="32"/>
          <w:lang w:val="en-US" w:eastAsia="zh-CN"/>
        </w:rPr>
        <w:t>小谷围街</w:t>
      </w:r>
      <w:r>
        <w:rPr>
          <w:rFonts w:hint="eastAsia" w:ascii="仿宋_GB2312" w:eastAsia="仿宋_GB2312"/>
          <w:sz w:val="32"/>
          <w:szCs w:val="32"/>
          <w:lang w:eastAsia="zh-CN"/>
        </w:rPr>
        <w:t>社工服务站反馈初评意见，对评估结果、存在问题及改进建议等进行沟通确认。</w:t>
      </w:r>
    </w:p>
    <w:p w14:paraId="6E939BD3">
      <w:pPr>
        <w:pStyle w:val="13"/>
        <w:keepNext w:val="0"/>
        <w:keepLines w:val="0"/>
        <w:pageBreakBefore w:val="0"/>
        <w:widowControl w:val="0"/>
        <w:tabs>
          <w:tab w:val="left" w:pos="1006"/>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b/>
          <w:sz w:val="32"/>
          <w:szCs w:val="32"/>
        </w:rPr>
      </w:pPr>
      <w:bookmarkStart w:id="26" w:name="bookmark27"/>
      <w:bookmarkEnd w:id="26"/>
      <w:r>
        <w:rPr>
          <w:rFonts w:hint="eastAsia" w:ascii="仿宋_GB2312" w:eastAsia="仿宋_GB2312"/>
          <w:b/>
          <w:sz w:val="32"/>
          <w:szCs w:val="32"/>
          <w:lang w:val="en-US" w:eastAsia="zh-CN"/>
        </w:rPr>
        <w:t>5.</w:t>
      </w:r>
      <w:r>
        <w:rPr>
          <w:rFonts w:hint="eastAsia" w:ascii="仿宋_GB2312" w:eastAsia="仿宋_GB2312"/>
          <w:b/>
          <w:sz w:val="32"/>
          <w:szCs w:val="32"/>
        </w:rPr>
        <w:t>出具</w:t>
      </w:r>
      <w:r>
        <w:rPr>
          <w:rFonts w:hint="eastAsia" w:ascii="仿宋_GB2312" w:eastAsia="仿宋_GB2312"/>
          <w:b/>
          <w:sz w:val="32"/>
          <w:szCs w:val="32"/>
          <w:lang w:val="en-US" w:eastAsia="zh-CN"/>
        </w:rPr>
        <w:t>末期</w:t>
      </w:r>
      <w:r>
        <w:rPr>
          <w:rFonts w:hint="eastAsia" w:ascii="仿宋_GB2312" w:eastAsia="仿宋_GB2312"/>
          <w:b/>
          <w:sz w:val="32"/>
          <w:szCs w:val="32"/>
        </w:rPr>
        <w:t>评估报告</w:t>
      </w:r>
    </w:p>
    <w:p w14:paraId="16BB6916">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在评估工作结束后10个工作日内，向番禺区民政局、</w:t>
      </w:r>
      <w:r>
        <w:rPr>
          <w:rFonts w:hint="eastAsia" w:ascii="仿宋_GB2312" w:eastAsia="仿宋_GB2312"/>
          <w:sz w:val="32"/>
          <w:szCs w:val="32"/>
          <w:lang w:val="en-US" w:eastAsia="zh-CN"/>
        </w:rPr>
        <w:t>小谷围街</w:t>
      </w:r>
      <w:r>
        <w:rPr>
          <w:rFonts w:hint="eastAsia" w:ascii="仿宋_GB2312" w:eastAsia="仿宋_GB2312"/>
          <w:sz w:val="32"/>
          <w:szCs w:val="32"/>
          <w:lang w:eastAsia="zh-CN"/>
        </w:rPr>
        <w:t>道办事处及</w:t>
      </w:r>
      <w:r>
        <w:rPr>
          <w:rFonts w:hint="eastAsia" w:ascii="仿宋_GB2312" w:eastAsia="仿宋_GB2312"/>
          <w:sz w:val="32"/>
          <w:szCs w:val="32"/>
          <w:lang w:val="en-US" w:eastAsia="zh-CN"/>
        </w:rPr>
        <w:t>小谷围街</w:t>
      </w:r>
      <w:r>
        <w:rPr>
          <w:rFonts w:hint="eastAsia" w:ascii="仿宋_GB2312" w:eastAsia="仿宋_GB2312"/>
          <w:sz w:val="32"/>
          <w:szCs w:val="32"/>
          <w:lang w:eastAsia="zh-CN"/>
        </w:rPr>
        <w:t>社工服务站各出具一份评估报告，提出项目存在的问题及改进建议。</w:t>
      </w:r>
    </w:p>
    <w:p w14:paraId="4694087A">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6.公示评估报告及受理评估投诉</w:t>
      </w:r>
    </w:p>
    <w:p w14:paraId="2FEFA472">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ascii="仿宋_GB2312" w:eastAsia="仿宋_GB2312"/>
          <w:bCs/>
          <w:sz w:val="32"/>
          <w:szCs w:val="32"/>
          <w:lang w:val="en-US" w:eastAsia="zh-CN"/>
        </w:rPr>
      </w:pPr>
      <w:r>
        <w:rPr>
          <w:rFonts w:ascii="仿宋_GB2312" w:eastAsia="仿宋_GB2312"/>
          <w:bCs/>
          <w:sz w:val="32"/>
          <w:szCs w:val="32"/>
          <w:lang w:val="en-US" w:eastAsia="zh-CN"/>
        </w:rPr>
        <w:t>区民政局在收到评估报告后汇总社会救助等有关业务科室意见，于5个工作日内确认评估报告，确认后对</w:t>
      </w:r>
      <w:r>
        <w:rPr>
          <w:rFonts w:hint="eastAsia" w:ascii="仿宋_GB2312" w:eastAsia="仿宋_GB2312"/>
          <w:bCs/>
          <w:sz w:val="32"/>
          <w:szCs w:val="32"/>
          <w:lang w:val="en-US" w:eastAsia="zh-CN"/>
        </w:rPr>
        <w:t>小谷围街</w:t>
      </w:r>
      <w:r>
        <w:rPr>
          <w:rFonts w:ascii="仿宋_GB2312" w:eastAsia="仿宋_GB2312"/>
          <w:bCs/>
          <w:sz w:val="32"/>
          <w:szCs w:val="32"/>
          <w:lang w:val="en-US" w:eastAsia="zh-CN"/>
        </w:rPr>
        <w:t>社工站项目的评估报告进行公示，公示期不少于7个工作日。公示期间，如收到对评估报告的质疑或投诉，区民政局及时对评估结果进行复核，并确定最终评估结果，同时将有关处理情况报市民政部门。</w:t>
      </w:r>
    </w:p>
    <w:bookmarkEnd w:id="24"/>
    <w:p w14:paraId="23317573">
      <w:pPr>
        <w:pStyle w:val="13"/>
        <w:keepNext w:val="0"/>
        <w:keepLines w:val="0"/>
        <w:pageBreakBefore w:val="0"/>
        <w:widowControl w:val="0"/>
        <w:kinsoku/>
        <w:wordWrap/>
        <w:overflowPunct/>
        <w:topLinePunct w:val="0"/>
        <w:autoSpaceDE/>
        <w:autoSpaceDN/>
        <w:bidi w:val="0"/>
        <w:adjustRightInd/>
        <w:snapToGrid/>
        <w:spacing w:after="0" w:line="520" w:lineRule="exact"/>
        <w:ind w:left="480" w:leftChars="200" w:firstLine="0"/>
        <w:jc w:val="both"/>
        <w:textAlignment w:val="auto"/>
        <w:rPr>
          <w:rFonts w:ascii="仿宋_GB2312" w:eastAsia="仿宋_GB2312"/>
          <w:b/>
          <w:color w:val="auto"/>
          <w:sz w:val="32"/>
          <w:szCs w:val="32"/>
        </w:rPr>
      </w:pPr>
      <w:r>
        <w:rPr>
          <w:rFonts w:hint="eastAsia" w:ascii="仿宋_GB2312" w:eastAsia="仿宋_GB2312"/>
          <w:b/>
          <w:color w:val="auto"/>
          <w:sz w:val="32"/>
          <w:szCs w:val="32"/>
          <w:lang w:eastAsia="zh-CN"/>
        </w:rPr>
        <w:t>（四）</w:t>
      </w:r>
      <w:r>
        <w:rPr>
          <w:rFonts w:hint="eastAsia" w:ascii="仿宋_GB2312" w:eastAsia="仿宋_GB2312"/>
          <w:b/>
          <w:color w:val="auto"/>
          <w:sz w:val="32"/>
          <w:szCs w:val="32"/>
        </w:rPr>
        <w:t>评估内容</w:t>
      </w:r>
    </w:p>
    <w:p w14:paraId="6F927C11">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color w:val="auto"/>
          <w:sz w:val="32"/>
          <w:szCs w:val="32"/>
        </w:rPr>
      </w:pPr>
      <w:r>
        <w:rPr>
          <w:rFonts w:hint="eastAsia" w:ascii="仿宋_GB2312" w:hAnsi="Times New Roman" w:eastAsia="仿宋_GB2312" w:cs="Times New Roman"/>
          <w:b/>
          <w:color w:val="auto"/>
          <w:sz w:val="32"/>
          <w:szCs w:val="32"/>
          <w:lang w:val="en-US" w:eastAsia="zh-CN" w:bidi="en-US"/>
        </w:rPr>
        <w:t>1.</w:t>
      </w:r>
      <w:r>
        <w:rPr>
          <w:rFonts w:hint="eastAsia" w:ascii="仿宋_GB2312" w:eastAsia="仿宋_GB2312"/>
          <w:b/>
          <w:color w:val="auto"/>
          <w:sz w:val="32"/>
          <w:szCs w:val="32"/>
        </w:rPr>
        <w:t>运营管理情况评估</w:t>
      </w:r>
      <w:r>
        <w:rPr>
          <w:rFonts w:hint="eastAsia" w:ascii="仿宋_GB2312" w:eastAsia="仿宋_GB2312"/>
          <w:b/>
          <w:color w:val="auto"/>
          <w:sz w:val="32"/>
          <w:szCs w:val="32"/>
          <w:lang w:eastAsia="zh-CN"/>
        </w:rPr>
        <w:t>：</w:t>
      </w:r>
      <w:r>
        <w:rPr>
          <w:rFonts w:hint="eastAsia" w:ascii="仿宋_GB2312" w:eastAsia="仿宋_GB2312"/>
          <w:color w:val="auto"/>
          <w:sz w:val="32"/>
          <w:szCs w:val="32"/>
        </w:rPr>
        <w:t>主要从社工站人员管理、行政管理、项目宣传等方面进行评估。</w:t>
      </w:r>
    </w:p>
    <w:p w14:paraId="4BE4CCA7">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hAnsi="仿宋_GB2312" w:eastAsia="仿宋_GB2312" w:cs="仿宋_GB2312"/>
          <w:color w:val="auto"/>
          <w:sz w:val="32"/>
          <w:szCs w:val="32"/>
          <w:lang w:eastAsia="zh-CN"/>
        </w:rPr>
      </w:pPr>
      <w:r>
        <w:rPr>
          <w:rFonts w:hint="eastAsia" w:ascii="仿宋_GB2312" w:eastAsia="仿宋_GB2312"/>
          <w:b/>
          <w:color w:val="auto"/>
          <w:sz w:val="32"/>
          <w:szCs w:val="32"/>
          <w:lang w:val="en-US"/>
        </w:rPr>
        <w:t>2.</w:t>
      </w:r>
      <w:r>
        <w:rPr>
          <w:rFonts w:hint="eastAsia" w:ascii="仿宋_GB2312" w:eastAsia="仿宋_GB2312"/>
          <w:b/>
          <w:color w:val="auto"/>
          <w:sz w:val="32"/>
          <w:szCs w:val="32"/>
        </w:rPr>
        <w:t>项目服务评估</w:t>
      </w:r>
      <w:bookmarkStart w:id="27" w:name="bookmark29"/>
      <w:bookmarkEnd w:id="27"/>
      <w:r>
        <w:rPr>
          <w:rFonts w:hint="eastAsia" w:ascii="仿宋_GB2312" w:eastAsia="仿宋_GB2312"/>
          <w:b/>
          <w:color w:val="auto"/>
          <w:sz w:val="32"/>
          <w:szCs w:val="32"/>
          <w:lang w:eastAsia="zh-CN"/>
        </w:rPr>
        <w:t>：</w:t>
      </w:r>
      <w:r>
        <w:rPr>
          <w:rFonts w:ascii="仿宋_GB2312" w:hAnsi="仿宋_GB2312" w:eastAsia="仿宋_GB2312" w:cs="仿宋_GB2312"/>
          <w:color w:val="auto"/>
          <w:sz w:val="32"/>
          <w:szCs w:val="32"/>
          <w:lang w:eastAsia="zh-CN"/>
        </w:rPr>
        <w:t>根据《广州市社工站</w:t>
      </w:r>
      <w:r>
        <w:rPr>
          <w:rFonts w:hint="eastAsia" w:ascii="仿宋_GB2312" w:hAnsi="仿宋_GB2312" w:eastAsia="仿宋_GB2312" w:cs="仿宋_GB2312"/>
          <w:color w:val="auto"/>
          <w:sz w:val="32"/>
          <w:szCs w:val="32"/>
          <w:lang w:eastAsia="zh-CN"/>
        </w:rPr>
        <w:t>购买</w:t>
      </w:r>
      <w:r>
        <w:rPr>
          <w:rFonts w:ascii="仿宋_GB2312" w:hAnsi="仿宋_GB2312" w:eastAsia="仿宋_GB2312" w:cs="仿宋_GB2312"/>
          <w:color w:val="auto"/>
          <w:sz w:val="32"/>
          <w:szCs w:val="32"/>
          <w:lang w:eastAsia="zh-CN"/>
        </w:rPr>
        <w:t>服务项目评估指标体系》，结合社工站与</w:t>
      </w:r>
      <w:r>
        <w:rPr>
          <w:rFonts w:hint="eastAsia" w:ascii="仿宋_GB2312" w:hAnsi="仿宋_GB2312" w:eastAsia="仿宋_GB2312" w:cs="仿宋_GB2312"/>
          <w:color w:val="auto"/>
          <w:sz w:val="32"/>
          <w:szCs w:val="32"/>
          <w:lang w:eastAsia="zh-CN"/>
        </w:rPr>
        <w:t>镇街</w:t>
      </w:r>
      <w:r>
        <w:rPr>
          <w:rFonts w:ascii="仿宋_GB2312" w:hAnsi="仿宋_GB2312" w:eastAsia="仿宋_GB2312" w:cs="仿宋_GB2312"/>
          <w:color w:val="auto"/>
          <w:sz w:val="32"/>
          <w:szCs w:val="32"/>
          <w:lang w:eastAsia="zh-CN"/>
        </w:rPr>
        <w:t>签订的三方协议规定开展的服务内容开展评估工作，主要从</w:t>
      </w:r>
      <w:r>
        <w:rPr>
          <w:rFonts w:hint="eastAsia" w:ascii="仿宋_GB2312" w:hAnsi="仿宋_GB2312" w:eastAsia="仿宋_GB2312" w:cs="仿宋_GB2312"/>
          <w:color w:val="auto"/>
          <w:sz w:val="32"/>
          <w:szCs w:val="32"/>
          <w:lang w:eastAsia="zh-CN"/>
        </w:rPr>
        <w:t>需求</w:t>
      </w:r>
      <w:r>
        <w:rPr>
          <w:rFonts w:ascii="仿宋_GB2312" w:hAnsi="仿宋_GB2312" w:eastAsia="仿宋_GB2312" w:cs="仿宋_GB2312"/>
          <w:color w:val="auto"/>
          <w:sz w:val="32"/>
          <w:szCs w:val="32"/>
          <w:lang w:eastAsia="zh-CN"/>
        </w:rPr>
        <w:t>评估</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服务设计</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服务执行</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服务成效等方面进行评估。</w:t>
      </w:r>
    </w:p>
    <w:p w14:paraId="328CAC57">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color w:val="auto"/>
          <w:sz w:val="32"/>
          <w:szCs w:val="32"/>
        </w:rPr>
      </w:pPr>
      <w:r>
        <w:rPr>
          <w:rFonts w:hint="eastAsia" w:ascii="仿宋_GB2312" w:eastAsia="仿宋_GB2312"/>
          <w:b/>
          <w:color w:val="auto"/>
          <w:sz w:val="32"/>
          <w:szCs w:val="32"/>
          <w:lang w:val="en-US"/>
        </w:rPr>
        <w:t>3.</w:t>
      </w:r>
      <w:r>
        <w:rPr>
          <w:rFonts w:hint="eastAsia" w:ascii="仿宋_GB2312" w:eastAsia="仿宋_GB2312"/>
          <w:b/>
          <w:color w:val="auto"/>
          <w:sz w:val="32"/>
          <w:szCs w:val="32"/>
        </w:rPr>
        <w:t>利益相关方满意度及知晓度访谈：</w:t>
      </w:r>
      <w:r>
        <w:rPr>
          <w:rFonts w:hint="eastAsia" w:ascii="仿宋_GB2312" w:eastAsia="仿宋_GB2312"/>
          <w:color w:val="auto"/>
          <w:sz w:val="32"/>
          <w:szCs w:val="32"/>
        </w:rPr>
        <w:t>服务对象满意度主要由评估机构统筹实施，通过电访、走访、调查问卷等方式进行，随机抽取不少于100名服务对象开展满意度调查（困难群众和特殊群体总人数低于100的，按照实际人数开展全覆盖满意度调查）。</w:t>
      </w:r>
    </w:p>
    <w:p w14:paraId="020A4D10">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hAnsi="仿宋_GB2312" w:eastAsia="PMingLiU" w:cs="仿宋_GB2312"/>
          <w:b/>
          <w:color w:val="auto"/>
          <w:sz w:val="32"/>
          <w:szCs w:val="32"/>
        </w:rPr>
      </w:pPr>
      <w:r>
        <w:rPr>
          <w:rFonts w:hint="eastAsia" w:ascii="仿宋_GB2312" w:hAnsi="仿宋_GB2312" w:eastAsia="仿宋_GB2312" w:cs="仿宋_GB2312"/>
          <w:b/>
          <w:color w:val="auto"/>
          <w:sz w:val="32"/>
          <w:szCs w:val="32"/>
        </w:rPr>
        <w:t>4</w:t>
      </w:r>
      <w:r>
        <w:rPr>
          <w:rFonts w:ascii="仿宋_GB2312" w:hAnsi="仿宋_GB2312" w:eastAsia="仿宋_GB2312" w:cs="仿宋_GB2312"/>
          <w:b/>
          <w:color w:val="auto"/>
          <w:sz w:val="32"/>
          <w:szCs w:val="32"/>
        </w:rPr>
        <w:t>.收集整理相关方反馈</w:t>
      </w:r>
    </w:p>
    <w:p w14:paraId="4BBDA392">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rPr>
      </w:pPr>
      <w:r>
        <w:rPr>
          <w:rFonts w:hint="eastAsia" w:ascii="仿宋_GB2312" w:hAnsi="仿宋_GB2312" w:eastAsia="仿宋_GB2312" w:cs="仿宋_GB2312"/>
          <w:color w:val="auto"/>
          <w:sz w:val="32"/>
          <w:szCs w:val="32"/>
        </w:rPr>
        <w:t>收集整理相关方意见反馈</w:t>
      </w:r>
      <w:r>
        <w:rPr>
          <w:rFonts w:hint="eastAsia" w:ascii="仿宋_GB2312" w:hAnsi="仿宋_GB2312" w:eastAsia="仿宋_GB2312" w:cs="仿宋_GB2312"/>
          <w:color w:val="auto"/>
          <w:sz w:val="32"/>
          <w:szCs w:val="32"/>
          <w:lang w:eastAsia="zh-CN"/>
        </w:rPr>
        <w:t>，包括</w:t>
      </w:r>
      <w:r>
        <w:rPr>
          <w:rFonts w:hint="eastAsia" w:ascii="仿宋_GB2312" w:hAnsi="仿宋_GB2312" w:eastAsia="仿宋_GB2312" w:cs="仿宋_GB2312"/>
          <w:color w:val="auto"/>
          <w:sz w:val="32"/>
          <w:szCs w:val="32"/>
        </w:rPr>
        <w:t>街道购买方</w:t>
      </w:r>
      <w:r>
        <w:rPr>
          <w:rFonts w:hint="eastAsia" w:ascii="仿宋_GB2312" w:hAnsi="仿宋_GB2312" w:eastAsia="仿宋_GB2312" w:cs="仿宋_GB2312"/>
          <w:color w:val="auto"/>
          <w:sz w:val="32"/>
          <w:szCs w:val="32"/>
          <w:lang w:eastAsia="zh-CN"/>
        </w:rPr>
        <w:t>对社工站项目作用发挥情况的综合评价</w:t>
      </w:r>
      <w:r>
        <w:rPr>
          <w:rFonts w:hint="eastAsia" w:ascii="仿宋_GB2312" w:hAnsi="仿宋_GB2312" w:eastAsia="仿宋_GB2312" w:cs="仿宋_GB2312"/>
          <w:color w:val="auto"/>
          <w:sz w:val="32"/>
          <w:szCs w:val="32"/>
        </w:rPr>
        <w:t>，监督方番禺区民政局</w:t>
      </w:r>
      <w:r>
        <w:rPr>
          <w:rFonts w:hint="eastAsia" w:ascii="仿宋_GB2312" w:hAnsi="仿宋_GB2312" w:eastAsia="仿宋_GB2312" w:cs="仿宋_GB2312"/>
          <w:color w:val="auto"/>
          <w:sz w:val="32"/>
          <w:szCs w:val="32"/>
          <w:lang w:eastAsia="zh-CN"/>
        </w:rPr>
        <w:t>对社工站项目的自查自纠检查情况、督查整改落实情况的综合评价，以及</w:t>
      </w:r>
      <w:r>
        <w:rPr>
          <w:rFonts w:hint="eastAsia" w:ascii="仿宋_GB2312" w:hAnsi="仿宋_GB2312" w:eastAsia="仿宋_GB2312" w:cs="仿宋_GB2312"/>
          <w:color w:val="auto"/>
          <w:sz w:val="32"/>
          <w:szCs w:val="32"/>
        </w:rPr>
        <w:t>督导中心</w:t>
      </w:r>
      <w:r>
        <w:rPr>
          <w:rFonts w:hint="eastAsia" w:ascii="仿宋_GB2312" w:hAnsi="仿宋_GB2312" w:eastAsia="仿宋_GB2312" w:cs="仿宋_GB2312"/>
          <w:color w:val="auto"/>
          <w:sz w:val="32"/>
          <w:szCs w:val="32"/>
          <w:lang w:eastAsia="zh-CN"/>
        </w:rPr>
        <w:t>对服务质量保障方面情况的综合评价。</w:t>
      </w:r>
    </w:p>
    <w:p w14:paraId="69E3E9CF">
      <w:pPr>
        <w:pStyle w:val="13"/>
        <w:keepNext w:val="0"/>
        <w:keepLines w:val="0"/>
        <w:pageBreakBefore w:val="0"/>
        <w:widowControl w:val="0"/>
        <w:kinsoku/>
        <w:wordWrap/>
        <w:overflowPunct/>
        <w:topLinePunct w:val="0"/>
        <w:autoSpaceDE/>
        <w:autoSpaceDN/>
        <w:bidi w:val="0"/>
        <w:adjustRightInd/>
        <w:snapToGrid/>
        <w:spacing w:after="0" w:line="520" w:lineRule="exact"/>
        <w:ind w:left="480" w:leftChars="200" w:firstLine="0"/>
        <w:jc w:val="both"/>
        <w:textAlignment w:val="auto"/>
        <w:rPr>
          <w:rFonts w:ascii="仿宋_GB2312" w:eastAsia="仿宋_GB2312"/>
          <w:b/>
          <w:sz w:val="32"/>
          <w:szCs w:val="32"/>
        </w:rPr>
      </w:pPr>
      <w:r>
        <w:rPr>
          <w:rFonts w:hint="eastAsia" w:ascii="仿宋_GB2312" w:eastAsia="仿宋_GB2312"/>
          <w:b/>
          <w:sz w:val="32"/>
          <w:szCs w:val="32"/>
          <w:lang w:eastAsia="zh-CN"/>
        </w:rPr>
        <w:t>（五）</w:t>
      </w:r>
      <w:r>
        <w:rPr>
          <w:rFonts w:hint="eastAsia" w:ascii="仿宋_GB2312" w:eastAsia="仿宋_GB2312"/>
          <w:b/>
          <w:sz w:val="32"/>
          <w:szCs w:val="32"/>
        </w:rPr>
        <w:t>评估结果说明</w:t>
      </w:r>
    </w:p>
    <w:p w14:paraId="3D817CA2">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社工站项目评估分值由四方评估分数的总和确定。其中，第三方评估机构评估分值占比55％、督导中心评估分值占比15％、镇人民政府（街道办事处）评估分值占比20％、区民政部门评估分值占比10％。评估等级分为优秀、良好、合格、不合格四个等级，90分以上为优秀，80分至90分（不含90分）为良好</w:t>
      </w:r>
      <w:r>
        <w:rPr>
          <w:rFonts w:hint="eastAsia" w:ascii="仿宋_GB2312" w:eastAsia="仿宋_GB2312"/>
          <w:sz w:val="32"/>
          <w:szCs w:val="32"/>
          <w:lang w:eastAsia="zh-CN"/>
        </w:rPr>
        <w:t>，</w:t>
      </w:r>
      <w:r>
        <w:rPr>
          <w:rFonts w:hint="eastAsia" w:ascii="仿宋_GB2312" w:eastAsia="仿宋_GB2312"/>
          <w:sz w:val="32"/>
          <w:szCs w:val="32"/>
        </w:rPr>
        <w:t xml:space="preserve"> 60分至80分（不含80分）为合格，60分以下（不含60分）为不合格。评估中若发现有下列情形之一的，评估结果</w:t>
      </w:r>
      <w:r>
        <w:rPr>
          <w:rFonts w:hint="eastAsia" w:ascii="仿宋_GB2312" w:eastAsia="仿宋_GB2312"/>
          <w:sz w:val="32"/>
          <w:szCs w:val="32"/>
          <w:lang w:eastAsia="zh-CN"/>
        </w:rPr>
        <w:t>也确</w:t>
      </w:r>
      <w:r>
        <w:rPr>
          <w:rFonts w:hint="eastAsia" w:ascii="仿宋_GB2312" w:eastAsia="仿宋_GB2312"/>
          <w:sz w:val="32"/>
          <w:szCs w:val="32"/>
        </w:rPr>
        <w:t>定为不合格：</w:t>
      </w:r>
    </w:p>
    <w:p w14:paraId="64E719F2">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一</w:t>
      </w:r>
      <w:r>
        <w:rPr>
          <w:rFonts w:hint="eastAsia" w:ascii="仿宋_GB2312" w:eastAsia="仿宋_GB2312"/>
          <w:sz w:val="32"/>
          <w:szCs w:val="32"/>
          <w:lang w:eastAsia="zh-CN"/>
        </w:rPr>
        <w:t>）</w:t>
      </w:r>
      <w:r>
        <w:rPr>
          <w:rFonts w:hint="eastAsia" w:ascii="仿宋_GB2312" w:eastAsia="仿宋_GB2312"/>
          <w:sz w:val="32"/>
          <w:szCs w:val="32"/>
        </w:rPr>
        <w:t>保洁</w:t>
      </w:r>
      <w:r>
        <w:rPr>
          <w:rFonts w:hint="eastAsia" w:ascii="仿宋_GB2312" w:eastAsia="仿宋_GB2312"/>
          <w:sz w:val="32"/>
          <w:szCs w:val="32"/>
          <w:lang w:eastAsia="zh-CN"/>
        </w:rPr>
        <w:t>、</w:t>
      </w:r>
      <w:r>
        <w:rPr>
          <w:rFonts w:hint="eastAsia" w:ascii="仿宋_GB2312" w:eastAsia="仿宋_GB2312"/>
          <w:sz w:val="32"/>
          <w:szCs w:val="32"/>
        </w:rPr>
        <w:t>安保等人员占用社工名额的；</w:t>
      </w:r>
    </w:p>
    <w:p w14:paraId="7C2CEBAE">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二</w:t>
      </w:r>
      <w:r>
        <w:rPr>
          <w:rFonts w:hint="eastAsia" w:ascii="仿宋_GB2312" w:eastAsia="仿宋_GB2312"/>
          <w:sz w:val="32"/>
          <w:szCs w:val="32"/>
          <w:lang w:eastAsia="zh-CN"/>
        </w:rPr>
        <w:t>）</w:t>
      </w:r>
      <w:r>
        <w:rPr>
          <w:rFonts w:hint="eastAsia" w:ascii="仿宋_GB2312" w:eastAsia="仿宋_GB2312"/>
          <w:sz w:val="32"/>
          <w:szCs w:val="32"/>
        </w:rPr>
        <w:t>社工人员配备不足的，其中中期评估累计缺少5人次或以上，末期评估累计缺少10人次或以上；</w:t>
      </w:r>
    </w:p>
    <w:p w14:paraId="687020B5">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三</w:t>
      </w:r>
      <w:r>
        <w:rPr>
          <w:rFonts w:hint="eastAsia" w:ascii="仿宋_GB2312" w:eastAsia="仿宋_GB2312"/>
          <w:sz w:val="32"/>
          <w:szCs w:val="32"/>
          <w:lang w:eastAsia="zh-CN"/>
        </w:rPr>
        <w:t>）</w:t>
      </w:r>
      <w:r>
        <w:rPr>
          <w:rFonts w:hint="eastAsia" w:ascii="仿宋_GB2312" w:eastAsia="仿宋_GB2312"/>
          <w:sz w:val="32"/>
          <w:szCs w:val="32"/>
        </w:rPr>
        <w:t>持证社工比例不达标的，其中中期评估累计缺少3人次或以上，末期评估累计缺少6人次或以上；</w:t>
      </w:r>
    </w:p>
    <w:p w14:paraId="0993DDF4">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四</w:t>
      </w:r>
      <w:r>
        <w:rPr>
          <w:rFonts w:hint="eastAsia" w:ascii="仿宋_GB2312" w:eastAsia="仿宋_GB2312"/>
          <w:sz w:val="32"/>
          <w:szCs w:val="32"/>
          <w:lang w:eastAsia="zh-CN"/>
        </w:rPr>
        <w:t>）</w:t>
      </w:r>
      <w:r>
        <w:rPr>
          <w:rFonts w:hint="eastAsia" w:ascii="仿宋_GB2312" w:eastAsia="仿宋_GB2312"/>
          <w:sz w:val="32"/>
          <w:szCs w:val="32"/>
        </w:rPr>
        <w:t>年度服务期内人员费用支出比例低于80%的；</w:t>
      </w:r>
    </w:p>
    <w:p w14:paraId="5300C6EB">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五</w:t>
      </w:r>
      <w:r>
        <w:rPr>
          <w:rFonts w:hint="eastAsia" w:ascii="仿宋_GB2312" w:eastAsia="仿宋_GB2312"/>
          <w:sz w:val="32"/>
          <w:szCs w:val="32"/>
          <w:lang w:eastAsia="zh-CN"/>
        </w:rPr>
        <w:t>）</w:t>
      </w:r>
      <w:r>
        <w:rPr>
          <w:rFonts w:hint="eastAsia" w:ascii="仿宋_GB2312" w:eastAsia="仿宋_GB2312"/>
          <w:sz w:val="32"/>
          <w:szCs w:val="32"/>
        </w:rPr>
        <w:t>限期内整改不及时、不到位的；</w:t>
      </w:r>
    </w:p>
    <w:p w14:paraId="100ACEBB">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六</w:t>
      </w:r>
      <w:r>
        <w:rPr>
          <w:rFonts w:hint="eastAsia" w:ascii="仿宋_GB2312" w:eastAsia="仿宋_GB2312"/>
          <w:sz w:val="32"/>
          <w:szCs w:val="32"/>
          <w:lang w:eastAsia="zh-CN"/>
        </w:rPr>
        <w:t>）</w:t>
      </w:r>
      <w:r>
        <w:rPr>
          <w:rFonts w:hint="eastAsia" w:ascii="仿宋_GB2312" w:eastAsia="仿宋_GB2312"/>
          <w:sz w:val="32"/>
          <w:szCs w:val="32"/>
        </w:rPr>
        <w:t>专业评估结果为不合格的；</w:t>
      </w:r>
    </w:p>
    <w:p w14:paraId="65E574F1">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七</w:t>
      </w:r>
      <w:r>
        <w:rPr>
          <w:rFonts w:hint="eastAsia" w:ascii="仿宋_GB2312" w:eastAsia="仿宋_GB2312"/>
          <w:sz w:val="32"/>
          <w:szCs w:val="32"/>
          <w:lang w:eastAsia="zh-CN"/>
        </w:rPr>
        <w:t>）</w:t>
      </w:r>
      <w:r>
        <w:rPr>
          <w:rFonts w:hint="eastAsia" w:ascii="仿宋_GB2312" w:eastAsia="仿宋_GB2312"/>
          <w:sz w:val="32"/>
          <w:szCs w:val="32"/>
        </w:rPr>
        <w:t>财务评估结果为不合格的；</w:t>
      </w:r>
    </w:p>
    <w:p w14:paraId="7AD3F6D3">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ascii="仿宋" w:hAnsi="仿宋" w:eastAsia="仿宋"/>
          <w:sz w:val="32"/>
          <w:szCs w:val="32"/>
        </w:rPr>
      </w:pPr>
      <w:r>
        <w:rPr>
          <w:rFonts w:hint="eastAsia" w:ascii="仿宋_GB2312" w:eastAsia="仿宋_GB2312"/>
          <w:sz w:val="32"/>
          <w:szCs w:val="32"/>
          <w:lang w:eastAsia="zh-CN"/>
        </w:rPr>
        <w:t>（</w:t>
      </w:r>
      <w:r>
        <w:rPr>
          <w:rFonts w:hint="eastAsia" w:ascii="仿宋_GB2312" w:eastAsia="仿宋_GB2312"/>
          <w:sz w:val="32"/>
          <w:szCs w:val="32"/>
        </w:rPr>
        <w:t>八</w:t>
      </w:r>
      <w:r>
        <w:rPr>
          <w:rFonts w:hint="eastAsia" w:ascii="仿宋_GB2312" w:eastAsia="仿宋_GB2312"/>
          <w:sz w:val="32"/>
          <w:szCs w:val="32"/>
          <w:lang w:eastAsia="zh-CN"/>
        </w:rPr>
        <w:t>）</w:t>
      </w:r>
      <w:r>
        <w:rPr>
          <w:rFonts w:hint="eastAsia" w:ascii="仿宋_GB2312" w:eastAsia="仿宋_GB2312"/>
          <w:sz w:val="32"/>
          <w:szCs w:val="32"/>
        </w:rPr>
        <w:t>违反国家法律法规及有关规定的其他情形，情节严重的。</w:t>
      </w:r>
    </w:p>
    <w:p w14:paraId="1D582573">
      <w:pPr>
        <w:pStyle w:val="11"/>
        <w:keepNext/>
        <w:keepLines/>
        <w:pageBreakBefore w:val="0"/>
        <w:widowControl w:val="0"/>
        <w:kinsoku/>
        <w:wordWrap/>
        <w:overflowPunct/>
        <w:topLinePunct w:val="0"/>
        <w:autoSpaceDE/>
        <w:autoSpaceDN/>
        <w:bidi w:val="0"/>
        <w:adjustRightInd/>
        <w:snapToGrid/>
        <w:spacing w:before="0" w:after="0" w:line="52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二、评估总结</w:t>
      </w:r>
    </w:p>
    <w:p w14:paraId="59B1BAAC">
      <w:pPr>
        <w:pStyle w:val="13"/>
        <w:pageBreakBefore w:val="0"/>
        <w:widowControl w:val="0"/>
        <w:kinsoku/>
        <w:wordWrap/>
        <w:overflowPunct/>
        <w:topLinePunct w:val="0"/>
        <w:autoSpaceDE/>
        <w:autoSpaceDN/>
        <w:bidi w:val="0"/>
        <w:adjustRightInd/>
        <w:snapToGrid/>
        <w:spacing w:after="0" w:line="520" w:lineRule="exact"/>
        <w:ind w:firstLine="743"/>
        <w:jc w:val="both"/>
        <w:textAlignment w:val="auto"/>
        <w:rPr>
          <w:rFonts w:ascii="仿宋_GB2312" w:eastAsia="仿宋_GB2312"/>
          <w:b/>
          <w:color w:val="auto"/>
          <w:sz w:val="32"/>
          <w:szCs w:val="32"/>
        </w:rPr>
      </w:pPr>
      <w:r>
        <w:rPr>
          <w:rFonts w:hint="eastAsia" w:ascii="仿宋_GB2312" w:eastAsia="仿宋_GB2312"/>
          <w:b/>
          <w:color w:val="auto"/>
          <w:sz w:val="32"/>
          <w:szCs w:val="32"/>
        </w:rPr>
        <w:t>（―）社工站基本情况</w:t>
      </w:r>
    </w:p>
    <w:p w14:paraId="5D506787">
      <w:pPr>
        <w:pStyle w:val="13"/>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highlight w:val="yellow"/>
          <w:lang w:eastAsia="zh-CN"/>
        </w:rPr>
      </w:pPr>
      <w:r>
        <w:rPr>
          <w:rFonts w:hint="eastAsia" w:ascii="仿宋_GB2312" w:eastAsia="仿宋_GB2312"/>
          <w:color w:val="auto"/>
          <w:sz w:val="32"/>
          <w:szCs w:val="32"/>
          <w:lang w:eastAsia="zh-CN"/>
        </w:rPr>
        <w:t>小谷围街</w:t>
      </w:r>
      <w:r>
        <w:rPr>
          <w:rFonts w:hint="eastAsia" w:ascii="仿宋_GB2312" w:eastAsia="仿宋_GB2312"/>
          <w:color w:val="auto"/>
          <w:sz w:val="32"/>
          <w:szCs w:val="32"/>
        </w:rPr>
        <w:t>社工</w:t>
      </w:r>
      <w:r>
        <w:rPr>
          <w:rFonts w:hint="eastAsia" w:ascii="仿宋_GB2312" w:eastAsia="仿宋_GB2312"/>
          <w:color w:val="auto"/>
          <w:sz w:val="32"/>
          <w:szCs w:val="32"/>
          <w:lang w:eastAsia="zh-CN"/>
        </w:rPr>
        <w:t>服务</w:t>
      </w:r>
      <w:r>
        <w:rPr>
          <w:rFonts w:hint="eastAsia" w:ascii="仿宋_GB2312" w:eastAsia="仿宋_GB2312"/>
          <w:color w:val="auto"/>
          <w:sz w:val="32"/>
          <w:szCs w:val="32"/>
        </w:rPr>
        <w:t>站位于</w:t>
      </w:r>
      <w:r>
        <w:rPr>
          <w:rFonts w:hint="eastAsia" w:ascii="仿宋_GB2312" w:eastAsia="仿宋_GB2312"/>
          <w:color w:val="auto"/>
          <w:sz w:val="32"/>
          <w:szCs w:val="32"/>
          <w:lang w:val="en-US" w:eastAsia="zh-CN"/>
        </w:rPr>
        <w:t>番禺区大学城华工南路星汇文华5幢1楼。</w:t>
      </w:r>
      <w:r>
        <w:rPr>
          <w:rFonts w:hint="eastAsia" w:ascii="仿宋_GB2312" w:eastAsia="仿宋_GB2312"/>
          <w:color w:val="auto"/>
          <w:sz w:val="32"/>
          <w:szCs w:val="32"/>
          <w:lang w:eastAsia="zh-CN"/>
        </w:rPr>
        <w:t>小谷围街社工服务站成立于201</w:t>
      </w:r>
      <w:r>
        <w:rPr>
          <w:rFonts w:hint="eastAsia" w:ascii="仿宋_GB2312" w:eastAsia="仿宋_GB2312"/>
          <w:color w:val="auto"/>
          <w:sz w:val="32"/>
          <w:szCs w:val="32"/>
          <w:lang w:val="en-US" w:eastAsia="zh-CN"/>
        </w:rPr>
        <w:t>2</w:t>
      </w:r>
      <w:r>
        <w:rPr>
          <w:rFonts w:hint="eastAsia" w:ascii="仿宋_GB2312" w:eastAsia="仿宋_GB2312"/>
          <w:color w:val="auto"/>
          <w:sz w:val="32"/>
          <w:szCs w:val="32"/>
          <w:lang w:eastAsia="zh-CN"/>
        </w:rPr>
        <w:t>年</w:t>
      </w:r>
      <w:r>
        <w:rPr>
          <w:rFonts w:hint="eastAsia" w:ascii="仿宋_GB2312" w:eastAsia="仿宋_GB2312"/>
          <w:color w:val="auto"/>
          <w:sz w:val="32"/>
          <w:szCs w:val="32"/>
          <w:lang w:val="en-US" w:eastAsia="zh-CN"/>
        </w:rPr>
        <w:t>6</w:t>
      </w:r>
      <w:r>
        <w:rPr>
          <w:rFonts w:hint="eastAsia" w:ascii="仿宋_GB2312" w:eastAsia="仿宋_GB2312"/>
          <w:color w:val="auto"/>
          <w:sz w:val="32"/>
          <w:szCs w:val="32"/>
          <w:lang w:eastAsia="zh-CN"/>
        </w:rPr>
        <w:t>月，从2019年11月起至今，由广州市番禺区正阳社会工作服务中心承接运营。</w:t>
      </w:r>
    </w:p>
    <w:p w14:paraId="51C8654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rPr>
      </w:pPr>
      <w:r>
        <w:rPr>
          <w:rFonts w:hint="eastAsia" w:ascii="仿宋_GB2312" w:hAnsi="宋体" w:eastAsia="仿宋_GB2312" w:cs="宋体"/>
          <w:sz w:val="32"/>
          <w:szCs w:val="32"/>
          <w:lang w:eastAsia="zh-CN"/>
        </w:rPr>
        <w:t>截至202</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lang w:eastAsia="zh-CN"/>
        </w:rPr>
        <w:t>年</w:t>
      </w:r>
      <w:r>
        <w:rPr>
          <w:rFonts w:hint="eastAsia" w:ascii="仿宋_GB2312" w:eastAsia="仿宋_GB2312" w:cs="宋体"/>
          <w:sz w:val="32"/>
          <w:szCs w:val="32"/>
          <w:lang w:val="en-US" w:eastAsia="zh-CN"/>
        </w:rPr>
        <w:t>7</w:t>
      </w:r>
      <w:r>
        <w:rPr>
          <w:rFonts w:hint="eastAsia" w:ascii="仿宋_GB2312" w:hAnsi="宋体" w:eastAsia="仿宋_GB2312" w:cs="宋体"/>
          <w:sz w:val="32"/>
          <w:szCs w:val="32"/>
          <w:lang w:eastAsia="zh-CN"/>
        </w:rPr>
        <w:t>月3</w:t>
      </w:r>
      <w:r>
        <w:rPr>
          <w:rFonts w:hint="eastAsia" w:ascii="仿宋_GB2312" w:hAnsi="宋体" w:eastAsia="仿宋_GB2312" w:cs="宋体"/>
          <w:sz w:val="32"/>
          <w:szCs w:val="32"/>
          <w:lang w:val="en-US" w:eastAsia="zh-CN"/>
        </w:rPr>
        <w:t>1</w:t>
      </w:r>
      <w:r>
        <w:rPr>
          <w:rFonts w:hint="eastAsia" w:ascii="仿宋_GB2312" w:hAnsi="宋体" w:eastAsia="仿宋_GB2312" w:cs="宋体"/>
          <w:sz w:val="32"/>
          <w:szCs w:val="32"/>
          <w:lang w:eastAsia="zh-CN"/>
        </w:rPr>
        <w:t>日，社工站配备工作人员</w:t>
      </w:r>
      <w:r>
        <w:rPr>
          <w:rFonts w:hint="eastAsia" w:ascii="仿宋_GB2312" w:hAnsi="宋体" w:eastAsia="仿宋_GB2312" w:cs="宋体"/>
          <w:sz w:val="32"/>
          <w:szCs w:val="32"/>
          <w:lang w:val="en-US" w:eastAsia="zh-CN"/>
        </w:rPr>
        <w:t>9</w:t>
      </w:r>
      <w:r>
        <w:rPr>
          <w:rFonts w:hint="eastAsia" w:ascii="仿宋_GB2312" w:hAnsi="宋体" w:eastAsia="仿宋_GB2312" w:cs="宋体"/>
          <w:sz w:val="32"/>
          <w:szCs w:val="32"/>
          <w:lang w:eastAsia="zh-CN"/>
        </w:rPr>
        <w:t>名，其中社工专业人员</w:t>
      </w:r>
      <w:r>
        <w:rPr>
          <w:rFonts w:hint="eastAsia" w:ascii="仿宋_GB2312" w:hAnsi="宋体" w:eastAsia="仿宋_GB2312" w:cs="宋体"/>
          <w:sz w:val="32"/>
          <w:szCs w:val="32"/>
          <w:lang w:val="en-US" w:eastAsia="zh-CN"/>
        </w:rPr>
        <w:t>9</w:t>
      </w:r>
      <w:r>
        <w:rPr>
          <w:rFonts w:hint="eastAsia" w:ascii="仿宋_GB2312" w:hAnsi="宋体" w:eastAsia="仿宋_GB2312" w:cs="宋体"/>
          <w:sz w:val="32"/>
          <w:szCs w:val="32"/>
          <w:lang w:eastAsia="zh-CN"/>
        </w:rPr>
        <w:t>名（社会工作师</w:t>
      </w:r>
      <w:r>
        <w:rPr>
          <w:rFonts w:hint="eastAsia" w:ascii="仿宋_GB2312" w:hAnsi="宋体" w:eastAsia="仿宋_GB2312" w:cs="宋体"/>
          <w:sz w:val="32"/>
          <w:szCs w:val="32"/>
          <w:lang w:val="en-US" w:eastAsia="zh-CN"/>
        </w:rPr>
        <w:t>5</w:t>
      </w:r>
      <w:r>
        <w:rPr>
          <w:rFonts w:hint="eastAsia" w:ascii="仿宋_GB2312" w:hAnsi="宋体" w:eastAsia="仿宋_GB2312" w:cs="宋体"/>
          <w:sz w:val="32"/>
          <w:szCs w:val="32"/>
          <w:lang w:eastAsia="zh-CN"/>
        </w:rPr>
        <w:t>人，助理社会工作师</w:t>
      </w:r>
      <w:r>
        <w:rPr>
          <w:rFonts w:hint="eastAsia" w:ascii="仿宋_GB2312" w:hAnsi="宋体" w:eastAsia="仿宋_GB2312" w:cs="宋体"/>
          <w:sz w:val="32"/>
          <w:szCs w:val="32"/>
          <w:lang w:val="en-US" w:eastAsia="zh-CN"/>
        </w:rPr>
        <w:t>4</w:t>
      </w:r>
      <w:r>
        <w:rPr>
          <w:rFonts w:hint="eastAsia" w:ascii="仿宋_GB2312" w:hAnsi="宋体" w:eastAsia="仿宋_GB2312" w:cs="宋体"/>
          <w:sz w:val="32"/>
          <w:szCs w:val="32"/>
          <w:lang w:eastAsia="zh-CN"/>
        </w:rPr>
        <w:t>人）。上次评估统计截止时间至本次评估统计开始时间期间（202</w:t>
      </w:r>
      <w:r>
        <w:rPr>
          <w:rFonts w:hint="eastAsia" w:ascii="仿宋_GB2312" w:hAnsi="宋体" w:eastAsia="仿宋_GB2312" w:cs="宋体"/>
          <w:sz w:val="32"/>
          <w:szCs w:val="32"/>
          <w:lang w:val="en-US" w:eastAsia="zh-CN"/>
        </w:rPr>
        <w:t>5</w:t>
      </w:r>
      <w:r>
        <w:rPr>
          <w:rFonts w:hint="eastAsia" w:ascii="仿宋_GB2312" w:hAnsi="宋体" w:eastAsia="仿宋_GB2312" w:cs="宋体"/>
          <w:sz w:val="32"/>
          <w:szCs w:val="32"/>
          <w:lang w:eastAsia="zh-CN"/>
        </w:rPr>
        <w:t>年</w:t>
      </w:r>
      <w:r>
        <w:rPr>
          <w:rFonts w:hint="eastAsia" w:ascii="仿宋_GB2312" w:hAnsi="宋体" w:eastAsia="仿宋_GB2312" w:cs="宋体"/>
          <w:sz w:val="32"/>
          <w:szCs w:val="32"/>
          <w:lang w:val="en-US" w:eastAsia="zh-CN"/>
        </w:rPr>
        <w:t>7</w:t>
      </w:r>
      <w:r>
        <w:rPr>
          <w:rFonts w:hint="eastAsia" w:ascii="仿宋_GB2312" w:hAnsi="宋体" w:eastAsia="仿宋_GB2312" w:cs="宋体"/>
          <w:sz w:val="32"/>
          <w:szCs w:val="32"/>
          <w:lang w:eastAsia="zh-CN"/>
        </w:rPr>
        <w:t>月</w:t>
      </w:r>
      <w:r>
        <w:rPr>
          <w:rFonts w:hint="eastAsia" w:ascii="仿宋_GB2312" w:hAnsi="宋体" w:eastAsia="仿宋_GB2312" w:cs="宋体"/>
          <w:sz w:val="32"/>
          <w:szCs w:val="32"/>
          <w:lang w:val="en-US" w:eastAsia="zh-CN"/>
        </w:rPr>
        <w:t>31</w:t>
      </w:r>
      <w:r>
        <w:rPr>
          <w:rFonts w:hint="eastAsia" w:ascii="仿宋_GB2312" w:hAnsi="宋体" w:eastAsia="仿宋_GB2312" w:cs="宋体"/>
          <w:sz w:val="32"/>
          <w:szCs w:val="32"/>
          <w:lang w:eastAsia="zh-CN"/>
        </w:rPr>
        <w:t>日—2025年</w:t>
      </w:r>
      <w:r>
        <w:rPr>
          <w:rFonts w:hint="eastAsia" w:ascii="仿宋_GB2312" w:hAnsi="宋体" w:eastAsia="仿宋_GB2312" w:cs="宋体"/>
          <w:sz w:val="32"/>
          <w:szCs w:val="32"/>
          <w:lang w:val="en-US" w:eastAsia="zh-CN"/>
        </w:rPr>
        <w:t>8</w:t>
      </w:r>
      <w:r>
        <w:rPr>
          <w:rFonts w:hint="eastAsia" w:ascii="仿宋_GB2312" w:hAnsi="宋体" w:eastAsia="仿宋_GB2312" w:cs="宋体"/>
          <w:sz w:val="32"/>
          <w:szCs w:val="32"/>
          <w:lang w:eastAsia="zh-CN"/>
        </w:rPr>
        <w:t>月</w:t>
      </w:r>
      <w:r>
        <w:rPr>
          <w:rFonts w:hint="eastAsia" w:ascii="仿宋_GB2312" w:hAnsi="宋体" w:eastAsia="仿宋_GB2312" w:cs="宋体"/>
          <w:sz w:val="32"/>
          <w:szCs w:val="32"/>
          <w:lang w:val="en-US" w:eastAsia="zh-CN"/>
        </w:rPr>
        <w:t>15</w:t>
      </w:r>
      <w:r>
        <w:rPr>
          <w:rFonts w:hint="eastAsia" w:ascii="仿宋_GB2312" w:hAnsi="宋体" w:eastAsia="仿宋_GB2312" w:cs="宋体"/>
          <w:sz w:val="32"/>
          <w:szCs w:val="32"/>
          <w:lang w:eastAsia="zh-CN"/>
        </w:rPr>
        <w:t>日）社工站配备工作人员</w:t>
      </w:r>
      <w:r>
        <w:rPr>
          <w:rFonts w:hint="eastAsia" w:ascii="仿宋_GB2312" w:hAnsi="宋体" w:eastAsia="仿宋_GB2312" w:cs="宋体"/>
          <w:sz w:val="32"/>
          <w:szCs w:val="32"/>
          <w:lang w:val="en-US" w:eastAsia="zh-CN"/>
        </w:rPr>
        <w:t>10</w:t>
      </w:r>
      <w:r>
        <w:rPr>
          <w:rFonts w:hint="eastAsia" w:ascii="仿宋_GB2312" w:hAnsi="宋体" w:eastAsia="仿宋_GB2312" w:cs="宋体"/>
          <w:sz w:val="32"/>
          <w:szCs w:val="32"/>
          <w:lang w:eastAsia="zh-CN"/>
        </w:rPr>
        <w:t>名，其中社工专业人员</w:t>
      </w:r>
      <w:r>
        <w:rPr>
          <w:rFonts w:hint="eastAsia" w:ascii="仿宋_GB2312" w:hAnsi="宋体" w:eastAsia="仿宋_GB2312" w:cs="宋体"/>
          <w:sz w:val="32"/>
          <w:szCs w:val="32"/>
          <w:lang w:val="en-US" w:eastAsia="zh-CN"/>
        </w:rPr>
        <w:t>9</w:t>
      </w:r>
      <w:r>
        <w:rPr>
          <w:rFonts w:hint="eastAsia" w:ascii="仿宋_GB2312" w:hAnsi="宋体" w:eastAsia="仿宋_GB2312" w:cs="宋体"/>
          <w:sz w:val="32"/>
          <w:szCs w:val="32"/>
          <w:lang w:eastAsia="zh-CN"/>
        </w:rPr>
        <w:t>名（社会工作师</w:t>
      </w:r>
      <w:r>
        <w:rPr>
          <w:rFonts w:hint="eastAsia" w:ascii="仿宋_GB2312" w:hAnsi="宋体" w:eastAsia="仿宋_GB2312" w:cs="宋体"/>
          <w:sz w:val="32"/>
          <w:szCs w:val="32"/>
          <w:lang w:val="en-US" w:eastAsia="zh-CN"/>
        </w:rPr>
        <w:t>5</w:t>
      </w:r>
      <w:r>
        <w:rPr>
          <w:rFonts w:hint="eastAsia" w:ascii="仿宋_GB2312" w:hAnsi="宋体" w:eastAsia="仿宋_GB2312" w:cs="宋体"/>
          <w:sz w:val="32"/>
          <w:szCs w:val="32"/>
          <w:lang w:eastAsia="zh-CN"/>
        </w:rPr>
        <w:t>人，助理社会工作师</w:t>
      </w:r>
      <w:r>
        <w:rPr>
          <w:rFonts w:hint="eastAsia" w:ascii="仿宋_GB2312" w:hAnsi="宋体" w:eastAsia="仿宋_GB2312" w:cs="宋体"/>
          <w:sz w:val="32"/>
          <w:szCs w:val="32"/>
          <w:lang w:val="en-US" w:eastAsia="zh-CN"/>
        </w:rPr>
        <w:t>4</w:t>
      </w:r>
      <w:r>
        <w:rPr>
          <w:rFonts w:hint="eastAsia" w:ascii="仿宋_GB2312" w:hAnsi="宋体" w:eastAsia="仿宋_GB2312" w:cs="宋体"/>
          <w:sz w:val="32"/>
          <w:szCs w:val="32"/>
          <w:lang w:eastAsia="zh-CN"/>
        </w:rPr>
        <w:t>人），</w:t>
      </w:r>
      <w:r>
        <w:rPr>
          <w:rFonts w:hint="eastAsia" w:ascii="仿宋_GB2312" w:hAnsi="宋体" w:eastAsia="仿宋_GB2312" w:cs="宋体"/>
          <w:sz w:val="32"/>
          <w:szCs w:val="32"/>
          <w:lang w:val="en-US" w:eastAsia="zh-CN"/>
        </w:rPr>
        <w:t>其他人员1人</w:t>
      </w:r>
      <w:r>
        <w:rPr>
          <w:rFonts w:hint="eastAsia" w:ascii="仿宋_GB2312" w:hAnsi="宋体" w:eastAsia="仿宋_GB2312" w:cs="宋体"/>
          <w:sz w:val="32"/>
          <w:szCs w:val="32"/>
          <w:lang w:eastAsia="zh-CN"/>
        </w:rPr>
        <w:t>。此外，社工站配备督导</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名，从事社会服务</w:t>
      </w:r>
      <w:r>
        <w:rPr>
          <w:rFonts w:hint="eastAsia" w:ascii="仿宋_GB2312" w:hAnsi="宋体" w:eastAsia="仿宋_GB2312" w:cs="宋体"/>
          <w:sz w:val="32"/>
          <w:szCs w:val="32"/>
          <w:lang w:val="en-US" w:eastAsia="zh-CN"/>
        </w:rPr>
        <w:t>9.5</w:t>
      </w:r>
      <w:r>
        <w:rPr>
          <w:rFonts w:hint="eastAsia" w:ascii="仿宋_GB2312" w:hAnsi="宋体" w:eastAsia="仿宋_GB2312" w:cs="宋体"/>
          <w:sz w:val="32"/>
          <w:szCs w:val="32"/>
          <w:lang w:eastAsia="zh-CN"/>
        </w:rPr>
        <w:t>年以上。</w:t>
      </w:r>
    </w:p>
    <w:p w14:paraId="31C11B64">
      <w:pPr>
        <w:pStyle w:val="13"/>
        <w:pageBreakBefore w:val="0"/>
        <w:widowControl w:val="0"/>
        <w:kinsoku/>
        <w:wordWrap/>
        <w:overflowPunct/>
        <w:topLinePunct w:val="0"/>
        <w:autoSpaceDE/>
        <w:autoSpaceDN/>
        <w:bidi w:val="0"/>
        <w:adjustRightInd/>
        <w:snapToGrid/>
        <w:spacing w:after="0" w:line="520" w:lineRule="exact"/>
        <w:ind w:firstLine="601"/>
        <w:jc w:val="both"/>
        <w:textAlignment w:val="auto"/>
        <w:rPr>
          <w:rFonts w:ascii="仿宋_GB2312" w:eastAsia="仿宋_GB2312"/>
          <w:color w:val="auto"/>
          <w:sz w:val="32"/>
          <w:szCs w:val="32"/>
        </w:rPr>
      </w:pPr>
      <w:r>
        <w:rPr>
          <w:rFonts w:hint="eastAsia" w:ascii="仿宋_GB2312" w:eastAsia="仿宋_GB2312"/>
          <w:color w:val="auto"/>
          <w:sz w:val="32"/>
          <w:szCs w:val="32"/>
          <w:lang w:eastAsia="zh-CN"/>
        </w:rPr>
        <w:t>小谷围街</w:t>
      </w:r>
      <w:r>
        <w:rPr>
          <w:rFonts w:hint="eastAsia" w:ascii="仿宋_GB2312" w:eastAsia="仿宋_GB2312"/>
          <w:color w:val="auto"/>
          <w:sz w:val="32"/>
          <w:szCs w:val="32"/>
        </w:rPr>
        <w:t>社工站</w:t>
      </w:r>
      <w:r>
        <w:rPr>
          <w:rFonts w:hint="eastAsia" w:ascii="仿宋_GB2312" w:eastAsia="仿宋_GB2312"/>
          <w:sz w:val="32"/>
          <w:szCs w:val="32"/>
          <w:lang w:val="en-US" w:eastAsia="zh-CN"/>
        </w:rPr>
        <w:t>评估期限内</w:t>
      </w:r>
      <w:r>
        <w:rPr>
          <w:rFonts w:hint="eastAsia" w:ascii="仿宋_GB2312" w:eastAsia="仿宋_GB2312"/>
          <w:sz w:val="32"/>
          <w:szCs w:val="32"/>
        </w:rPr>
        <w:t>服务经费</w:t>
      </w:r>
      <w:r>
        <w:rPr>
          <w:rFonts w:hint="eastAsia" w:ascii="仿宋_GB2312" w:eastAsia="仿宋_GB2312"/>
          <w:sz w:val="32"/>
          <w:szCs w:val="32"/>
          <w:lang w:val="en-US" w:eastAsia="zh-CN"/>
        </w:rPr>
        <w:t>108万元，</w:t>
      </w:r>
      <w:r>
        <w:rPr>
          <w:rFonts w:hint="eastAsia" w:ascii="仿宋_GB2312" w:eastAsia="仿宋_GB2312"/>
          <w:color w:val="auto"/>
          <w:sz w:val="32"/>
          <w:szCs w:val="32"/>
          <w:lang w:val="en-US" w:eastAsia="zh-CN"/>
        </w:rPr>
        <w:t>评估周期</w:t>
      </w:r>
      <w:r>
        <w:rPr>
          <w:rFonts w:hint="eastAsia" w:ascii="仿宋_GB2312" w:eastAsia="仿宋_GB2312"/>
          <w:color w:val="auto"/>
          <w:sz w:val="32"/>
          <w:szCs w:val="32"/>
        </w:rPr>
        <w:t>项目合同期为202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日至</w:t>
      </w:r>
      <w:r>
        <w:rPr>
          <w:rFonts w:hint="eastAsia" w:ascii="仿宋_GB2312" w:eastAsia="仿宋_GB2312"/>
          <w:color w:val="auto"/>
          <w:sz w:val="32"/>
          <w:szCs w:val="32"/>
          <w:lang w:eastAsia="zh-CN"/>
        </w:rPr>
        <w:t>202</w:t>
      </w:r>
      <w:r>
        <w:rPr>
          <w:rFonts w:hint="eastAsia" w:ascii="仿宋_GB2312" w:eastAsia="仿宋_GB2312"/>
          <w:color w:val="auto"/>
          <w:sz w:val="32"/>
          <w:szCs w:val="32"/>
          <w:lang w:val="en-US" w:eastAsia="zh-CN"/>
        </w:rPr>
        <w:t>6</w:t>
      </w:r>
      <w:r>
        <w:rPr>
          <w:rFonts w:hint="eastAsia" w:ascii="仿宋_GB2312" w:eastAsia="仿宋_GB2312"/>
          <w:color w:val="auto"/>
          <w:sz w:val="32"/>
          <w:szCs w:val="32"/>
          <w:lang w:eastAsia="zh-CN"/>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日。本次考核期为202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年8月</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日—202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31</w:t>
      </w:r>
      <w:r>
        <w:rPr>
          <w:rFonts w:hint="eastAsia" w:ascii="仿宋_GB2312" w:eastAsia="仿宋_GB2312"/>
          <w:color w:val="auto"/>
          <w:sz w:val="32"/>
          <w:szCs w:val="32"/>
        </w:rPr>
        <w:t>日，考核</w:t>
      </w:r>
      <w:r>
        <w:rPr>
          <w:rFonts w:hint="eastAsia" w:ascii="仿宋_GB2312" w:eastAsia="仿宋_GB2312"/>
          <w:color w:val="auto"/>
          <w:sz w:val="32"/>
          <w:szCs w:val="32"/>
          <w:lang w:val="en-US" w:eastAsia="zh-CN"/>
        </w:rPr>
        <w:t>11.5</w:t>
      </w:r>
      <w:r>
        <w:rPr>
          <w:rFonts w:hint="eastAsia" w:ascii="仿宋_GB2312" w:eastAsia="仿宋_GB2312"/>
          <w:color w:val="auto"/>
          <w:sz w:val="32"/>
          <w:szCs w:val="32"/>
        </w:rPr>
        <w:t>个月。</w:t>
      </w:r>
    </w:p>
    <w:p w14:paraId="53B13EB0">
      <w:pPr>
        <w:pStyle w:val="13"/>
        <w:pageBreakBefore w:val="0"/>
        <w:widowControl w:val="0"/>
        <w:kinsoku/>
        <w:wordWrap/>
        <w:overflowPunct/>
        <w:topLinePunct w:val="0"/>
        <w:autoSpaceDE/>
        <w:autoSpaceDN/>
        <w:bidi w:val="0"/>
        <w:adjustRightInd/>
        <w:snapToGrid/>
        <w:spacing w:after="0" w:line="520" w:lineRule="exact"/>
        <w:ind w:firstLine="743"/>
        <w:jc w:val="both"/>
        <w:textAlignment w:val="auto"/>
        <w:rPr>
          <w:rFonts w:ascii="仿宋_GB2312" w:eastAsia="仿宋_GB2312"/>
          <w:b/>
          <w:color w:val="auto"/>
          <w:sz w:val="32"/>
          <w:szCs w:val="32"/>
        </w:rPr>
      </w:pPr>
      <w:r>
        <w:rPr>
          <w:rFonts w:hint="eastAsia" w:ascii="仿宋_GB2312" w:eastAsia="仿宋_GB2312"/>
          <w:b/>
          <w:color w:val="auto"/>
          <w:sz w:val="32"/>
          <w:szCs w:val="32"/>
        </w:rPr>
        <w:t>（二）各项目服务进度情况</w:t>
      </w:r>
    </w:p>
    <w:p w14:paraId="3BF85005">
      <w:pPr>
        <w:pStyle w:val="13"/>
        <w:pageBreakBefore w:val="0"/>
        <w:widowControl w:val="0"/>
        <w:tabs>
          <w:tab w:val="left" w:pos="1355"/>
        </w:tabs>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截至2026年7月31日，</w:t>
      </w:r>
      <w:r>
        <w:rPr>
          <w:rFonts w:hint="eastAsia" w:ascii="仿宋_GB2312" w:eastAsia="仿宋_GB2312"/>
          <w:color w:val="auto"/>
          <w:sz w:val="32"/>
          <w:szCs w:val="32"/>
          <w:lang w:val="en-US" w:eastAsia="zh-CN"/>
        </w:rPr>
        <w:t>社工站共完成家访1677人次，电访1211人次，</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100.00%，分别超额完成协议指标量的4.81%、21.10%</w:t>
      </w:r>
      <w:r>
        <w:rPr>
          <w:rFonts w:hint="eastAsia" w:ascii="仿宋_GB2312" w:eastAsia="仿宋_GB2312"/>
          <w:color w:val="auto"/>
          <w:sz w:val="32"/>
          <w:szCs w:val="32"/>
          <w:lang w:val="en-US" w:eastAsia="zh-CN"/>
        </w:rPr>
        <w:t>；专业个案接案15人，服务节数89节，</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100.00%，其中服务节数</w:t>
      </w:r>
      <w:r>
        <w:rPr>
          <w:rFonts w:hint="eastAsia" w:ascii="仿宋_GB2312" w:eastAsia="仿宋_GB2312"/>
          <w:color w:val="auto"/>
          <w:sz w:val="32"/>
          <w:szCs w:val="32"/>
          <w:lang w:val="en-US" w:eastAsia="zh-CN"/>
        </w:rPr>
        <w:t>完成指标量的18.67%。开展小组3个，完成15节，服务102人次，</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100.00%，其中服务人次超额完成协议指标量的</w:t>
      </w:r>
      <w:r>
        <w:rPr>
          <w:rFonts w:hint="eastAsia" w:ascii="仿宋_GB2312" w:eastAsia="仿宋_GB2312"/>
          <w:color w:val="auto"/>
          <w:sz w:val="32"/>
          <w:szCs w:val="32"/>
          <w:lang w:val="en-US" w:eastAsia="zh-CN"/>
        </w:rPr>
        <w:t>13.33%。完成社区活动20场，服务1904人次，培育老年志愿者队伍3支，</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100.00%，其中服务人次、队伍培育超额</w:t>
      </w:r>
      <w:r>
        <w:rPr>
          <w:rFonts w:hint="eastAsia" w:ascii="仿宋_GB2312" w:eastAsia="仿宋_GB2312"/>
          <w:color w:val="auto"/>
          <w:sz w:val="32"/>
          <w:szCs w:val="32"/>
          <w:lang w:val="en-US" w:eastAsia="zh-CN"/>
        </w:rPr>
        <w:t>完成指标的157.30%、50.00%。（以上数据由社工站提供，各项目指标完成情况见附件l）</w:t>
      </w:r>
    </w:p>
    <w:p w14:paraId="0AEBDB21">
      <w:pPr>
        <w:pStyle w:val="13"/>
        <w:pageBreakBefore w:val="0"/>
        <w:widowControl w:val="0"/>
        <w:tabs>
          <w:tab w:val="left" w:pos="1355"/>
        </w:tabs>
        <w:kinsoku/>
        <w:wordWrap/>
        <w:overflowPunct/>
        <w:topLinePunct w:val="0"/>
        <w:autoSpaceDE/>
        <w:autoSpaceDN/>
        <w:bidi w:val="0"/>
        <w:adjustRightInd/>
        <w:snapToGrid/>
        <w:spacing w:after="0" w:line="520" w:lineRule="exact"/>
        <w:ind w:firstLine="640" w:firstLineChars="200"/>
        <w:jc w:val="both"/>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从以上数据可知，小谷围街社工站服务指标完成情况良好，在服务进度方面整体把握到位。</w:t>
      </w:r>
    </w:p>
    <w:p w14:paraId="2E6885D6">
      <w:pPr>
        <w:pStyle w:val="13"/>
        <w:pageBreakBefore w:val="0"/>
        <w:widowControl w:val="0"/>
        <w:kinsoku/>
        <w:wordWrap/>
        <w:overflowPunct/>
        <w:topLinePunct w:val="0"/>
        <w:autoSpaceDE/>
        <w:autoSpaceDN/>
        <w:bidi w:val="0"/>
        <w:adjustRightInd/>
        <w:snapToGrid/>
        <w:spacing w:after="0" w:line="520" w:lineRule="exact"/>
        <w:ind w:firstLine="740"/>
        <w:jc w:val="both"/>
        <w:textAlignment w:val="auto"/>
        <w:rPr>
          <w:rFonts w:ascii="仿宋_GB2312" w:eastAsia="仿宋_GB2312"/>
          <w:color w:val="auto"/>
          <w:sz w:val="32"/>
          <w:szCs w:val="32"/>
        </w:rPr>
      </w:pPr>
      <w:r>
        <w:rPr>
          <w:rFonts w:hint="eastAsia" w:ascii="仿宋_GB2312" w:eastAsia="仿宋_GB2312"/>
          <w:b/>
          <w:bCs/>
          <w:color w:val="auto"/>
          <w:sz w:val="32"/>
          <w:szCs w:val="32"/>
          <w:lang w:eastAsia="zh-CN"/>
        </w:rPr>
        <w:t>（三）</w:t>
      </w:r>
      <w:r>
        <w:rPr>
          <w:rFonts w:hint="eastAsia" w:ascii="仿宋_GB2312" w:eastAsia="仿宋_GB2312"/>
          <w:b/>
          <w:bCs/>
          <w:color w:val="auto"/>
          <w:sz w:val="32"/>
          <w:szCs w:val="32"/>
        </w:rPr>
        <w:t>项目运营管理</w:t>
      </w:r>
    </w:p>
    <w:p w14:paraId="69672053">
      <w:pPr>
        <w:pStyle w:val="13"/>
        <w:pageBreakBefore w:val="0"/>
        <w:widowControl w:val="0"/>
        <w:kinsoku/>
        <w:wordWrap/>
        <w:overflowPunct/>
        <w:topLinePunct w:val="0"/>
        <w:autoSpaceDE/>
        <w:autoSpaceDN/>
        <w:bidi w:val="0"/>
        <w:adjustRightInd/>
        <w:snapToGrid/>
        <w:spacing w:after="0" w:line="520" w:lineRule="exact"/>
        <w:ind w:firstLine="601"/>
        <w:jc w:val="both"/>
        <w:textAlignment w:val="auto"/>
        <w:rPr>
          <w:rFonts w:ascii="仿宋_GB2312" w:eastAsia="仿宋_GB2312"/>
          <w:color w:val="auto"/>
          <w:sz w:val="32"/>
          <w:szCs w:val="32"/>
        </w:rPr>
      </w:pPr>
      <w:r>
        <w:rPr>
          <w:rFonts w:hint="eastAsia" w:ascii="仿宋_GB2312" w:eastAsia="仿宋_GB2312"/>
          <w:color w:val="auto"/>
          <w:sz w:val="32"/>
          <w:szCs w:val="32"/>
        </w:rPr>
        <w:t>通过与社工站主任、相关行政人员访谈，查阅相关资料等方式了解社工站运营管理情况，汇总成以下几点：</w:t>
      </w:r>
    </w:p>
    <w:p w14:paraId="04779E1A">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b/>
          <w:bCs/>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bookmarkStart w:id="28" w:name="bookmark31"/>
      <w:bookmarkEnd w:id="28"/>
    </w:p>
    <w:p w14:paraId="4D41A556">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对中期项目管理评估意见进行了认真、积极回应并进行了较为有效的整改。人员配置符合要求。截至2026年7月31日，社工站项目共配备社工9人，其中持证社工9人（中级社工师5人，初级社工师4人），持证社工比例100%，协议人数应到104人次，实到105人次，持证社工应到69人次，实到103.5人次。从业3年以上社工9人，占协议社工总人数的100%，持续在岗9人，稳岗率100%。社工继续教育要求648小时，实际培训800.9小时，总时数达标率超123.6%。社工站项目负责人稳定在岗，从事社工服务与管理累计年限11年以上，资质和资历符合相关要求。</w:t>
      </w:r>
    </w:p>
    <w:p w14:paraId="3AFD2E2C">
      <w:pPr>
        <w:pStyle w:val="13"/>
        <w:pageBreakBefore w:val="0"/>
        <w:widowControl w:val="0"/>
        <w:tabs>
          <w:tab w:val="left" w:pos="1355"/>
        </w:tabs>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服务规范方面，社工站严格依据机构要求开展服务质量内部检查及问题整改工作。社工站层面每月有中心的日常巡查表、档案借阅登记表、每月防火检查、每月清洁记录、“三防”教育安全培训记录、应急逃生通道指引图、安全管理工作制度和工作机制，各项工作均有详细的记录。另外有设置服务意见反馈信箱或意见建议本等，并能定期及时收集或听取服务对象、合作伙伴等相关各方的意见和建议，且有相关的意见规整。团队内部有定期的工作反思、总结和整改提升工作机制，能够促进自身服务质量持续改善；建立专业伦理价值规范和服务对象权益保障实践管理制度，并开展相关教育培训及知识考核，推动社工在服务中实践；在人员协同方面，定期与村（居）、直聘社工开展服务合作和转介联动。</w:t>
      </w:r>
    </w:p>
    <w:p w14:paraId="1C405214">
      <w:pPr>
        <w:pStyle w:val="13"/>
        <w:pageBreakBefore w:val="0"/>
        <w:widowControl w:val="0"/>
        <w:tabs>
          <w:tab w:val="left" w:pos="1355"/>
        </w:tabs>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项目团队有制定较为详细的项目宣传计划，社工站周围设置路标指引。能利用各类公众号、区级宣传平台、各类报栏、网站、微信群、宣传小折页、成效服务小册子等多种方式推广宣传项目服务，也能定期举办各类服务体验、倡导和推广活动，便于服务对象了解和寻求服务。整一年度在国家、市级等网站、刊物上推广宣传服务经验75次，基于项目实践形成研究成果4项，保障服务信息的触达范围与传播效能。</w:t>
      </w:r>
    </w:p>
    <w:p w14:paraId="69811773">
      <w:pPr>
        <w:pStyle w:val="13"/>
        <w:pageBreakBefore w:val="0"/>
        <w:widowControl w:val="0"/>
        <w:numPr>
          <w:ilvl w:val="0"/>
          <w:numId w:val="0"/>
        </w:numPr>
        <w:tabs>
          <w:tab w:val="left" w:pos="1355"/>
        </w:tabs>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b/>
          <w:bCs/>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bookmarkStart w:id="29" w:name="bookmark39"/>
      <w:bookmarkEnd w:id="29"/>
      <w:bookmarkStart w:id="30" w:name="bookmark38"/>
      <w:bookmarkEnd w:id="30"/>
      <w:bookmarkStart w:id="31" w:name="bookmark36"/>
      <w:bookmarkEnd w:id="31"/>
      <w:bookmarkStart w:id="32" w:name="bookmark37"/>
      <w:bookmarkEnd w:id="32"/>
    </w:p>
    <w:p w14:paraId="49740627">
      <w:pPr>
        <w:pStyle w:val="13"/>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1</w:t>
      </w:r>
      <w:r>
        <w:rPr>
          <w:rFonts w:hint="eastAsia" w:ascii="仿宋_GB2312" w:eastAsia="仿宋_GB2312"/>
          <w:b w:val="0"/>
          <w:bCs w:val="0"/>
          <w:color w:val="auto"/>
          <w:sz w:val="32"/>
          <w:szCs w:val="32"/>
          <w:lang w:eastAsia="zh-CN"/>
        </w:rPr>
        <w:t>）服务持续改进方面，社工站内部定期反思、总结机制、跟踪回访机制等仍有提升空间。建议团队根据机构设立的各项实践机制，既要积极收集、反馈服务对象的意见和建议，如既可通过案例分享、问题分析等定期在社工站层面组织总结、反思，也重视按照设立的服务跟踪回访机制、</w:t>
      </w:r>
      <w:r>
        <w:rPr>
          <w:rFonts w:hint="eastAsia" w:ascii="仿宋_GB2312" w:eastAsia="仿宋_GB2312"/>
          <w:b w:val="0"/>
          <w:bCs w:val="0"/>
          <w:color w:val="auto"/>
          <w:sz w:val="32"/>
          <w:szCs w:val="32"/>
          <w:lang w:val="en-US" w:eastAsia="zh-CN"/>
        </w:rPr>
        <w:t>完善</w:t>
      </w:r>
      <w:r>
        <w:rPr>
          <w:rFonts w:hint="eastAsia" w:ascii="仿宋_GB2312" w:eastAsia="仿宋_GB2312"/>
          <w:b w:val="0"/>
          <w:bCs w:val="0"/>
          <w:color w:val="auto"/>
          <w:sz w:val="32"/>
          <w:szCs w:val="32"/>
          <w:lang w:eastAsia="zh-CN"/>
        </w:rPr>
        <w:t>小组、社区活动、志愿者等多元服务层面的反馈，从而形成有效的服务持续改进机制，以不断促进社工专业服务质量的提高。</w:t>
      </w:r>
    </w:p>
    <w:p w14:paraId="32F26376">
      <w:pPr>
        <w:pStyle w:val="13"/>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lang w:eastAsia="zh-CN"/>
        </w:rPr>
        <w:t>）社工站层面可继续强化对系统平台资料的归类、上传工作的业务学习与实操指导，推动服务成效规范化展示。</w:t>
      </w:r>
    </w:p>
    <w:p w14:paraId="5DC3B5C7">
      <w:pPr>
        <w:pStyle w:val="13"/>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b/>
          <w:bCs/>
          <w:color w:val="auto"/>
          <w:sz w:val="32"/>
          <w:szCs w:val="32"/>
        </w:rPr>
      </w:pPr>
      <w:r>
        <w:rPr>
          <w:rFonts w:hint="eastAsia" w:ascii="仿宋_GB2312" w:eastAsia="仿宋_GB2312"/>
          <w:b/>
          <w:bCs/>
          <w:color w:val="auto"/>
          <w:sz w:val="32"/>
          <w:szCs w:val="32"/>
          <w:lang w:eastAsia="zh-CN"/>
        </w:rPr>
        <w:t>（四）</w:t>
      </w:r>
      <w:r>
        <w:rPr>
          <w:rFonts w:hint="eastAsia" w:ascii="仿宋_GB2312" w:eastAsia="仿宋_GB2312"/>
          <w:b/>
          <w:bCs/>
          <w:color w:val="auto"/>
          <w:sz w:val="32"/>
          <w:szCs w:val="32"/>
        </w:rPr>
        <w:t>服务成效和服务监测情况</w:t>
      </w:r>
    </w:p>
    <w:p w14:paraId="68A11088">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p>
    <w:p w14:paraId="50729B2E">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经评委评估分析访谈情况和查阅项目调研、服务方案等各类服务工作痕迹记录资料，项目执行和成效总体情况有以下几方面值得肯定：</w:t>
      </w:r>
      <w:bookmarkStart w:id="33" w:name="bookmark40"/>
      <w:bookmarkEnd w:id="33"/>
    </w:p>
    <w:p w14:paraId="0CC6BF0F">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1）需求分析和问题清单在中期评估后得到了及时的梳理补充。社工站结合前期需求调研情况和中期评估建议，进一步梳理分析了困难群众和特殊群体的需求数据，根据服务对象的年龄、类型、健康、需求状况等补充了交叉分析，形成了困难群众和特殊群体问题清单，并结合问题清单对社工站的服务计划做了优化，服务逻辑和思路更为清晰，值得肯定。</w:t>
      </w:r>
    </w:p>
    <w:p w14:paraId="49D48AF9">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2）联动基层党组织积极，协助街道宣传党的政策、开展党建工作主动。社工站积极配合街道党工委，联动各基层党组织、高校党支部，主动关注民生、聚焦群众所需，积极挖掘、整合党建资源促进党组织开展“谷围拾光”微心愿活动，主动协助街道开展流浪乞讨人员巡查、合适成年人、“两热”防控工作，较好地加强了与各村居党组织的互动交流，较好地促进了社区党员、高校党员服务社群的公益成效，值得肯定。</w:t>
      </w:r>
    </w:p>
    <w:p w14:paraId="3E135C31">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3）服务产出可视化提升、服务成果带来的社会美誉度得到了改善。社工站积极总结经验、增强项目经验总结及社会影响力，梳理的《小谷围街“双百工程”社工站-困难群众和特殊群体服务手册》《小谷围街“双百工程”社工站-服务案例集》提升了服务产出的可视化，媒体报道较过往得到了明显加强，较好地提升了服务影响力和社会美誉度，值得肯定。</w:t>
      </w:r>
    </w:p>
    <w:p w14:paraId="6D268B5F">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default"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（4）广州社工“红棉守护”热线日常运转顺畅，接线服务态度良好，能做好基础服务记录，服务口碑好，满意度调研回收114份问卷，满意度为95%以上，获得服务对象广泛认可。</w:t>
      </w:r>
    </w:p>
    <w:p w14:paraId="43D04426">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2.需要关注的地方</w:t>
      </w:r>
    </w:p>
    <w:p w14:paraId="37313299">
      <w:pPr>
        <w:pStyle w:val="13"/>
        <w:pageBreakBefore w:val="0"/>
        <w:widowControl w:val="0"/>
        <w:kinsoku/>
        <w:wordWrap/>
        <w:overflowPunct/>
        <w:topLinePunct w:val="0"/>
        <w:autoSpaceDE/>
        <w:autoSpaceDN/>
        <w:bidi w:val="0"/>
        <w:adjustRightInd/>
        <w:snapToGrid/>
        <w:spacing w:after="0" w:line="52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经评委评估分析访谈情况和查阅项目调研、服务方案等各类服务工作痕迹记录资料，项目执行和成效总体情况有以下方面需关注：</w:t>
      </w:r>
      <w:bookmarkStart w:id="34" w:name="bookmark45"/>
      <w:bookmarkEnd w:id="34"/>
      <w:bookmarkStart w:id="35" w:name="bookmark44"/>
      <w:bookmarkEnd w:id="35"/>
      <w:bookmarkStart w:id="36" w:name="bookmark43"/>
      <w:bookmarkEnd w:id="36"/>
    </w:p>
    <w:p w14:paraId="0CF81DE7">
      <w:pPr>
        <w:pStyle w:val="13"/>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（1）特色项目的服务亮点需要关注。建议社工站打通</w:t>
      </w:r>
      <w:r>
        <w:rPr>
          <w:rFonts w:hint="eastAsia" w:ascii="仿宋_GB2312" w:eastAsia="仿宋_GB2312"/>
          <w:color w:val="auto"/>
          <w:sz w:val="32"/>
          <w:szCs w:val="32"/>
          <w:lang w:val="en-US" w:eastAsia="zh-CN"/>
        </w:rPr>
        <w:t>学</w:t>
      </w:r>
      <w:r>
        <w:rPr>
          <w:rFonts w:hint="eastAsia" w:ascii="仿宋_GB2312" w:eastAsia="仿宋_GB2312"/>
          <w:color w:val="auto"/>
          <w:sz w:val="32"/>
          <w:szCs w:val="32"/>
          <w:lang w:eastAsia="zh-CN"/>
        </w:rPr>
        <w:t>校、社</w:t>
      </w:r>
      <w:r>
        <w:rPr>
          <w:rFonts w:hint="eastAsia" w:ascii="仿宋_GB2312" w:eastAsia="仿宋_GB2312"/>
          <w:color w:val="auto"/>
          <w:sz w:val="32"/>
          <w:szCs w:val="32"/>
          <w:lang w:val="en-US" w:eastAsia="zh-CN"/>
        </w:rPr>
        <w:t>会组织</w:t>
      </w:r>
      <w:r>
        <w:rPr>
          <w:rFonts w:hint="eastAsia" w:ascii="仿宋_GB2312" w:eastAsia="仿宋_GB2312"/>
          <w:color w:val="auto"/>
          <w:sz w:val="32"/>
          <w:szCs w:val="32"/>
          <w:lang w:eastAsia="zh-CN"/>
        </w:rPr>
        <w:t>、企</w:t>
      </w:r>
      <w:r>
        <w:rPr>
          <w:rFonts w:hint="eastAsia" w:ascii="仿宋_GB2312" w:eastAsia="仿宋_GB2312"/>
          <w:color w:val="auto"/>
          <w:sz w:val="32"/>
          <w:szCs w:val="32"/>
          <w:lang w:val="en-US" w:eastAsia="zh-CN"/>
        </w:rPr>
        <w:t>业</w:t>
      </w:r>
      <w:r>
        <w:rPr>
          <w:rFonts w:hint="eastAsia" w:ascii="仿宋_GB2312" w:eastAsia="仿宋_GB2312"/>
          <w:color w:val="auto"/>
          <w:sz w:val="32"/>
          <w:szCs w:val="32"/>
          <w:lang w:eastAsia="zh-CN"/>
        </w:rPr>
        <w:t>、志愿</w:t>
      </w:r>
      <w:r>
        <w:rPr>
          <w:rFonts w:hint="eastAsia" w:ascii="仿宋_GB2312" w:eastAsia="仿宋_GB2312"/>
          <w:color w:val="auto"/>
          <w:sz w:val="32"/>
          <w:szCs w:val="32"/>
          <w:lang w:val="en-US" w:eastAsia="zh-CN"/>
        </w:rPr>
        <w:t>者等</w:t>
      </w:r>
      <w:r>
        <w:rPr>
          <w:rFonts w:hint="eastAsia" w:ascii="仿宋_GB2312" w:eastAsia="仿宋_GB2312"/>
          <w:color w:val="auto"/>
          <w:sz w:val="32"/>
          <w:szCs w:val="32"/>
          <w:lang w:eastAsia="zh-CN"/>
        </w:rPr>
        <w:t>多方主体联动的同时，聚焦困难群众和特殊群体的健康刚需开展服务，跳出单一物资帮扶的传统模式，着力搭建本土化的健康慈善生态圈；建议坚持长效整合各类社会慈善资源，在常态化服务之中沉淀本土慈善标识，加快培育属于小谷围街的公益品牌，带动辖区公益氛围持续升温。</w:t>
      </w:r>
    </w:p>
    <w:p w14:paraId="5D8DE0B4">
      <w:pPr>
        <w:pStyle w:val="13"/>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2）慈善项目的创新性和可持续性需要关注。建议社工站在打通需求摸排－资源征集－精准配送的完整链条的基础上，加快解决慈善资源供给和困难群众和特殊群体实际需求错位的痛点，促进帮扶模式灵活务实；深耕本土社会资源，积极打破一次性外部资源投入的习惯，加强挖掘本土多元主体长久参与供给的创新做法，着力筑牢街道慈善帮扶工作长久运转、可持续推进之基。</w:t>
      </w:r>
    </w:p>
    <w:p w14:paraId="79192CD0">
      <w:pPr>
        <w:pStyle w:val="13"/>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3</w:t>
      </w:r>
      <w:r>
        <w:rPr>
          <w:rFonts w:hint="eastAsia" w:ascii="仿宋_GB2312" w:eastAsia="仿宋_GB2312"/>
          <w:color w:val="auto"/>
          <w:sz w:val="32"/>
          <w:szCs w:val="32"/>
          <w:lang w:eastAsia="zh-CN"/>
        </w:rPr>
        <w:t>）持续完善广州社工“红棉守护”热线记录、台账，持续跟进重点服务对象动态需求，深化社区社会组织、志愿队伍常态化项目合作，从单次探访、活动转向长效特色项目打造。</w:t>
      </w:r>
    </w:p>
    <w:p w14:paraId="77DBEC10">
      <w:pPr>
        <w:pStyle w:val="13"/>
        <w:pageBreakBefore w:val="0"/>
        <w:widowControl w:val="0"/>
        <w:numPr>
          <w:ilvl w:val="0"/>
          <w:numId w:val="0"/>
        </w:numPr>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b/>
          <w:bCs/>
          <w:color w:val="auto"/>
          <w:sz w:val="32"/>
          <w:szCs w:val="32"/>
        </w:rPr>
      </w:pPr>
      <w:r>
        <w:rPr>
          <w:rFonts w:hint="eastAsia" w:ascii="仿宋_GB2312" w:eastAsia="仿宋_GB2312"/>
          <w:b/>
          <w:bCs/>
          <w:color w:val="auto"/>
          <w:sz w:val="32"/>
          <w:szCs w:val="32"/>
          <w:lang w:eastAsia="zh-CN"/>
        </w:rPr>
        <w:t>（五）</w:t>
      </w:r>
      <w:r>
        <w:rPr>
          <w:rFonts w:hint="eastAsia" w:ascii="仿宋_GB2312" w:eastAsia="仿宋_GB2312"/>
          <w:b/>
          <w:bCs/>
          <w:color w:val="auto"/>
          <w:sz w:val="32"/>
          <w:szCs w:val="32"/>
        </w:rPr>
        <w:t>服务质量情况</w:t>
      </w:r>
    </w:p>
    <w:p w14:paraId="331A6BFF">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b/>
          <w:bCs/>
          <w:color w:val="auto"/>
          <w:sz w:val="32"/>
          <w:szCs w:val="32"/>
          <w:lang w:val="en-US" w:eastAsia="zh-CN"/>
        </w:rPr>
      </w:pPr>
      <w:r>
        <w:rPr>
          <w:rFonts w:hint="eastAsia" w:ascii="仿宋_GB2312" w:eastAsia="仿宋_GB2312"/>
          <w:b/>
          <w:bCs/>
          <w:color w:val="auto"/>
          <w:sz w:val="32"/>
          <w:szCs w:val="32"/>
          <w:lang w:val="en-US" w:eastAsia="zh-CN"/>
        </w:rPr>
        <w:t>第一片区：星汇社区</w:t>
      </w:r>
    </w:p>
    <w:p w14:paraId="16D4858C">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1.值得肯定的地方</w:t>
      </w:r>
    </w:p>
    <w:p w14:paraId="33E09CCC">
      <w:pPr>
        <w:pStyle w:val="13"/>
        <w:pageBreakBefore w:val="0"/>
        <w:widowControl w:val="0"/>
        <w:kinsoku/>
        <w:wordWrap/>
        <w:overflowPunct/>
        <w:topLinePunct w:val="0"/>
        <w:autoSpaceDE/>
        <w:autoSpaceDN/>
        <w:bidi w:val="0"/>
        <w:adjustRightInd/>
        <w:snapToGrid/>
        <w:spacing w:after="0" w:line="520" w:lineRule="exact"/>
        <w:ind w:firstLine="580"/>
        <w:jc w:val="both"/>
        <w:textAlignment w:val="auto"/>
        <w:rPr>
          <w:rFonts w:hint="eastAsia"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经评委评估分析访谈情况和查阅项目调研、服务方案等各类服务工作痕迹记录资料，项目执行和成效总体情况有以下几方面值得肯定：</w:t>
      </w:r>
    </w:p>
    <w:p w14:paraId="2976E9D2">
      <w:pPr>
        <w:pStyle w:val="13"/>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eastAsia="zh-CN"/>
        </w:rPr>
      </w:pPr>
      <w:bookmarkStart w:id="37" w:name="bookmark46"/>
      <w:bookmarkEnd w:id="37"/>
      <w:bookmarkStart w:id="38" w:name="bookmark47"/>
      <w:bookmarkEnd w:id="38"/>
      <w:bookmarkStart w:id="39" w:name="bookmark48"/>
      <w:bookmarkEnd w:id="39"/>
      <w:r>
        <w:rPr>
          <w:rFonts w:hint="eastAsia" w:ascii="仿宋_GB2312" w:eastAsia="仿宋_GB2312"/>
          <w:color w:val="auto"/>
          <w:sz w:val="32"/>
          <w:szCs w:val="32"/>
          <w:lang w:eastAsia="zh-CN"/>
        </w:rPr>
        <w:t>（1）第一片区扎实落实困难群众和特殊群体的“一户一档、一人一案”的建档全覆盖和日常跟进服务。</w:t>
      </w:r>
      <w:r>
        <w:rPr>
          <w:rFonts w:hint="eastAsia" w:ascii="仿宋_GB2312" w:eastAsia="仿宋_GB2312"/>
          <w:color w:val="auto"/>
          <w:sz w:val="32"/>
          <w:szCs w:val="32"/>
          <w:lang w:val="en-US" w:eastAsia="zh-CN"/>
        </w:rPr>
        <w:t>本周期</w:t>
      </w:r>
      <w:r>
        <w:rPr>
          <w:rFonts w:hint="eastAsia" w:ascii="仿宋_GB2312" w:eastAsia="仿宋_GB2312"/>
          <w:color w:val="auto"/>
          <w:sz w:val="32"/>
          <w:szCs w:val="32"/>
          <w:lang w:eastAsia="zh-CN"/>
        </w:rPr>
        <w:t>总建档23户，26人，系统查阅显示团队对困难群众和特殊群体能通过探访、电访、入户政策宣传、重大节日慰问等形式落实各项服务。</w:t>
      </w:r>
    </w:p>
    <w:p w14:paraId="1B05ABB5">
      <w:pPr>
        <w:pStyle w:val="13"/>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2）第一片区结合辖区内困难群众和特殊群体的问题需求和社区情况，以“融爱星汇”为服务主题并通过党建引领、撬动社会慈善资源、双岗联动回应兜底性民生和基础性民生服务。尤其能联动志愿者队伍、社区内外社会组织、资源回应困难群众和特殊群体的个性化问题、能力提升、社会融入等需求。</w:t>
      </w:r>
    </w:p>
    <w:p w14:paraId="18BEFD18">
      <w:pPr>
        <w:pStyle w:val="13"/>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3）第一片区本服务周期内各项服务指标完成较好。本周期内整合18个资源主体，链接物资4万余元、慰问物资75份、圆梦微心愿9个回应兜底性民生服务，在重大节日进行慰问，探访79人次、电访112人；服务产出方面能按照个案、小组、社区服务流程和指引开展专业个案2个，小组</w:t>
      </w:r>
      <w:r>
        <w:rPr>
          <w:rFonts w:hint="eastAsia" w:ascii="仿宋_GB2312" w:eastAsia="仿宋_GB2312"/>
          <w:color w:val="auto"/>
          <w:sz w:val="32"/>
          <w:szCs w:val="32"/>
          <w:lang w:val="en-US" w:eastAsia="zh-CN"/>
        </w:rPr>
        <w:t>1</w:t>
      </w:r>
      <w:r>
        <w:rPr>
          <w:rFonts w:hint="eastAsia" w:ascii="仿宋_GB2312" w:eastAsia="仿宋_GB2312"/>
          <w:color w:val="auto"/>
          <w:sz w:val="32"/>
          <w:szCs w:val="32"/>
          <w:lang w:eastAsia="zh-CN"/>
        </w:rPr>
        <w:t>个，各类社区活动4场，撰写服务案例2篇。</w:t>
      </w:r>
    </w:p>
    <w:p w14:paraId="1C51395E">
      <w:pPr>
        <w:pStyle w:val="13"/>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2.需要关注的地方</w:t>
      </w:r>
    </w:p>
    <w:p w14:paraId="33D661D8">
      <w:pPr>
        <w:pStyle w:val="13"/>
        <w:pageBreakBefore w:val="0"/>
        <w:widowControl w:val="0"/>
        <w:kinsoku/>
        <w:wordWrap/>
        <w:overflowPunct/>
        <w:topLinePunct w:val="0"/>
        <w:autoSpaceDE/>
        <w:autoSpaceDN/>
        <w:bidi w:val="0"/>
        <w:adjustRightInd/>
        <w:snapToGrid/>
        <w:spacing w:after="0" w:line="520" w:lineRule="exact"/>
        <w:ind w:firstLine="580"/>
        <w:jc w:val="both"/>
        <w:textAlignment w:val="auto"/>
        <w:rPr>
          <w:rFonts w:hint="eastAsia"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经评委评估分析访谈情况和查阅项目调研、服务方案等各类服务工作痕迹记录资料，项目执行和成效总体情况有以下几方面需关注：</w:t>
      </w:r>
    </w:p>
    <w:p w14:paraId="61E9452B">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第一片区仍需进一步关注困难群众和特殊群体需求与社区问题的梳理总结，以此支撑服务策略优化。本周期对困难群众和特殊群体的服务针对性较强，但对社区融入方面稍显不够。建议团队结合现有服务内容，系统梳理困难群众和特殊群体需求与社区的特征，立足双工联动、资源整合、社区慈善等关键板块深化探索，为后续服务规划与落地推进提供扎实、可行的参考依据。</w:t>
      </w:r>
    </w:p>
    <w:p w14:paraId="651DDE45">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建议继续加强相关服务资料的系统上传、分类匹配工作。社工站层面仍需提高对线上评估平台使用的重视程度，加强对社工的培训、指导，熟悉整理重要服务记录的分类上传，尤其是典型案例、亮点服务、跟踪回访机制、民生政策宣传等方面工作，如，5场民生政策宣传活动系统显示兜底服务人数均为1人，需进一步实现服务的记录有效呈现，凸显服务的成效性。</w:t>
      </w:r>
    </w:p>
    <w:p w14:paraId="47841B04">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服务成效呈现仍需继续关注。建议第一片区在服务成效的呈现上着力强化两个层面的对接：一是提升服务总结与成效评估对服务目标的回应，确保策略执行的一致性；二是将总体服务规划中的兜底民生服务及基础民生服务举措在片区层面的细化落地，形成“精准回应兜底，普惠覆盖大众”的策略，既契合片区的整体服务逻辑，又能聚焦困难群众和特殊群体的核心问题。</w:t>
      </w:r>
    </w:p>
    <w:p w14:paraId="04948852">
      <w:pPr>
        <w:pStyle w:val="13"/>
        <w:pageBreakBefore w:val="0"/>
        <w:widowControl w:val="0"/>
        <w:kinsoku/>
        <w:wordWrap/>
        <w:overflowPunct/>
        <w:topLinePunct w:val="0"/>
        <w:autoSpaceDE/>
        <w:autoSpaceDN/>
        <w:bidi w:val="0"/>
        <w:adjustRightInd/>
        <w:snapToGrid/>
        <w:spacing w:after="0" w:line="520" w:lineRule="exact"/>
        <w:ind w:left="0" w:leftChars="0" w:firstLine="643" w:firstLineChars="200"/>
        <w:jc w:val="both"/>
        <w:textAlignment w:val="auto"/>
        <w:rPr>
          <w:rFonts w:hint="eastAsia" w:ascii="仿宋_GB2312" w:eastAsia="仿宋_GB2312"/>
          <w:b/>
          <w:bCs/>
          <w:color w:val="auto"/>
          <w:sz w:val="32"/>
          <w:szCs w:val="32"/>
          <w:highlight w:val="none"/>
          <w:lang w:val="en-US" w:eastAsia="zh-CN"/>
        </w:rPr>
      </w:pPr>
      <w:r>
        <w:rPr>
          <w:rFonts w:hint="eastAsia" w:ascii="仿宋_GB2312" w:eastAsia="仿宋_GB2312"/>
          <w:b/>
          <w:bCs/>
          <w:color w:val="auto"/>
          <w:sz w:val="32"/>
          <w:szCs w:val="32"/>
          <w:highlight w:val="none"/>
          <w:lang w:val="en-US" w:eastAsia="zh-CN"/>
        </w:rPr>
        <w:t>第二</w:t>
      </w:r>
      <w:r>
        <w:rPr>
          <w:rFonts w:hint="eastAsia" w:ascii="仿宋_GB2312" w:eastAsia="仿宋_GB2312"/>
          <w:b/>
          <w:bCs/>
          <w:color w:val="auto"/>
          <w:sz w:val="32"/>
          <w:szCs w:val="32"/>
          <w:highlight w:val="none"/>
          <w:lang w:eastAsia="zh-CN"/>
        </w:rPr>
        <w:t>片区：</w:t>
      </w:r>
      <w:r>
        <w:rPr>
          <w:rFonts w:hint="eastAsia" w:ascii="仿宋_GB2312" w:eastAsia="仿宋_GB2312"/>
          <w:b/>
          <w:bCs/>
          <w:color w:val="auto"/>
          <w:sz w:val="32"/>
          <w:szCs w:val="32"/>
          <w:highlight w:val="none"/>
          <w:lang w:val="en-US" w:eastAsia="zh-CN"/>
        </w:rPr>
        <w:t>南亭村、穗石村</w:t>
      </w:r>
    </w:p>
    <w:p w14:paraId="02691EF0">
      <w:pPr>
        <w:pStyle w:val="13"/>
        <w:pageBreakBefore w:val="0"/>
        <w:widowControl w:val="0"/>
        <w:numPr>
          <w:ilvl w:val="0"/>
          <w:numId w:val="0"/>
        </w:numPr>
        <w:tabs>
          <w:tab w:val="left" w:pos="972"/>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color w:val="auto"/>
          <w:sz w:val="32"/>
          <w:szCs w:val="32"/>
        </w:rPr>
      </w:pPr>
      <w:bookmarkStart w:id="40" w:name="bookmark57"/>
      <w:bookmarkEnd w:id="40"/>
      <w:r>
        <w:rPr>
          <w:rFonts w:hint="eastAsia" w:ascii="仿宋_GB2312" w:eastAsia="仿宋_GB2312"/>
          <w:b/>
          <w:bCs/>
          <w:color w:val="auto"/>
          <w:sz w:val="32"/>
          <w:szCs w:val="32"/>
          <w:lang w:val="en-US" w:eastAsia="zh-CN"/>
        </w:rPr>
        <w:t>1.</w:t>
      </w:r>
      <w:r>
        <w:rPr>
          <w:rFonts w:hint="eastAsia" w:ascii="仿宋_GB2312" w:eastAsia="仿宋_GB2312"/>
          <w:b/>
          <w:bCs/>
          <w:color w:val="auto"/>
          <w:sz w:val="32"/>
          <w:szCs w:val="32"/>
        </w:rPr>
        <w:t>值得肯定的地方</w:t>
      </w:r>
    </w:p>
    <w:p w14:paraId="516F796C">
      <w:pPr>
        <w:pStyle w:val="13"/>
        <w:pageBreakBefore w:val="0"/>
        <w:widowControl w:val="0"/>
        <w:kinsoku/>
        <w:wordWrap/>
        <w:overflowPunct/>
        <w:topLinePunct w:val="0"/>
        <w:autoSpaceDE/>
        <w:autoSpaceDN/>
        <w:bidi w:val="0"/>
        <w:adjustRightInd/>
        <w:snapToGrid/>
        <w:spacing w:after="0" w:line="520" w:lineRule="exact"/>
        <w:ind w:firstLine="580"/>
        <w:jc w:val="both"/>
        <w:textAlignment w:val="auto"/>
        <w:rPr>
          <w:rFonts w:hint="eastAsia"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w:t>
      </w:r>
      <w:r>
        <w:rPr>
          <w:rFonts w:hint="eastAsia" w:ascii="仿宋_GB2312" w:eastAsia="仿宋_GB2312"/>
          <w:color w:val="auto"/>
          <w:sz w:val="32"/>
          <w:szCs w:val="32"/>
          <w:lang w:eastAsia="zh-CN"/>
        </w:rPr>
        <w:t>目在</w:t>
      </w:r>
      <w:r>
        <w:rPr>
          <w:rFonts w:hint="eastAsia" w:ascii="仿宋_GB2312" w:eastAsia="仿宋_GB2312"/>
          <w:color w:val="auto"/>
          <w:sz w:val="32"/>
          <w:szCs w:val="32"/>
        </w:rPr>
        <w:t>以下几方面值得肯定：</w:t>
      </w:r>
      <w:bookmarkStart w:id="41" w:name="bookmark59"/>
      <w:bookmarkEnd w:id="41"/>
      <w:bookmarkStart w:id="42" w:name="bookmark58"/>
      <w:bookmarkEnd w:id="42"/>
    </w:p>
    <w:p w14:paraId="3BD4D0AF">
      <w:pPr>
        <w:pStyle w:val="13"/>
        <w:pageBreakBefore w:val="0"/>
        <w:widowControl w:val="0"/>
        <w:tabs>
          <w:tab w:val="left" w:pos="986"/>
        </w:tabs>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val="en-US" w:eastAsia="zh-CN"/>
        </w:rPr>
      </w:pPr>
      <w:bookmarkStart w:id="43" w:name="bookmark60"/>
      <w:bookmarkEnd w:id="43"/>
      <w:r>
        <w:rPr>
          <w:rFonts w:hint="eastAsia" w:ascii="仿宋_GB2312" w:eastAsia="仿宋_GB2312"/>
          <w:color w:val="auto"/>
          <w:sz w:val="32"/>
          <w:szCs w:val="32"/>
          <w:lang w:val="en-US" w:eastAsia="zh-CN"/>
        </w:rPr>
        <w:t>（1）服务指标完成情况良好。本周期，第二片区全面完成困难群众和特殊群体建档194户212人，实现“一户一档”全覆盖，为精准服务夯实了数据基础。常态化执行“电访+实地探访”机制，累计入户探访815人次、电访及其他形式跟进616人次，动态掌握困难群众和特殊群体的生活状况及需求变化；同时，依据评估结果实行分级分类管理，切实筑牢民生兜底保障底线。专业服务层面，共开展个案服务7个，涵盖能力提升、问题解决、情绪支持、政策帮扶等多维度内容，有效回应个别化难题；开展小组1个、社区活动8场，显著提升长者群体的健康管理意识；举办“兜底民生”政策宣传活动6场，扩大了养老服务等惠民政策在困难群众和特殊群体及普通居民中的知晓率。整体来看，各项指标较好地契合了困难群众和特殊群体的多元需求，服务覆盖面广、针对性强，服务质量获各方认可。</w:t>
      </w:r>
    </w:p>
    <w:p w14:paraId="2F7DC8BE">
      <w:pPr>
        <w:pStyle w:val="13"/>
        <w:pageBreakBefore w:val="0"/>
        <w:widowControl w:val="0"/>
        <w:tabs>
          <w:tab w:val="left" w:pos="986"/>
        </w:tabs>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基础性民生服务保障有力。第二片区围绕社区健康需求突出的实际情况，积极联动社区医院、企业、专才志愿者队伍、社区社会组织等多元主体，系列化设计和实施健康管理服务；链接社区基金等项目与各合作方构建稳固合作关系，搭建健康管护与情绪支持于一体的多元协作平台，整合物资折合价值11万余元，切实缓解困难群众和特殊群体经济与精神压力；对困难群众和特殊群体开展高频次探访电访服务，跟进目标明确记录详细，服务措施得力专业手法及策略得当。</w:t>
      </w:r>
    </w:p>
    <w:p w14:paraId="3EC78723">
      <w:pPr>
        <w:pStyle w:val="13"/>
        <w:pageBreakBefore w:val="0"/>
        <w:widowControl w:val="0"/>
        <w:tabs>
          <w:tab w:val="left" w:pos="986"/>
        </w:tabs>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社会参与持续深化，基层服务力量不断夯实。本周期，带动3支队伍开展志愿服务38场次，184人次志愿者服务居民1577人次，协同开展社区服务；积极发掘和培育志愿者骨干及专项志愿服务队伍，着力打造老年志愿者队伍“耆乐向阳志愿队”与高校志愿者队伍“卫宁志愿服务队”，发掘专业、可持续的高校青年志愿力量每周常态化开展健康服务；联动22个资源主体参与社区服务，显著增强了多元主体的社区参与意识，社会参与的广度与深度均有显著提升。</w:t>
      </w:r>
    </w:p>
    <w:p w14:paraId="6D18E6D4">
      <w:pPr>
        <w:pStyle w:val="13"/>
        <w:pageBreakBefore w:val="0"/>
        <w:widowControl w:val="0"/>
        <w:tabs>
          <w:tab w:val="left" w:pos="986"/>
        </w:tabs>
        <w:kinsoku/>
        <w:wordWrap/>
        <w:overflowPunct/>
        <w:topLinePunct w:val="0"/>
        <w:autoSpaceDE/>
        <w:autoSpaceDN/>
        <w:bidi w:val="0"/>
        <w:adjustRightInd/>
        <w:snapToGrid/>
        <w:spacing w:after="0" w:line="520" w:lineRule="exact"/>
        <w:ind w:firstLine="643" w:firstLineChars="200"/>
        <w:jc w:val="both"/>
        <w:textAlignment w:val="auto"/>
        <w:rPr>
          <w:rFonts w:ascii="仿宋_GB2312" w:eastAsia="仿宋_GB2312"/>
          <w:color w:val="auto"/>
          <w:sz w:val="32"/>
          <w:szCs w:val="32"/>
        </w:rPr>
      </w:pPr>
      <w:r>
        <w:rPr>
          <w:rFonts w:hint="eastAsia" w:ascii="仿宋_GB2312" w:eastAsia="仿宋_GB2312"/>
          <w:b/>
          <w:bCs/>
          <w:color w:val="auto"/>
          <w:sz w:val="32"/>
          <w:szCs w:val="32"/>
          <w:lang w:val="en-US" w:eastAsia="zh-CN"/>
        </w:rPr>
        <w:t>2.</w:t>
      </w:r>
      <w:r>
        <w:rPr>
          <w:rFonts w:hint="eastAsia" w:ascii="仿宋_GB2312" w:eastAsia="仿宋_GB2312"/>
          <w:b/>
          <w:bCs/>
          <w:color w:val="auto"/>
          <w:sz w:val="32"/>
          <w:szCs w:val="32"/>
        </w:rPr>
        <w:t>需要关注的地方</w:t>
      </w:r>
    </w:p>
    <w:p w14:paraId="1AA40716">
      <w:pPr>
        <w:pStyle w:val="13"/>
        <w:pageBreakBefore w:val="0"/>
        <w:widowControl w:val="0"/>
        <w:kinsoku/>
        <w:wordWrap/>
        <w:overflowPunct/>
        <w:topLinePunct w:val="0"/>
        <w:autoSpaceDE/>
        <w:autoSpaceDN/>
        <w:bidi w:val="0"/>
        <w:adjustRightInd/>
        <w:snapToGrid/>
        <w:spacing w:after="0" w:line="520" w:lineRule="exact"/>
        <w:ind w:firstLine="580"/>
        <w:jc w:val="both"/>
        <w:textAlignment w:val="auto"/>
        <w:rPr>
          <w:rFonts w:hint="eastAsia" w:ascii="仿宋_GB2312" w:eastAsia="仿宋_GB2312"/>
          <w:color w:val="auto"/>
          <w:sz w:val="32"/>
          <w:szCs w:val="32"/>
        </w:rPr>
      </w:pPr>
      <w:r>
        <w:rPr>
          <w:rFonts w:hint="eastAsia" w:ascii="仿宋_GB2312" w:eastAsia="仿宋_GB2312"/>
          <w:color w:val="auto"/>
          <w:sz w:val="32"/>
          <w:szCs w:val="32"/>
        </w:rPr>
        <w:t>经评委评估分析访谈情况和查阅项目调研、服务</w:t>
      </w:r>
      <w:r>
        <w:rPr>
          <w:rFonts w:hint="eastAsia" w:ascii="仿宋_GB2312" w:eastAsia="仿宋_GB2312"/>
          <w:color w:val="auto"/>
          <w:sz w:val="32"/>
          <w:szCs w:val="32"/>
          <w:lang w:eastAsia="zh-CN"/>
        </w:rPr>
        <w:t>方案</w:t>
      </w:r>
      <w:r>
        <w:rPr>
          <w:rFonts w:hint="eastAsia" w:ascii="仿宋_GB2312" w:eastAsia="仿宋_GB2312"/>
          <w:color w:val="auto"/>
          <w:sz w:val="32"/>
          <w:szCs w:val="32"/>
        </w:rPr>
        <w:t>等各类服务工作痕迹记录资料，该项目以下方面需关注：</w:t>
      </w:r>
    </w:p>
    <w:p w14:paraId="2D3F64C0">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b w:val="0"/>
          <w:bCs w:val="0"/>
          <w:color w:val="auto"/>
          <w:sz w:val="32"/>
          <w:szCs w:val="32"/>
          <w:highlight w:val="none"/>
          <w:lang w:val="en-US" w:eastAsia="zh-CN"/>
        </w:rPr>
      </w:pPr>
      <w:bookmarkStart w:id="44" w:name="bookmark62"/>
      <w:bookmarkEnd w:id="44"/>
      <w:bookmarkStart w:id="45" w:name="bookmark61"/>
      <w:bookmarkEnd w:id="45"/>
      <w:r>
        <w:rPr>
          <w:rFonts w:hint="eastAsia" w:ascii="仿宋_GB2312" w:eastAsia="仿宋_GB2312"/>
          <w:b w:val="0"/>
          <w:bCs w:val="0"/>
          <w:color w:val="auto"/>
          <w:sz w:val="32"/>
          <w:szCs w:val="32"/>
          <w:highlight w:val="none"/>
          <w:lang w:val="en-US" w:eastAsia="zh-CN"/>
        </w:rPr>
        <w:t>（1）建议进一步提升服务文书的精细化程度与逻辑严谨性。部分建档对象在评估定级过程中存在标准把握不到位、勾选项与文字描述不一致、等级调整依据不充分等问题。应高度重视文书撰写的专业性，在评估定级环节更为精准地理解并应用各项评估标准，在服务动态调整阶段特别注重保障文书内容的前后逻辑连贯与内在一致性，确保文书档案所有勾选项目与详实的文字说明能够紧密关联、相互印证，从而清晰、完整地展现服务介入的动因，客观、详实地记录服务推进的历程与最终取得的成效。</w:t>
      </w:r>
    </w:p>
    <w:p w14:paraId="4DD40EFB">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b w:val="0"/>
          <w:bCs w:val="0"/>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2）建议进一步精准匹配服务需求与服务资源，强化服务供给与案主需求的契合度。可结合过往专业服务经验进行系统性梳理，并通过深度实际走访持续总结规律，从而更敏锐地识别和界定不同服务对象的差异化、多层次需求。在此基础上积极拓展并整合辖区内外多元化的可用资源，构建更为丰富、灵活的资源库。针对每位建档对象现阶段的核心诉求，精心设计具有高度个别化与可操作性的服务计划，确保每一份计划都能精准回应案主的特定问题，致力于更有效地解决眼前困难，更能致力于完善和巩固其社会支持网络，连接必要的正式与非正式支持，从而推动整个服务项目更加精准、高效地实施，最终实现服务成效的持续深化与长远巩固。</w:t>
      </w:r>
    </w:p>
    <w:p w14:paraId="4D950208">
      <w:pPr>
        <w:pStyle w:val="13"/>
        <w:pageBreakBefore w:val="0"/>
        <w:widowControl w:val="0"/>
        <w:kinsoku/>
        <w:wordWrap/>
        <w:overflowPunct/>
        <w:topLinePunct w:val="0"/>
        <w:autoSpaceDE/>
        <w:autoSpaceDN/>
        <w:bidi w:val="0"/>
        <w:adjustRightInd/>
        <w:snapToGrid/>
        <w:spacing w:after="0" w:line="520" w:lineRule="exact"/>
        <w:ind w:left="0" w:leftChars="0" w:firstLine="643" w:firstLineChars="200"/>
        <w:jc w:val="both"/>
        <w:textAlignment w:val="auto"/>
        <w:rPr>
          <w:rFonts w:hint="eastAsia" w:ascii="仿宋_GB2312" w:eastAsia="仿宋_GB2312"/>
          <w:b/>
          <w:bCs/>
          <w:color w:val="auto"/>
          <w:sz w:val="32"/>
          <w:szCs w:val="32"/>
          <w:lang w:val="en-US" w:eastAsia="zh-CN"/>
        </w:rPr>
      </w:pPr>
      <w:r>
        <w:rPr>
          <w:rFonts w:hint="eastAsia" w:ascii="仿宋_GB2312" w:eastAsia="仿宋_GB2312"/>
          <w:b/>
          <w:bCs/>
          <w:color w:val="auto"/>
          <w:sz w:val="32"/>
          <w:szCs w:val="32"/>
          <w:lang w:val="en-US" w:eastAsia="zh-CN"/>
        </w:rPr>
        <w:t>第三</w:t>
      </w:r>
      <w:r>
        <w:rPr>
          <w:rFonts w:hint="eastAsia" w:ascii="仿宋_GB2312" w:eastAsia="仿宋_GB2312"/>
          <w:b/>
          <w:bCs/>
          <w:color w:val="auto"/>
          <w:sz w:val="32"/>
          <w:szCs w:val="32"/>
          <w:lang w:eastAsia="zh-CN"/>
        </w:rPr>
        <w:t>片区：</w:t>
      </w:r>
      <w:r>
        <w:rPr>
          <w:rFonts w:hint="eastAsia" w:ascii="仿宋_GB2312" w:eastAsia="仿宋_GB2312"/>
          <w:b/>
          <w:bCs/>
          <w:color w:val="auto"/>
          <w:sz w:val="32"/>
          <w:szCs w:val="32"/>
          <w:lang w:val="en-US" w:eastAsia="zh-CN"/>
        </w:rPr>
        <w:t>贝岗村、北亭村</w:t>
      </w:r>
    </w:p>
    <w:p w14:paraId="38034D6C">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p>
    <w:p w14:paraId="6AF1A1BD">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w:t>
      </w:r>
      <w:r>
        <w:rPr>
          <w:rFonts w:hint="eastAsia" w:ascii="仿宋_GB2312" w:eastAsia="仿宋_GB2312"/>
          <w:color w:val="auto"/>
          <w:sz w:val="32"/>
          <w:szCs w:val="32"/>
          <w:lang w:eastAsia="zh-CN"/>
        </w:rPr>
        <w:t>目在</w:t>
      </w:r>
      <w:r>
        <w:rPr>
          <w:rFonts w:hint="eastAsia" w:ascii="仿宋_GB2312" w:eastAsia="仿宋_GB2312"/>
          <w:color w:val="auto"/>
          <w:sz w:val="32"/>
          <w:szCs w:val="32"/>
        </w:rPr>
        <w:t>以下几方面值得肯定：</w:t>
      </w:r>
    </w:p>
    <w:p w14:paraId="0EB98053">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color w:val="auto"/>
          <w:sz w:val="32"/>
          <w:szCs w:val="32"/>
          <w:lang w:val="en-US" w:eastAsia="zh-CN"/>
        </w:rPr>
      </w:pPr>
      <w:bookmarkStart w:id="46" w:name="bookmark66"/>
      <w:bookmarkEnd w:id="46"/>
      <w:bookmarkStart w:id="47" w:name="bookmark63"/>
      <w:bookmarkEnd w:id="47"/>
      <w:bookmarkStart w:id="48" w:name="bookmark64"/>
      <w:bookmarkEnd w:id="48"/>
      <w:bookmarkStart w:id="49" w:name="bookmark65"/>
      <w:bookmarkEnd w:id="49"/>
      <w:r>
        <w:rPr>
          <w:rFonts w:hint="eastAsia" w:ascii="仿宋_GB2312" w:eastAsia="仿宋_GB2312"/>
          <w:color w:val="auto"/>
          <w:sz w:val="32"/>
          <w:szCs w:val="32"/>
          <w:lang w:val="en-US" w:eastAsia="zh-CN"/>
        </w:rPr>
        <w:t>（1）服务指标完成情况良好。本周期，第三片区全面完成困难群众和特殊群体建档177户192人，实现“一户一档”全覆盖，为精准服务夯实了数据基础。落实服务对象分级管理要求，累计入户探访783人次、电访跟进483人次，常态化推进探访关爱工作强化专业服务供给。专业服务层面，共开展个案服务6个，涵盖能力提升、问题解决、情绪支持、政策帮扶等多维度内容，有效回应个别化难题；开展小组1个、社区活动8场，聚焦长者关爱、适老化关怀、便民惠民等重点服务领域；举办“兜底民生”政策宣传活动6场，提升惠民政策在困难群众和特殊群体及普通居民中的知晓率。整体来看，各项指标均达要求，有效丰富了社区公共服务供给，化解困难群众和特殊群体生活困境，传递民生温暖。</w:t>
      </w:r>
    </w:p>
    <w:p w14:paraId="2DDFD111">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专业服务精准度持续提升。本周期，第三片区聚焦不同群体的个性化需求强化服务赋能，围绕社区内身心困境、居家安全、家庭照料、社会支持缺失等常见问题开展精准施策。先后链接资源推出一系列针对性服务：联合高校支教志愿者开展一对一课业辅导与安全教育，组织残疾人情绪管理与同伴交流活动，开设长者及残疾人用药与照护技巧提升课程，帮助服务对象提升自我管理能力；链接各类帮扶物资，折合总价值15.6万元，进一步织密民生服务与社会支持网络；针对困难群众和特殊群体开展高频次探访电访，跟进目标明确，服务记录详细。</w:t>
      </w:r>
    </w:p>
    <w:p w14:paraId="547661A9">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五社联动机制持续深化。第三片区积极拓展合作网络，成功联动社区内外包括社会组织、爱心企业、高校社团、志愿者团体及社区能人在内的各类资源主体超过20个，有效整合各方优势，构筑起一个更加立体、更具活力的多元协同服务体系。在这一体系支撑下，团队常态化组织开展形式多样、贴近需求的公益便民服务活动，如社区义诊、法律咨询、家电维修等，切实解决居民生活实际问题。同时，注重构建和谐邻里关系，通过搭建各类社交互动平台，如组织节庆联欢活动、开设兴趣小组等，有力丰富了广大居民的精神文化生活内容，有效增进了居民间的沟通与情感连接，显著提升了社区归属感与凝聚力，共同营造出守望相助和乐共融的温暖社区氛围。</w:t>
      </w:r>
    </w:p>
    <w:p w14:paraId="09DD7FEB">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p>
    <w:p w14:paraId="792403E2">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等各类服务工作痕迹记录资料，该项目以下几方面需关注：</w:t>
      </w:r>
    </w:p>
    <w:p w14:paraId="0AFD16B8">
      <w:pPr>
        <w:pStyle w:val="13"/>
        <w:pageBreakBefore w:val="0"/>
        <w:widowControl w:val="0"/>
        <w:kinsoku/>
        <w:wordWrap/>
        <w:overflowPunct/>
        <w:topLinePunct w:val="0"/>
        <w:autoSpaceDE/>
        <w:autoSpaceDN/>
        <w:bidi w:val="0"/>
        <w:adjustRightInd/>
        <w:snapToGrid/>
        <w:spacing w:after="0" w:line="520" w:lineRule="exact"/>
        <w:ind w:firstLine="740"/>
        <w:jc w:val="both"/>
        <w:textAlignment w:val="auto"/>
        <w:rPr>
          <w:rFonts w:hint="eastAsia" w:ascii="仿宋_GB2312" w:eastAsia="仿宋_GB2312"/>
          <w:b w:val="0"/>
          <w:bCs w:val="0"/>
          <w:color w:val="auto"/>
          <w:sz w:val="32"/>
          <w:szCs w:val="32"/>
          <w:highlight w:val="none"/>
          <w:lang w:eastAsia="zh-CN"/>
        </w:rPr>
      </w:pPr>
      <w:bookmarkStart w:id="50" w:name="bookmark69"/>
      <w:bookmarkEnd w:id="50"/>
      <w:bookmarkStart w:id="51" w:name="bookmark67"/>
      <w:bookmarkEnd w:id="51"/>
      <w:bookmarkStart w:id="52" w:name="bookmark68"/>
      <w:bookmarkEnd w:id="52"/>
      <w:r>
        <w:rPr>
          <w:rFonts w:hint="eastAsia" w:ascii="仿宋_GB2312" w:eastAsia="仿宋_GB2312"/>
          <w:b w:val="0"/>
          <w:bCs w:val="0"/>
          <w:color w:val="auto"/>
          <w:sz w:val="32"/>
          <w:szCs w:val="32"/>
          <w:highlight w:val="none"/>
          <w:lang w:eastAsia="zh-CN"/>
        </w:rPr>
        <w:t>（1）建议进一步提升服务文册文档的精细化程度与内部逻辑缜密性。部分建档对象的评估定级工作存在标准理解与执行不够精准、勾选选项与后续文字描述内容存在出入、服务等级调整的依据表述不够具体明确等需要改进之处。可加强文书档案的规范化指引，使之能够更为清晰地记录下每一次服务介入的动因与背景，也能够更加客观、完整地呈现服务过程的推进轨迹与最终取得的实际成效，从而提升服务记录的规范性与公信力。</w:t>
      </w:r>
    </w:p>
    <w:p w14:paraId="7192A239">
      <w:pPr>
        <w:pStyle w:val="13"/>
        <w:pageBreakBefore w:val="0"/>
        <w:widowControl w:val="0"/>
        <w:kinsoku/>
        <w:wordWrap/>
        <w:overflowPunct/>
        <w:topLinePunct w:val="0"/>
        <w:autoSpaceDE/>
        <w:autoSpaceDN/>
        <w:bidi w:val="0"/>
        <w:adjustRightInd/>
        <w:snapToGrid/>
        <w:spacing w:after="0" w:line="520" w:lineRule="exact"/>
        <w:ind w:firstLine="740"/>
        <w:jc w:val="both"/>
        <w:textAlignment w:val="auto"/>
        <w:rPr>
          <w:rFonts w:hint="eastAsia" w:ascii="仿宋_GB2312" w:eastAsia="仿宋_GB2312"/>
          <w:b w:val="0"/>
          <w:bCs w:val="0"/>
          <w:color w:val="auto"/>
          <w:sz w:val="32"/>
          <w:szCs w:val="32"/>
          <w:highlight w:val="none"/>
          <w:lang w:eastAsia="zh-CN"/>
        </w:rPr>
      </w:pPr>
      <w:r>
        <w:rPr>
          <w:rFonts w:hint="eastAsia" w:ascii="仿宋_GB2312" w:eastAsia="仿宋_GB2312"/>
          <w:b w:val="0"/>
          <w:bCs w:val="0"/>
          <w:color w:val="auto"/>
          <w:sz w:val="32"/>
          <w:szCs w:val="32"/>
          <w:highlight w:val="none"/>
          <w:lang w:eastAsia="zh-CN"/>
        </w:rPr>
        <w:t>（2）建议进一步推动服务需求与服务资源之间实现更为精准的对接与匹配。针对困难群众和特殊群体建档阶段，应精心设计每一项具体的服务计划，着力提升计划本身对于服务对象复杂需求的针对性，确保服务项目的目标设定都方向明确、路径清晰，使服务对象能够更顺畅、更及时地获取到所需的政策信息支持、专业方法介入以及必要的物资帮扶，从而为后续服务项目的精准落地实施与服务成效的持续深化，奠定更加坚实、可靠的资源基础与协同高效的协作网络支撑。</w:t>
      </w:r>
    </w:p>
    <w:p w14:paraId="098989FE">
      <w:pPr>
        <w:pStyle w:val="13"/>
        <w:pageBreakBefore w:val="0"/>
        <w:widowControl w:val="0"/>
        <w:kinsoku/>
        <w:wordWrap/>
        <w:overflowPunct/>
        <w:topLinePunct w:val="0"/>
        <w:autoSpaceDE/>
        <w:autoSpaceDN/>
        <w:bidi w:val="0"/>
        <w:adjustRightInd/>
        <w:snapToGrid/>
        <w:spacing w:after="0" w:line="520" w:lineRule="exact"/>
        <w:ind w:firstLine="740"/>
        <w:jc w:val="both"/>
        <w:textAlignment w:val="auto"/>
        <w:rPr>
          <w:rFonts w:ascii="仿宋_GB2312" w:eastAsia="仿宋_GB2312"/>
          <w:b/>
          <w:bCs/>
          <w:color w:val="auto"/>
          <w:sz w:val="32"/>
          <w:szCs w:val="32"/>
        </w:rPr>
      </w:pPr>
      <w:r>
        <w:rPr>
          <w:rFonts w:hint="eastAsia" w:ascii="仿宋_GB2312" w:eastAsia="仿宋_GB2312"/>
          <w:b/>
          <w:bCs/>
          <w:color w:val="auto"/>
          <w:sz w:val="32"/>
          <w:szCs w:val="32"/>
          <w:lang w:eastAsia="zh-CN"/>
        </w:rPr>
        <w:t>（六）</w:t>
      </w:r>
      <w:r>
        <w:rPr>
          <w:rFonts w:hint="eastAsia" w:ascii="仿宋_GB2312" w:eastAsia="仿宋_GB2312"/>
          <w:b/>
          <w:bCs/>
          <w:color w:val="auto"/>
          <w:sz w:val="32"/>
          <w:szCs w:val="32"/>
        </w:rPr>
        <w:t>购买方反馈情况</w:t>
      </w:r>
    </w:p>
    <w:p w14:paraId="1726E9BB">
      <w:pPr>
        <w:pStyle w:val="13"/>
        <w:pageBreakBefore w:val="0"/>
        <w:widowControl w:val="0"/>
        <w:kinsoku/>
        <w:wordWrap/>
        <w:overflowPunct/>
        <w:topLinePunct w:val="0"/>
        <w:autoSpaceDE/>
        <w:autoSpaceDN/>
        <w:bidi w:val="0"/>
        <w:adjustRightInd/>
        <w:snapToGrid/>
        <w:spacing w:after="0" w:line="520" w:lineRule="exact"/>
        <w:ind w:firstLine="740"/>
        <w:jc w:val="both"/>
        <w:textAlignment w:val="auto"/>
        <w:rPr>
          <w:rFonts w:ascii="仿宋_GB2312" w:eastAsia="仿宋_GB2312"/>
          <w:b/>
          <w:bCs/>
          <w:color w:val="auto"/>
          <w:sz w:val="32"/>
          <w:szCs w:val="32"/>
        </w:rPr>
      </w:pPr>
      <w:r>
        <w:rPr>
          <w:rFonts w:hint="eastAsia" w:ascii="仿宋_GB2312" w:eastAsia="仿宋_GB2312"/>
          <w:b/>
          <w:bCs/>
          <w:color w:val="auto"/>
          <w:sz w:val="32"/>
          <w:szCs w:val="32"/>
        </w:rPr>
        <w:t>1.值得肯定的地方</w:t>
      </w:r>
    </w:p>
    <w:p w14:paraId="05D93559">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hAnsiTheme="minorEastAsia"/>
          <w:color w:val="auto"/>
          <w:sz w:val="32"/>
          <w:szCs w:val="32"/>
          <w:lang w:val="en-US" w:eastAsia="zh-CN"/>
        </w:rPr>
      </w:pPr>
      <w:r>
        <w:rPr>
          <w:rFonts w:hint="eastAsia" w:ascii="仿宋_GB2312" w:eastAsia="仿宋_GB2312"/>
          <w:color w:val="auto"/>
          <w:sz w:val="32"/>
          <w:szCs w:val="32"/>
        </w:rPr>
        <w:t>购买方（</w:t>
      </w:r>
      <w:r>
        <w:rPr>
          <w:rFonts w:hint="eastAsia" w:ascii="仿宋_GB2312" w:eastAsia="仿宋_GB2312"/>
          <w:color w:val="auto"/>
          <w:sz w:val="32"/>
          <w:szCs w:val="32"/>
          <w:lang w:val="en-US" w:eastAsia="zh-CN"/>
        </w:rPr>
        <w:t>小谷围街道办事处</w:t>
      </w:r>
      <w:r>
        <w:rPr>
          <w:rFonts w:hint="eastAsia" w:ascii="仿宋_GB2312" w:eastAsia="仿宋_GB2312"/>
          <w:color w:val="auto"/>
          <w:sz w:val="32"/>
          <w:szCs w:val="32"/>
        </w:rPr>
        <w:t>）认为，</w:t>
      </w:r>
      <w:r>
        <w:rPr>
          <w:rFonts w:hint="eastAsia" w:ascii="仿宋_GB2312" w:eastAsia="仿宋_GB2312"/>
          <w:color w:val="auto"/>
          <w:sz w:val="32"/>
          <w:szCs w:val="32"/>
          <w:lang w:eastAsia="zh-CN"/>
        </w:rPr>
        <w:t>社工站</w:t>
      </w:r>
      <w:r>
        <w:rPr>
          <w:rFonts w:hint="eastAsia" w:ascii="仿宋_GB2312" w:eastAsia="仿宋_GB2312"/>
          <w:color w:val="auto"/>
          <w:sz w:val="32"/>
          <w:szCs w:val="32"/>
          <w:lang w:val="en-US" w:eastAsia="zh-CN"/>
        </w:rPr>
        <w:t>坚持党的领导，配合小谷围街开展党建工作，社工站与村（居）委会、相关部门及合作单位协作顺畅。</w:t>
      </w:r>
    </w:p>
    <w:p w14:paraId="7D65021D">
      <w:pPr>
        <w:pStyle w:val="13"/>
        <w:pageBreakBefore w:val="0"/>
        <w:widowControl w:val="0"/>
        <w:kinsoku/>
        <w:wordWrap/>
        <w:overflowPunct/>
        <w:topLinePunct w:val="0"/>
        <w:autoSpaceDE/>
        <w:autoSpaceDN/>
        <w:bidi w:val="0"/>
        <w:adjustRightInd/>
        <w:snapToGrid/>
        <w:spacing w:after="0" w:line="520" w:lineRule="exact"/>
        <w:ind w:firstLine="58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p>
    <w:p w14:paraId="56E37C06">
      <w:pPr>
        <w:pStyle w:val="13"/>
        <w:pageBreakBefore w:val="0"/>
        <w:widowControl w:val="0"/>
        <w:kinsoku/>
        <w:wordWrap/>
        <w:overflowPunct/>
        <w:topLinePunct w:val="0"/>
        <w:autoSpaceDE/>
        <w:autoSpaceDN/>
        <w:bidi w:val="0"/>
        <w:adjustRightInd/>
        <w:snapToGrid/>
        <w:spacing w:after="0" w:line="520" w:lineRule="exact"/>
        <w:ind w:firstLine="74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rPr>
        <w:t>购买方（</w:t>
      </w:r>
      <w:r>
        <w:rPr>
          <w:rFonts w:hint="eastAsia" w:ascii="仿宋_GB2312" w:eastAsia="仿宋_GB2312"/>
          <w:color w:val="auto"/>
          <w:sz w:val="32"/>
          <w:szCs w:val="32"/>
          <w:lang w:val="en-US" w:eastAsia="zh-CN"/>
        </w:rPr>
        <w:t>小谷围街道办事处</w:t>
      </w:r>
      <w:r>
        <w:rPr>
          <w:rFonts w:hint="eastAsia" w:ascii="仿宋_GB2312" w:eastAsia="仿宋_GB2312"/>
          <w:color w:val="auto"/>
          <w:sz w:val="32"/>
          <w:szCs w:val="32"/>
        </w:rPr>
        <w:t>）认为，社工站</w:t>
      </w:r>
      <w:r>
        <w:rPr>
          <w:rFonts w:hint="eastAsia" w:ascii="仿宋_GB2312" w:eastAsia="仿宋_GB2312"/>
          <w:color w:val="auto"/>
          <w:sz w:val="32"/>
          <w:szCs w:val="32"/>
          <w:lang w:eastAsia="zh-CN"/>
        </w:rPr>
        <w:t>还需</w:t>
      </w:r>
      <w:r>
        <w:rPr>
          <w:rFonts w:hint="eastAsia" w:ascii="仿宋_GB2312" w:eastAsia="仿宋_GB2312"/>
          <w:color w:val="auto"/>
          <w:sz w:val="32"/>
          <w:szCs w:val="32"/>
          <w:lang w:val="en-US" w:eastAsia="zh-CN"/>
        </w:rPr>
        <w:t>加强打造服务品牌，助力社区慈善发展、慈善创投项目工作的成效提炼。</w:t>
      </w:r>
    </w:p>
    <w:p w14:paraId="2DEE7E6D">
      <w:pPr>
        <w:pStyle w:val="13"/>
        <w:keepNext w:val="0"/>
        <w:keepLines w:val="0"/>
        <w:pageBreakBefore w:val="0"/>
        <w:widowControl w:val="0"/>
        <w:numPr>
          <w:ilvl w:val="0"/>
          <w:numId w:val="2"/>
        </w:numPr>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b/>
          <w:bCs/>
          <w:sz w:val="32"/>
          <w:szCs w:val="32"/>
          <w:highlight w:val="none"/>
        </w:rPr>
      </w:pPr>
      <w:r>
        <w:rPr>
          <w:rFonts w:hint="eastAsia" w:ascii="仿宋_GB2312" w:eastAsia="仿宋_GB2312"/>
          <w:b/>
          <w:bCs/>
          <w:sz w:val="32"/>
          <w:szCs w:val="32"/>
          <w:highlight w:val="none"/>
        </w:rPr>
        <w:t>市督导中心反馈</w:t>
      </w:r>
    </w:p>
    <w:p w14:paraId="4C1C3B51">
      <w:pPr>
        <w:pStyle w:val="13"/>
        <w:keepNext w:val="0"/>
        <w:keepLines w:val="0"/>
        <w:pageBreakBefore w:val="0"/>
        <w:widowControl w:val="0"/>
        <w:kinsoku/>
        <w:wordWrap/>
        <w:overflowPunct/>
        <w:topLinePunct w:val="0"/>
        <w:autoSpaceDE/>
        <w:autoSpaceDN/>
        <w:bidi w:val="0"/>
        <w:adjustRightInd/>
        <w:snapToGrid/>
        <w:spacing w:after="0" w:line="520" w:lineRule="exact"/>
        <w:ind w:firstLine="643" w:firstLineChars="200"/>
        <w:jc w:val="both"/>
        <w:textAlignment w:val="auto"/>
        <w:rPr>
          <w:rFonts w:hint="eastAsia"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67FAAB63">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sz w:val="32"/>
          <w:szCs w:val="32"/>
        </w:rPr>
      </w:pPr>
      <w:r>
        <w:rPr>
          <w:rFonts w:hint="eastAsia" w:ascii="仿宋_GB2312" w:eastAsia="仿宋_GB2312"/>
          <w:sz w:val="32"/>
          <w:szCs w:val="32"/>
        </w:rPr>
        <w:t>经评委评估分析访谈情况和查阅项目调研、</w:t>
      </w:r>
      <w:r>
        <w:rPr>
          <w:rFonts w:hint="eastAsia" w:ascii="仿宋_GB2312" w:eastAsia="仿宋_GB2312"/>
          <w:sz w:val="32"/>
          <w:szCs w:val="32"/>
          <w:lang w:eastAsia="zh-CN"/>
        </w:rPr>
        <w:t>服务方案</w:t>
      </w:r>
      <w:r>
        <w:rPr>
          <w:rFonts w:hint="eastAsia" w:ascii="仿宋_GB2312" w:eastAsia="仿宋_GB2312"/>
          <w:sz w:val="32"/>
          <w:szCs w:val="32"/>
        </w:rPr>
        <w:t>等各类服务工作痕迹记录资料，该项</w:t>
      </w:r>
      <w:r>
        <w:rPr>
          <w:rFonts w:hint="eastAsia" w:ascii="仿宋_GB2312" w:eastAsia="仿宋_GB2312"/>
          <w:sz w:val="32"/>
          <w:szCs w:val="32"/>
          <w:lang w:eastAsia="zh-CN"/>
        </w:rPr>
        <w:t>目在</w:t>
      </w:r>
      <w:r>
        <w:rPr>
          <w:rFonts w:hint="eastAsia" w:ascii="仿宋_GB2312" w:eastAsia="仿宋_GB2312"/>
          <w:sz w:val="32"/>
          <w:szCs w:val="32"/>
        </w:rPr>
        <w:t>以下几方面值得肯定：</w:t>
      </w:r>
    </w:p>
    <w:p w14:paraId="4421748D">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hAnsiTheme="minorEastAsia"/>
          <w:color w:val="auto"/>
          <w:sz w:val="32"/>
          <w:szCs w:val="32"/>
          <w:lang w:val="en-US" w:eastAsia="zh-CN"/>
        </w:rPr>
      </w:pPr>
      <w:r>
        <w:rPr>
          <w:rFonts w:hint="eastAsia" w:ascii="仿宋_GB2312" w:eastAsia="仿宋_GB2312" w:hAnsiTheme="minorEastAsia"/>
          <w:color w:val="auto"/>
          <w:sz w:val="32"/>
          <w:szCs w:val="32"/>
          <w:lang w:val="en-US" w:eastAsia="zh-CN"/>
        </w:rPr>
        <w:t>（1）项目人才能力建设工作持续优化。项目进一步完善专业能力提升体系建设规划，制度、需求、规划、个人成长、实施架构逻辑清晰， 通过培训、督导、共学、交流互访等方式提升社工的专业水平，项目社工撰写《员工成长计划》，能有效检视专业能力提升情况，项目营造较好的站内学习氛围，持续夯实社工专业服务能力。</w:t>
      </w:r>
    </w:p>
    <w:p w14:paraId="389F925A">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hAnsiTheme="minorEastAsia"/>
          <w:color w:val="auto"/>
          <w:sz w:val="32"/>
          <w:szCs w:val="32"/>
          <w:lang w:val="en-US" w:eastAsia="zh-CN"/>
        </w:rPr>
      </w:pPr>
      <w:r>
        <w:rPr>
          <w:rFonts w:hint="eastAsia" w:ascii="仿宋_GB2312" w:eastAsia="仿宋_GB2312" w:hAnsiTheme="minorEastAsia"/>
          <w:color w:val="auto"/>
          <w:sz w:val="32"/>
          <w:szCs w:val="32"/>
          <w:lang w:val="en-US" w:eastAsia="zh-CN"/>
        </w:rPr>
        <w:t>（2）项目社工注重实务经验沉淀与成果转化。项目鼓励书写，内部形成9篇服务案例，其中《广州大学城“强国少年，文化惠童”项目》案例获收录于番禺区志愿服务联合会主办的内部资料《番禺志愿服务》第1期，还制定了《困难群众和特殊群体服务手册》《认知障碍症长者探访服务工具包》等专业指引，推动项目标准化服务建设。项目社工积极参与省级社工组织课题研究、跨省份牵手计划专题分享、县域“未保”主题培训授课，扩大项目服务影响力。</w:t>
      </w:r>
    </w:p>
    <w:p w14:paraId="0492C490">
      <w:pPr>
        <w:pStyle w:val="13"/>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eastAsia="仿宋_GB2312" w:hAnsiTheme="minorEastAsia"/>
          <w:color w:val="auto"/>
          <w:sz w:val="32"/>
          <w:szCs w:val="32"/>
          <w:lang w:val="en-US" w:eastAsia="zh-CN"/>
        </w:rPr>
      </w:pPr>
      <w:r>
        <w:rPr>
          <w:rFonts w:hint="eastAsia" w:ascii="仿宋_GB2312" w:eastAsia="仿宋_GB2312" w:hAnsiTheme="minorEastAsia"/>
          <w:color w:val="auto"/>
          <w:sz w:val="32"/>
          <w:szCs w:val="32"/>
          <w:lang w:val="en-US" w:eastAsia="zh-CN"/>
        </w:rPr>
        <w:t>（3）项目重视宣传推广工作。项目制作宣传折页、活动预告海报及季度简报等宣传资料，依托线上线下渠道同步推进，定期向居民推送服务资讯。同时主动对接各级媒体，每月围绕“微心愿”“政策宣传”等服务亮点及特色活动持续供稿，获得多次报道，以通俗易懂的方式让更多居民、合作方及相关部门了解到社工站的服务内容，推动社会工作专业形象在辖区内的传播与积累。</w:t>
      </w:r>
    </w:p>
    <w:p w14:paraId="43F93C82">
      <w:pPr>
        <w:pStyle w:val="13"/>
        <w:pageBreakBefore w:val="0"/>
        <w:widowControl w:val="0"/>
        <w:kinsoku/>
        <w:wordWrap/>
        <w:overflowPunct/>
        <w:topLinePunct w:val="0"/>
        <w:autoSpaceDE/>
        <w:autoSpaceDN/>
        <w:bidi w:val="0"/>
        <w:adjustRightInd/>
        <w:snapToGrid/>
        <w:spacing w:after="0" w:line="520" w:lineRule="exact"/>
        <w:ind w:left="0" w:leftChars="0" w:firstLine="643" w:firstLineChars="200"/>
        <w:jc w:val="both"/>
        <w:textAlignment w:val="auto"/>
        <w:rPr>
          <w:rFonts w:ascii="仿宋_GB2312" w:hAnsi="Times New Roman" w:eastAsia="仿宋_GB2312" w:cs="Times New Roman"/>
          <w:b/>
          <w:bCs/>
          <w:color w:val="auto"/>
          <w:sz w:val="32"/>
          <w:szCs w:val="32"/>
          <w:lang w:val="zh-CN" w:eastAsia="zh-CN" w:bidi="zh-CN"/>
        </w:rPr>
      </w:pPr>
      <w:r>
        <w:rPr>
          <w:rFonts w:hint="eastAsia" w:ascii="仿宋_GB2312" w:hAnsi="Times New Roman" w:eastAsia="仿宋_GB2312" w:cs="Times New Roman"/>
          <w:b/>
          <w:bCs/>
          <w:color w:val="auto"/>
          <w:sz w:val="32"/>
          <w:szCs w:val="32"/>
          <w:lang w:val="zh-CN" w:eastAsia="zh-CN" w:bidi="zh-CN"/>
        </w:rPr>
        <w:t>2</w:t>
      </w:r>
      <w:r>
        <w:rPr>
          <w:rFonts w:ascii="仿宋_GB2312" w:hAnsi="Times New Roman" w:eastAsia="仿宋_GB2312" w:cs="Times New Roman"/>
          <w:b/>
          <w:bCs/>
          <w:color w:val="auto"/>
          <w:sz w:val="32"/>
          <w:szCs w:val="32"/>
          <w:lang w:val="zh-CN" w:eastAsia="zh-CN" w:bidi="zh-CN"/>
        </w:rPr>
        <w:t>.需要关注的地方</w:t>
      </w:r>
    </w:p>
    <w:p w14:paraId="5A47AE36">
      <w:pPr>
        <w:pStyle w:val="13"/>
        <w:pageBreakBefore w:val="0"/>
        <w:widowControl w:val="0"/>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hAnsiTheme="minorEastAsia"/>
          <w:color w:val="auto"/>
          <w:sz w:val="32"/>
          <w:szCs w:val="32"/>
          <w:lang w:eastAsia="zh-CN"/>
        </w:rPr>
      </w:pPr>
      <w:r>
        <w:rPr>
          <w:rFonts w:hint="eastAsia" w:ascii="仿宋_GB2312" w:eastAsia="仿宋_GB2312" w:hAnsiTheme="minorEastAsia"/>
          <w:color w:val="auto"/>
          <w:sz w:val="32"/>
          <w:szCs w:val="32"/>
          <w:lang w:eastAsia="zh-CN"/>
        </w:rPr>
        <w:t>经评委评估分析访谈情况和查阅项目调研、服务方案等各类服务工作痕迹记录资料，该项目以下几方面需关注：</w:t>
      </w:r>
    </w:p>
    <w:p w14:paraId="541770A6">
      <w:pPr>
        <w:pStyle w:val="13"/>
        <w:pageBreakBefore w:val="0"/>
        <w:widowControl w:val="0"/>
        <w:numPr>
          <w:ilvl w:val="0"/>
          <w:numId w:val="3"/>
        </w:numPr>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hAnsiTheme="minorEastAsia"/>
          <w:color w:val="auto"/>
          <w:sz w:val="32"/>
          <w:szCs w:val="32"/>
          <w:lang w:val="en-US" w:eastAsia="zh-CN"/>
        </w:rPr>
      </w:pPr>
      <w:r>
        <w:rPr>
          <w:rFonts w:hint="eastAsia" w:ascii="仿宋_GB2312" w:eastAsia="仿宋_GB2312" w:hAnsiTheme="minorEastAsia"/>
          <w:color w:val="auto"/>
          <w:sz w:val="32"/>
          <w:szCs w:val="32"/>
          <w:lang w:val="en-US" w:eastAsia="zh-CN"/>
        </w:rPr>
        <w:t>项目人员能力提升工作仍有提升空间。项目团队对不同从业资历的社工的成长需求进行差异化的精细分析，但在目标制定方面较为笼统，项目总结多为活动产出指标及效果自评。建议项目团队针对不同类别的社工制定分层目标，并对应设定具体的衡量指标，通过“定量+定性”综合评估方法，对不同类别的社工成长进行系统检视，分析社工成长和培养行动的内在逻辑，并进行有效经验总结和行动优化，探索项目人才培养的本土路径。</w:t>
      </w:r>
    </w:p>
    <w:p w14:paraId="32C7C3B7">
      <w:pPr>
        <w:pStyle w:val="13"/>
        <w:pageBreakBefore w:val="0"/>
        <w:widowControl w:val="0"/>
        <w:numPr>
          <w:ilvl w:val="0"/>
          <w:numId w:val="3"/>
        </w:numPr>
        <w:kinsoku/>
        <w:wordWrap/>
        <w:overflowPunct/>
        <w:topLinePunct w:val="0"/>
        <w:autoSpaceDE/>
        <w:autoSpaceDN/>
        <w:bidi w:val="0"/>
        <w:adjustRightInd/>
        <w:snapToGrid/>
        <w:spacing w:after="0" w:line="520" w:lineRule="exact"/>
        <w:ind w:firstLine="600"/>
        <w:jc w:val="both"/>
        <w:textAlignment w:val="auto"/>
        <w:rPr>
          <w:rFonts w:hint="eastAsia" w:ascii="仿宋_GB2312" w:eastAsia="仿宋_GB2312" w:hAnsiTheme="minorEastAsia"/>
          <w:color w:val="auto"/>
          <w:sz w:val="32"/>
          <w:szCs w:val="32"/>
          <w:lang w:val="en-US" w:eastAsia="zh-CN"/>
        </w:rPr>
      </w:pPr>
      <w:r>
        <w:rPr>
          <w:rFonts w:hint="eastAsia" w:ascii="仿宋_GB2312" w:eastAsia="仿宋_GB2312" w:hAnsiTheme="minorEastAsia"/>
          <w:color w:val="auto"/>
          <w:sz w:val="32"/>
          <w:szCs w:val="32"/>
          <w:lang w:val="en-US" w:eastAsia="zh-CN"/>
        </w:rPr>
        <w:t>项目平台工作管理水平需进一步提升。据社工站综合管理平台信息显示，项目经费划拨进度填写、个别服务记录未及时提交或审核，建议项目继续完善平台长效管理机制，严格落实“动态清”与“常态更”的要求，持续加强对平台的管理，确保服务监控的规范到位。</w:t>
      </w:r>
    </w:p>
    <w:p w14:paraId="06048080">
      <w:pPr>
        <w:pStyle w:val="11"/>
        <w:keepNext/>
        <w:keepLines/>
        <w:pageBreakBefore w:val="0"/>
        <w:widowControl w:val="0"/>
        <w:kinsoku/>
        <w:wordWrap/>
        <w:overflowPunct/>
        <w:topLinePunct w:val="0"/>
        <w:autoSpaceDE/>
        <w:autoSpaceDN/>
        <w:bidi w:val="0"/>
        <w:adjustRightInd/>
        <w:snapToGrid/>
        <w:spacing w:before="0" w:after="0" w:line="52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三、评估反馈</w:t>
      </w:r>
    </w:p>
    <w:p w14:paraId="032622CB">
      <w:pPr>
        <w:pStyle w:val="13"/>
        <w:pageBreakBefore w:val="0"/>
        <w:widowControl w:val="0"/>
        <w:kinsoku/>
        <w:wordWrap/>
        <w:overflowPunct/>
        <w:topLinePunct w:val="0"/>
        <w:autoSpaceDE/>
        <w:autoSpaceDN/>
        <w:bidi w:val="0"/>
        <w:adjustRightInd/>
        <w:snapToGrid/>
        <w:spacing w:after="0" w:line="520" w:lineRule="exact"/>
        <w:ind w:firstLine="640"/>
        <w:jc w:val="both"/>
        <w:textAlignment w:val="auto"/>
        <w:rPr>
          <w:rFonts w:ascii="仿宋_GB2312" w:eastAsia="仿宋_GB2312"/>
          <w:color w:val="auto"/>
          <w:sz w:val="32"/>
          <w:szCs w:val="32"/>
        </w:rPr>
      </w:pPr>
      <w:r>
        <w:rPr>
          <w:rFonts w:hint="eastAsia" w:ascii="仿宋_GB2312" w:eastAsia="仿宋_GB2312"/>
          <w:color w:val="auto"/>
          <w:sz w:val="32"/>
          <w:szCs w:val="32"/>
        </w:rPr>
        <w:t>评估反馈主要分为两大环节，一是现场反馈环节，二是对评估报告初稿的意见反馈环节。本次</w:t>
      </w:r>
      <w:r>
        <w:rPr>
          <w:rFonts w:hint="eastAsia" w:ascii="仿宋_GB2312" w:eastAsia="仿宋_GB2312"/>
          <w:color w:val="auto"/>
          <w:sz w:val="32"/>
          <w:szCs w:val="32"/>
          <w:lang w:val="en-US" w:eastAsia="zh-CN"/>
        </w:rPr>
        <w:t>小谷围街</w:t>
      </w:r>
      <w:r>
        <w:rPr>
          <w:rFonts w:hint="eastAsia" w:ascii="仿宋_GB2312" w:eastAsia="仿宋_GB2312"/>
          <w:color w:val="auto"/>
          <w:sz w:val="32"/>
          <w:szCs w:val="32"/>
        </w:rPr>
        <w:t>社工站的反馈如下：</w:t>
      </w:r>
      <w:bookmarkStart w:id="53" w:name="bookmark85"/>
      <w:bookmarkEnd w:id="53"/>
    </w:p>
    <w:p w14:paraId="310A68C9">
      <w:pPr>
        <w:pStyle w:val="13"/>
        <w:pageBreakBefore w:val="0"/>
        <w:widowControl w:val="0"/>
        <w:kinsoku/>
        <w:wordWrap/>
        <w:overflowPunct/>
        <w:topLinePunct w:val="0"/>
        <w:autoSpaceDE/>
        <w:autoSpaceDN/>
        <w:bidi w:val="0"/>
        <w:adjustRightInd/>
        <w:snapToGrid/>
        <w:spacing w:after="0" w:line="520" w:lineRule="exact"/>
        <w:ind w:firstLine="720"/>
        <w:jc w:val="both"/>
        <w:textAlignment w:val="auto"/>
        <w:rPr>
          <w:rFonts w:ascii="仿宋_GB2312" w:eastAsia="仿宋_GB2312" w:hAnsiTheme="minorEastAsia"/>
          <w:color w:val="auto"/>
          <w:sz w:val="32"/>
          <w:szCs w:val="32"/>
          <w:lang w:eastAsia="zh-CN"/>
        </w:rPr>
      </w:pPr>
      <w:r>
        <w:rPr>
          <w:rFonts w:hint="eastAsia" w:ascii="仿宋_GB2312" w:eastAsia="仿宋_GB2312" w:hAnsiTheme="minorEastAsia"/>
          <w:b/>
          <w:color w:val="auto"/>
          <w:sz w:val="32"/>
          <w:szCs w:val="32"/>
          <w:lang w:eastAsia="zh-CN"/>
        </w:rPr>
        <w:t>1.现场反馈：</w:t>
      </w:r>
      <w:r>
        <w:rPr>
          <w:rFonts w:hint="eastAsia" w:ascii="仿宋_GB2312" w:eastAsia="仿宋_GB2312" w:hAnsiTheme="minorEastAsia"/>
          <w:color w:val="auto"/>
          <w:sz w:val="32"/>
          <w:szCs w:val="32"/>
          <w:lang w:eastAsia="zh-CN"/>
        </w:rPr>
        <w:t>经过为期一天的评估，评委针对</w:t>
      </w:r>
      <w:r>
        <w:rPr>
          <w:rFonts w:hint="eastAsia" w:ascii="仿宋_GB2312" w:eastAsia="仿宋_GB2312" w:hAnsiTheme="minorEastAsia"/>
          <w:color w:val="auto"/>
          <w:sz w:val="32"/>
          <w:szCs w:val="32"/>
          <w:lang w:val="en-US" w:eastAsia="zh-CN"/>
        </w:rPr>
        <w:t>小谷围街</w:t>
      </w:r>
      <w:r>
        <w:rPr>
          <w:rFonts w:hint="eastAsia" w:ascii="仿宋_GB2312" w:eastAsia="仿宋_GB2312" w:hAnsiTheme="minorEastAsia"/>
          <w:color w:val="auto"/>
          <w:sz w:val="32"/>
          <w:szCs w:val="32"/>
          <w:lang w:eastAsia="zh-CN"/>
        </w:rPr>
        <w:t>社工站的情况，进行了现场总结反馈，在总结反馈环节，</w:t>
      </w:r>
      <w:r>
        <w:rPr>
          <w:rFonts w:hint="eastAsia" w:ascii="仿宋_GB2312" w:eastAsia="仿宋_GB2312" w:hAnsiTheme="minorEastAsia"/>
          <w:color w:val="auto"/>
          <w:sz w:val="32"/>
          <w:szCs w:val="32"/>
          <w:lang w:val="en-US" w:eastAsia="zh-CN"/>
        </w:rPr>
        <w:t>小谷围街</w:t>
      </w:r>
      <w:r>
        <w:rPr>
          <w:rFonts w:hint="eastAsia" w:ascii="仿宋_GB2312" w:eastAsia="仿宋_GB2312" w:hAnsiTheme="minorEastAsia"/>
          <w:color w:val="auto"/>
          <w:sz w:val="32"/>
          <w:szCs w:val="32"/>
          <w:lang w:eastAsia="zh-CN"/>
        </w:rPr>
        <w:t>社工站表示对评委们提出的意见和建议无异议。</w:t>
      </w:r>
    </w:p>
    <w:p w14:paraId="51F618CD">
      <w:pPr>
        <w:pStyle w:val="13"/>
        <w:pageBreakBefore w:val="0"/>
        <w:widowControl w:val="0"/>
        <w:kinsoku/>
        <w:wordWrap/>
        <w:overflowPunct/>
        <w:topLinePunct w:val="0"/>
        <w:autoSpaceDE/>
        <w:autoSpaceDN/>
        <w:bidi w:val="0"/>
        <w:adjustRightInd/>
        <w:snapToGrid/>
        <w:spacing w:after="0" w:line="520" w:lineRule="exact"/>
        <w:ind w:firstLine="720"/>
        <w:jc w:val="both"/>
        <w:textAlignment w:val="auto"/>
        <w:rPr>
          <w:rFonts w:ascii="仿宋_GB2312" w:eastAsia="仿宋_GB2312" w:hAnsiTheme="minorEastAsia"/>
          <w:color w:val="auto"/>
          <w:sz w:val="32"/>
          <w:szCs w:val="32"/>
          <w:lang w:eastAsia="zh-CN"/>
        </w:rPr>
      </w:pPr>
      <w:r>
        <w:rPr>
          <w:rFonts w:hint="eastAsia" w:ascii="仿宋_GB2312" w:eastAsia="仿宋_GB2312" w:hAnsiTheme="minorEastAsia"/>
          <w:b/>
          <w:color w:val="auto"/>
          <w:sz w:val="32"/>
          <w:szCs w:val="32"/>
          <w:lang w:eastAsia="zh-CN"/>
        </w:rPr>
        <w:t>2.对评估报告初稿的反馈：</w:t>
      </w:r>
      <w:r>
        <w:rPr>
          <w:rFonts w:hint="eastAsia" w:ascii="仿宋_GB2312" w:eastAsia="仿宋_GB2312" w:hAnsiTheme="minorEastAsia"/>
          <w:color w:val="auto"/>
          <w:sz w:val="32"/>
          <w:szCs w:val="32"/>
          <w:lang w:eastAsia="zh-CN"/>
        </w:rPr>
        <w:t>番禺区民政局、</w:t>
      </w:r>
      <w:r>
        <w:rPr>
          <w:rFonts w:hint="eastAsia" w:ascii="仿宋_GB2312" w:eastAsia="仿宋_GB2312" w:hAnsiTheme="minorEastAsia"/>
          <w:color w:val="auto"/>
          <w:sz w:val="32"/>
          <w:szCs w:val="32"/>
          <w:lang w:val="en-US" w:eastAsia="zh-CN"/>
        </w:rPr>
        <w:t>小谷围街道办事处</w:t>
      </w:r>
      <w:r>
        <w:rPr>
          <w:rFonts w:hint="eastAsia" w:ascii="仿宋_GB2312" w:eastAsia="仿宋_GB2312" w:hAnsiTheme="minorEastAsia"/>
          <w:color w:val="auto"/>
          <w:sz w:val="32"/>
          <w:szCs w:val="32"/>
          <w:lang w:eastAsia="zh-CN"/>
        </w:rPr>
        <w:t>、</w:t>
      </w:r>
      <w:r>
        <w:rPr>
          <w:rFonts w:hint="eastAsia" w:ascii="仿宋_GB2312" w:eastAsia="仿宋_GB2312" w:hAnsiTheme="minorEastAsia"/>
          <w:color w:val="auto"/>
          <w:sz w:val="32"/>
          <w:szCs w:val="32"/>
          <w:lang w:val="en-US" w:eastAsia="zh-CN"/>
        </w:rPr>
        <w:t>小谷围街</w:t>
      </w:r>
      <w:r>
        <w:rPr>
          <w:rFonts w:hint="eastAsia" w:ascii="仿宋_GB2312" w:eastAsia="仿宋_GB2312" w:hAnsiTheme="minorEastAsia"/>
          <w:color w:val="auto"/>
          <w:sz w:val="32"/>
          <w:szCs w:val="32"/>
          <w:lang w:eastAsia="zh-CN"/>
        </w:rPr>
        <w:t>社工站对评估报告初稿无异议。</w:t>
      </w:r>
    </w:p>
    <w:p w14:paraId="199B2749">
      <w:pPr>
        <w:pStyle w:val="11"/>
        <w:keepNext/>
        <w:keepLines/>
        <w:pageBreakBefore w:val="0"/>
        <w:widowControl w:val="0"/>
        <w:kinsoku/>
        <w:wordWrap/>
        <w:overflowPunct/>
        <w:topLinePunct w:val="0"/>
        <w:autoSpaceDE/>
        <w:autoSpaceDN/>
        <w:bidi w:val="0"/>
        <w:adjustRightInd/>
        <w:snapToGrid/>
        <w:spacing w:before="0" w:after="0" w:line="520" w:lineRule="exact"/>
        <w:ind w:firstLine="643" w:firstLineChars="200"/>
        <w:jc w:val="both"/>
        <w:textAlignment w:val="auto"/>
        <w:rPr>
          <w:rFonts w:ascii="方正小标宋简体" w:eastAsia="方正小标宋简体"/>
          <w:b/>
          <w:bCs/>
          <w:color w:val="auto"/>
          <w:sz w:val="32"/>
          <w:szCs w:val="28"/>
          <w:lang w:val="en-US"/>
        </w:rPr>
      </w:pPr>
      <w:bookmarkStart w:id="54" w:name="bookmark86"/>
      <w:r>
        <w:rPr>
          <w:rFonts w:hint="eastAsia" w:ascii="方正小标宋简体" w:eastAsia="方正小标宋简体"/>
          <w:b/>
          <w:bCs/>
          <w:color w:val="auto"/>
          <w:sz w:val="32"/>
          <w:szCs w:val="28"/>
          <w:lang w:val="en-US"/>
        </w:rPr>
        <w:t>四</w:t>
      </w:r>
      <w:bookmarkEnd w:id="54"/>
      <w:r>
        <w:rPr>
          <w:rFonts w:hint="eastAsia" w:ascii="方正小标宋简体" w:eastAsia="方正小标宋简体"/>
          <w:b/>
          <w:bCs/>
          <w:color w:val="auto"/>
          <w:sz w:val="32"/>
          <w:szCs w:val="28"/>
          <w:lang w:val="en-US"/>
        </w:rPr>
        <w:t>、评估等级</w:t>
      </w:r>
    </w:p>
    <w:p w14:paraId="3934CCDA">
      <w:pPr>
        <w:pStyle w:val="13"/>
        <w:pageBreakBefore w:val="0"/>
        <w:widowControl w:val="0"/>
        <w:kinsoku/>
        <w:wordWrap/>
        <w:overflowPunct/>
        <w:topLinePunct w:val="0"/>
        <w:autoSpaceDE/>
        <w:autoSpaceDN/>
        <w:bidi w:val="0"/>
        <w:adjustRightInd/>
        <w:snapToGrid/>
        <w:spacing w:after="0" w:line="520" w:lineRule="exact"/>
        <w:ind w:firstLine="64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评估总分为100分，其中，第三方评估机构占比55%、街道办事处（镇人民政府）占比20%、市督导中心占15%、区民政局占比10%。评估结果由四方评估分数的总和确定。评估等级分为优秀、良好、合格、不合格四个等级，90分以上为优秀，80分至90分（不含90分）为良好， 60分至80分（不含80分）为合格，60分以下（不含60分）为不合格。</w:t>
      </w:r>
    </w:p>
    <w:p w14:paraId="35898DCD">
      <w:pPr>
        <w:pStyle w:val="13"/>
        <w:pageBreakBefore w:val="0"/>
        <w:widowControl w:val="0"/>
        <w:kinsoku/>
        <w:wordWrap/>
        <w:overflowPunct/>
        <w:topLinePunct w:val="0"/>
        <w:autoSpaceDE/>
        <w:autoSpaceDN/>
        <w:bidi w:val="0"/>
        <w:adjustRightInd/>
        <w:snapToGrid/>
        <w:spacing w:after="0" w:line="520" w:lineRule="exact"/>
        <w:ind w:firstLine="640"/>
        <w:jc w:val="both"/>
        <w:textAlignment w:val="auto"/>
        <w:rPr>
          <w:rFonts w:ascii="仿宋_GB2312" w:eastAsia="PMingLiU"/>
          <w:color w:val="auto"/>
          <w:sz w:val="32"/>
          <w:szCs w:val="32"/>
        </w:rPr>
      </w:pPr>
      <w:r>
        <w:rPr>
          <w:rFonts w:hint="eastAsia" w:ascii="仿宋_GB2312" w:eastAsia="仿宋_GB2312"/>
          <w:color w:val="auto"/>
          <w:sz w:val="32"/>
          <w:szCs w:val="32"/>
        </w:rPr>
        <w:t>经过评估</w:t>
      </w:r>
      <w:r>
        <w:rPr>
          <w:rFonts w:hint="eastAsia" w:ascii="仿宋_GB2312" w:eastAsia="仿宋_GB2312"/>
          <w:color w:val="auto"/>
          <w:sz w:val="32"/>
          <w:szCs w:val="32"/>
          <w:lang w:eastAsia="zh-CN"/>
        </w:rPr>
        <w:t>，</w:t>
      </w:r>
      <w:r>
        <w:rPr>
          <w:rFonts w:hint="eastAsia" w:ascii="仿宋_GB2312" w:eastAsia="仿宋_GB2312" w:hAnsiTheme="minorEastAsia"/>
          <w:color w:val="auto"/>
          <w:sz w:val="32"/>
          <w:szCs w:val="32"/>
          <w:lang w:val="en-US" w:eastAsia="zh-CN"/>
        </w:rPr>
        <w:t>小谷围街</w:t>
      </w:r>
      <w:r>
        <w:rPr>
          <w:rFonts w:hint="eastAsia" w:ascii="仿宋_GB2312" w:eastAsia="仿宋_GB2312"/>
          <w:color w:val="auto"/>
          <w:sz w:val="32"/>
          <w:szCs w:val="32"/>
        </w:rPr>
        <w:t>社工站本次</w:t>
      </w:r>
      <w:r>
        <w:rPr>
          <w:rFonts w:hint="eastAsia" w:ascii="仿宋_GB2312" w:eastAsia="仿宋_GB2312"/>
          <w:color w:val="auto"/>
          <w:sz w:val="32"/>
          <w:szCs w:val="32"/>
          <w:lang w:eastAsia="zh-CN"/>
        </w:rPr>
        <w:t>末期</w:t>
      </w:r>
      <w:r>
        <w:rPr>
          <w:rFonts w:hint="eastAsia" w:ascii="仿宋_GB2312" w:eastAsia="仿宋_GB2312"/>
          <w:color w:val="auto"/>
          <w:sz w:val="32"/>
          <w:szCs w:val="32"/>
        </w:rPr>
        <w:t>评估的等级为</w:t>
      </w:r>
      <w:r>
        <w:rPr>
          <w:rFonts w:hint="eastAsia" w:ascii="仿宋_GB2312" w:eastAsia="仿宋_GB2312"/>
          <w:b/>
          <w:color w:val="auto"/>
          <w:sz w:val="32"/>
          <w:szCs w:val="32"/>
          <w:highlight w:val="none"/>
        </w:rPr>
        <w:t>“</w:t>
      </w:r>
      <w:r>
        <w:rPr>
          <w:rFonts w:hint="eastAsia" w:ascii="仿宋_GB2312" w:eastAsia="仿宋_GB2312"/>
          <w:b/>
          <w:color w:val="auto"/>
          <w:sz w:val="32"/>
          <w:szCs w:val="32"/>
          <w:highlight w:val="none"/>
          <w:lang w:val="en-US" w:eastAsia="zh-CN"/>
        </w:rPr>
        <w:t>良好</w:t>
      </w:r>
      <w:r>
        <w:rPr>
          <w:rFonts w:hint="eastAsia" w:ascii="仿宋_GB2312" w:eastAsia="仿宋_GB2312"/>
          <w:b/>
          <w:color w:val="auto"/>
          <w:sz w:val="32"/>
          <w:szCs w:val="32"/>
          <w:highlight w:val="none"/>
        </w:rPr>
        <w:t>”</w:t>
      </w:r>
      <w:r>
        <w:rPr>
          <w:rFonts w:hint="eastAsia" w:ascii="仿宋_GB2312" w:eastAsia="仿宋_GB2312"/>
          <w:b/>
          <w:color w:val="auto"/>
          <w:sz w:val="32"/>
          <w:szCs w:val="32"/>
          <w:highlight w:val="none"/>
          <w:lang w:eastAsia="zh-CN"/>
        </w:rPr>
        <w:t>（</w:t>
      </w:r>
      <w:r>
        <w:rPr>
          <w:rFonts w:hint="eastAsia" w:ascii="仿宋_GB2312" w:eastAsia="仿宋_GB2312"/>
          <w:b/>
          <w:color w:val="auto"/>
          <w:sz w:val="32"/>
          <w:szCs w:val="32"/>
          <w:highlight w:val="none"/>
          <w:lang w:val="en-US" w:eastAsia="zh-CN"/>
        </w:rPr>
        <w:t>89.39</w:t>
      </w:r>
      <w:r>
        <w:rPr>
          <w:rFonts w:ascii="仿宋_GB2312" w:eastAsia="仿宋_GB2312"/>
          <w:b/>
          <w:sz w:val="32"/>
          <w:szCs w:val="32"/>
          <w:highlight w:val="none"/>
          <w:lang w:val="en-US" w:eastAsia="zh-CN"/>
        </w:rPr>
        <w:t>分</w:t>
      </w:r>
      <w:r>
        <w:rPr>
          <w:rFonts w:hint="eastAsia" w:ascii="仿宋_GB2312" w:eastAsia="仿宋_GB2312"/>
          <w:b/>
          <w:color w:val="auto"/>
          <w:sz w:val="32"/>
          <w:szCs w:val="32"/>
          <w:highlight w:val="none"/>
          <w:lang w:eastAsia="zh-CN"/>
        </w:rPr>
        <w:t>）</w:t>
      </w:r>
      <w:r>
        <w:rPr>
          <w:rFonts w:hint="eastAsia" w:ascii="仿宋_GB2312" w:eastAsia="仿宋_GB2312"/>
          <w:color w:val="auto"/>
          <w:sz w:val="32"/>
          <w:szCs w:val="32"/>
        </w:rPr>
        <w:t>。</w:t>
      </w:r>
    </w:p>
    <w:p w14:paraId="3CA328B2">
      <w:pPr>
        <w:pStyle w:val="13"/>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ascii="仿宋_GB2312" w:eastAsia="仿宋_GB2312"/>
          <w:sz w:val="32"/>
          <w:szCs w:val="32"/>
          <w:lang w:val="en-US" w:eastAsia="zh-CN"/>
        </w:rPr>
      </w:pPr>
      <w:r>
        <w:rPr>
          <w:rFonts w:hint="eastAsia" w:ascii="仿宋_GB2312" w:eastAsia="仿宋_GB2312"/>
          <w:sz w:val="32"/>
          <w:szCs w:val="32"/>
          <w:lang w:val="en-US" w:eastAsia="zh-CN"/>
        </w:rPr>
        <w:t>以下是详细的评分情况：</w:t>
      </w:r>
    </w:p>
    <w:tbl>
      <w:tblPr>
        <w:tblStyle w:val="7"/>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8"/>
        <w:gridCol w:w="1471"/>
        <w:gridCol w:w="1481"/>
        <w:gridCol w:w="1717"/>
      </w:tblGrid>
      <w:tr w14:paraId="6C86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03A26E7E">
            <w:pPr>
              <w:pStyle w:val="13"/>
              <w:pageBreakBefore w:val="0"/>
              <w:kinsoku/>
              <w:wordWrap/>
              <w:overflowPunct/>
              <w:topLinePunct w:val="0"/>
              <w:autoSpaceDE/>
              <w:autoSpaceDN/>
              <w:bidi w:val="0"/>
              <w:adjustRightInd/>
              <w:snapToGrid/>
              <w:spacing w:after="0" w:line="520" w:lineRule="exact"/>
              <w:jc w:val="center"/>
              <w:rPr>
                <w:rFonts w:ascii="仿宋_GB2312" w:hAnsi="仿宋_GB2312" w:eastAsia="仿宋_GB2312" w:cs="仿宋_GB2312"/>
                <w:b/>
                <w:bCs/>
                <w:lang w:val="en-US" w:eastAsia="zh-CN"/>
              </w:rPr>
            </w:pPr>
            <w:bookmarkStart w:id="55" w:name="bookmark87"/>
            <w:r>
              <w:rPr>
                <w:rFonts w:hint="eastAsia" w:ascii="仿宋_GB2312" w:hAnsi="仿宋_GB2312" w:eastAsia="仿宋_GB2312" w:cs="仿宋_GB2312"/>
                <w:b/>
                <w:bCs/>
                <w:lang w:val="en-US" w:eastAsia="zh-CN"/>
              </w:rPr>
              <w:t>评估内容</w:t>
            </w:r>
          </w:p>
        </w:tc>
        <w:tc>
          <w:tcPr>
            <w:tcW w:w="727" w:type="pct"/>
            <w:noWrap w:val="0"/>
            <w:vAlign w:val="center"/>
          </w:tcPr>
          <w:p w14:paraId="7BDE0EF7">
            <w:pPr>
              <w:pStyle w:val="13"/>
              <w:pageBreakBefore w:val="0"/>
              <w:kinsoku/>
              <w:wordWrap/>
              <w:overflowPunct/>
              <w:topLinePunct w:val="0"/>
              <w:autoSpaceDE/>
              <w:autoSpaceDN/>
              <w:bidi w:val="0"/>
              <w:adjustRightInd/>
              <w:snapToGrid/>
              <w:spacing w:after="0" w:line="520" w:lineRule="exact"/>
              <w:ind w:firstLine="0"/>
              <w:jc w:val="center"/>
              <w:rPr>
                <w:rFonts w:ascii="仿宋_GB2312" w:eastAsia="仿宋_GB2312"/>
                <w:b/>
                <w:bCs/>
                <w:lang w:val="en-US" w:eastAsia="zh-CN"/>
              </w:rPr>
            </w:pPr>
            <w:r>
              <w:rPr>
                <w:rFonts w:hint="eastAsia" w:ascii="仿宋_GB2312" w:eastAsia="仿宋_GB2312"/>
                <w:b/>
                <w:bCs/>
                <w:lang w:val="en-US" w:eastAsia="zh-CN"/>
              </w:rPr>
              <w:t>标准分</w:t>
            </w:r>
          </w:p>
        </w:tc>
        <w:tc>
          <w:tcPr>
            <w:tcW w:w="731" w:type="pct"/>
            <w:noWrap w:val="0"/>
            <w:vAlign w:val="center"/>
          </w:tcPr>
          <w:p w14:paraId="49D20487">
            <w:pPr>
              <w:pStyle w:val="13"/>
              <w:pageBreakBefore w:val="0"/>
              <w:kinsoku/>
              <w:wordWrap/>
              <w:overflowPunct/>
              <w:topLinePunct w:val="0"/>
              <w:autoSpaceDE/>
              <w:autoSpaceDN/>
              <w:bidi w:val="0"/>
              <w:adjustRightInd/>
              <w:snapToGrid/>
              <w:spacing w:after="0" w:line="520" w:lineRule="exact"/>
              <w:ind w:firstLine="0"/>
              <w:jc w:val="center"/>
              <w:rPr>
                <w:rFonts w:ascii="仿宋_GB2312" w:eastAsia="仿宋_GB2312"/>
                <w:b/>
                <w:bCs/>
                <w:lang w:val="en-US" w:eastAsia="zh-CN"/>
              </w:rPr>
            </w:pPr>
            <w:r>
              <w:rPr>
                <w:rFonts w:hint="eastAsia" w:ascii="仿宋_GB2312" w:eastAsia="仿宋_GB2312"/>
                <w:b/>
                <w:bCs/>
                <w:lang w:val="en-US" w:eastAsia="zh-CN"/>
              </w:rPr>
              <w:t>评分</w:t>
            </w:r>
          </w:p>
        </w:tc>
        <w:tc>
          <w:tcPr>
            <w:tcW w:w="848" w:type="pct"/>
            <w:noWrap w:val="0"/>
            <w:vAlign w:val="center"/>
          </w:tcPr>
          <w:p w14:paraId="586E479E">
            <w:pPr>
              <w:pStyle w:val="13"/>
              <w:pageBreakBefore w:val="0"/>
              <w:kinsoku/>
              <w:wordWrap/>
              <w:overflowPunct/>
              <w:topLinePunct w:val="0"/>
              <w:autoSpaceDE/>
              <w:autoSpaceDN/>
              <w:bidi w:val="0"/>
              <w:adjustRightInd/>
              <w:snapToGrid/>
              <w:spacing w:after="0" w:line="520" w:lineRule="exact"/>
              <w:ind w:firstLine="0"/>
              <w:jc w:val="center"/>
              <w:rPr>
                <w:rFonts w:ascii="仿宋_GB2312" w:eastAsia="仿宋_GB2312"/>
                <w:b/>
                <w:bCs/>
                <w:lang w:val="en-US" w:eastAsia="zh-CN"/>
              </w:rPr>
            </w:pPr>
            <w:r>
              <w:rPr>
                <w:rFonts w:hint="eastAsia" w:ascii="仿宋_GB2312" w:eastAsia="仿宋_GB2312"/>
                <w:b/>
                <w:bCs/>
                <w:lang w:val="en-US" w:eastAsia="zh-CN"/>
              </w:rPr>
              <w:t>折算分</w:t>
            </w:r>
          </w:p>
        </w:tc>
      </w:tr>
      <w:tr w14:paraId="5E82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12726A5F">
            <w:pPr>
              <w:pageBreakBefore w:val="0"/>
              <w:widowControl/>
              <w:kinsoku/>
              <w:wordWrap/>
              <w:overflowPunct/>
              <w:topLinePunct w:val="0"/>
              <w:autoSpaceDE/>
              <w:autoSpaceDN/>
              <w:bidi w:val="0"/>
              <w:adjustRightInd/>
              <w:snapToGrid/>
              <w:spacing w:line="520" w:lineRule="exact"/>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专业服务板块</w:t>
            </w:r>
          </w:p>
        </w:tc>
        <w:tc>
          <w:tcPr>
            <w:tcW w:w="727" w:type="pct"/>
            <w:noWrap w:val="0"/>
            <w:vAlign w:val="center"/>
          </w:tcPr>
          <w:p w14:paraId="58E7E1C7">
            <w:pPr>
              <w:pageBreakBefore w:val="0"/>
              <w:widowControl/>
              <w:kinsoku/>
              <w:wordWrap/>
              <w:overflowPunct/>
              <w:topLinePunct w:val="0"/>
              <w:autoSpaceDE/>
              <w:autoSpaceDN/>
              <w:bidi w:val="0"/>
              <w:adjustRightInd/>
              <w:snapToGrid/>
              <w:spacing w:line="520" w:lineRule="exact"/>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55</w:t>
            </w:r>
          </w:p>
        </w:tc>
        <w:tc>
          <w:tcPr>
            <w:tcW w:w="731" w:type="pct"/>
            <w:noWrap w:val="0"/>
            <w:vAlign w:val="center"/>
          </w:tcPr>
          <w:p w14:paraId="502CAC0A">
            <w:pPr>
              <w:pageBreakBefore w:val="0"/>
              <w:widowControl/>
              <w:kinsoku/>
              <w:wordWrap/>
              <w:overflowPunct/>
              <w:topLinePunct w:val="0"/>
              <w:autoSpaceDE/>
              <w:autoSpaceDN/>
              <w:bidi w:val="0"/>
              <w:adjustRightInd/>
              <w:snapToGrid/>
              <w:spacing w:line="520" w:lineRule="exact"/>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46.74</w:t>
            </w:r>
          </w:p>
        </w:tc>
        <w:tc>
          <w:tcPr>
            <w:tcW w:w="848" w:type="pct"/>
            <w:noWrap w:val="0"/>
            <w:vAlign w:val="center"/>
          </w:tcPr>
          <w:p w14:paraId="4DA680CF">
            <w:pPr>
              <w:pageBreakBefore w:val="0"/>
              <w:widowControl/>
              <w:kinsoku/>
              <w:wordWrap/>
              <w:overflowPunct/>
              <w:topLinePunct w:val="0"/>
              <w:autoSpaceDE/>
              <w:autoSpaceDN/>
              <w:bidi w:val="0"/>
              <w:adjustRightInd/>
              <w:snapToGrid/>
              <w:spacing w:line="520" w:lineRule="exact"/>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46.74</w:t>
            </w:r>
          </w:p>
        </w:tc>
      </w:tr>
      <w:tr w14:paraId="6EBD6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2D97924A">
            <w:pPr>
              <w:pageBreakBefore w:val="0"/>
              <w:widowControl/>
              <w:kinsoku/>
              <w:wordWrap/>
              <w:overflowPunct/>
              <w:topLinePunct w:val="0"/>
              <w:autoSpaceDE/>
              <w:autoSpaceDN/>
              <w:bidi w:val="0"/>
              <w:adjustRightInd/>
              <w:snapToGrid/>
              <w:spacing w:line="520" w:lineRule="exact"/>
              <w:jc w:val="center"/>
              <w:textAlignment w:val="center"/>
              <w:rPr>
                <w:rFonts w:ascii="仿宋_GB2312" w:hAnsi="仿宋_GB2312" w:eastAsia="仿宋_GB2312" w:cs="仿宋_GB2312"/>
                <w:sz w:val="28"/>
                <w:szCs w:val="28"/>
                <w:lang w:eastAsia="zh-CN" w:bidi="ar"/>
              </w:rPr>
            </w:pPr>
            <w:r>
              <w:rPr>
                <w:rStyle w:val="32"/>
                <w:rFonts w:hint="default" w:ascii="仿宋_GB2312" w:hAnsi="仿宋_GB2312" w:eastAsia="仿宋_GB2312" w:cs="仿宋_GB2312"/>
                <w:sz w:val="28"/>
                <w:szCs w:val="28"/>
                <w:lang w:eastAsia="zh-CN" w:bidi="ar"/>
              </w:rPr>
              <w:t>购买方</w:t>
            </w:r>
          </w:p>
        </w:tc>
        <w:tc>
          <w:tcPr>
            <w:tcW w:w="727" w:type="pct"/>
            <w:noWrap w:val="0"/>
            <w:vAlign w:val="center"/>
          </w:tcPr>
          <w:p w14:paraId="0424BFD7">
            <w:pPr>
              <w:pageBreakBefore w:val="0"/>
              <w:widowControl/>
              <w:kinsoku/>
              <w:wordWrap/>
              <w:overflowPunct/>
              <w:topLinePunct w:val="0"/>
              <w:autoSpaceDE/>
              <w:autoSpaceDN/>
              <w:bidi w:val="0"/>
              <w:adjustRightInd/>
              <w:snapToGrid/>
              <w:spacing w:line="520" w:lineRule="exact"/>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bidi="ar"/>
              </w:rPr>
              <w:t>20</w:t>
            </w:r>
          </w:p>
        </w:tc>
        <w:tc>
          <w:tcPr>
            <w:tcW w:w="731" w:type="pct"/>
            <w:noWrap w:val="0"/>
            <w:vAlign w:val="center"/>
          </w:tcPr>
          <w:p w14:paraId="776B3E29">
            <w:pPr>
              <w:pageBreakBefore w:val="0"/>
              <w:widowControl/>
              <w:kinsoku/>
              <w:wordWrap/>
              <w:overflowPunct/>
              <w:topLinePunct w:val="0"/>
              <w:autoSpaceDE/>
              <w:autoSpaceDN/>
              <w:bidi w:val="0"/>
              <w:adjustRightInd/>
              <w:snapToGrid/>
              <w:spacing w:line="520" w:lineRule="exact"/>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19</w:t>
            </w:r>
          </w:p>
        </w:tc>
        <w:tc>
          <w:tcPr>
            <w:tcW w:w="848" w:type="pct"/>
            <w:noWrap w:val="0"/>
            <w:vAlign w:val="center"/>
          </w:tcPr>
          <w:p w14:paraId="4931D0F2">
            <w:pPr>
              <w:pageBreakBefore w:val="0"/>
              <w:widowControl/>
              <w:kinsoku/>
              <w:wordWrap/>
              <w:overflowPunct/>
              <w:topLinePunct w:val="0"/>
              <w:autoSpaceDE/>
              <w:autoSpaceDN/>
              <w:bidi w:val="0"/>
              <w:adjustRightInd/>
              <w:snapToGrid/>
              <w:spacing w:line="520" w:lineRule="exact"/>
              <w:jc w:val="center"/>
              <w:textAlignment w:val="center"/>
              <w:rPr>
                <w:rFonts w:hint="default" w:ascii="仿宋_GB2312" w:hAnsi="仿宋_GB2312" w:eastAsia="仿宋_GB2312" w:cs="仿宋_GB2312"/>
                <w:lang w:val="en-US" w:eastAsia="zh-CN"/>
              </w:rPr>
            </w:pPr>
            <w:r>
              <w:rPr>
                <w:rFonts w:hint="eastAsia" w:ascii="仿宋_GB2312" w:hAnsi="仿宋_GB2312" w:eastAsia="仿宋_GB2312" w:cs="仿宋_GB2312"/>
                <w:sz w:val="28"/>
                <w:szCs w:val="28"/>
                <w:lang w:val="en-US" w:eastAsia="zh-CN" w:bidi="ar"/>
              </w:rPr>
              <w:t>19</w:t>
            </w:r>
          </w:p>
        </w:tc>
      </w:tr>
      <w:tr w14:paraId="601C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2B58F903">
            <w:pPr>
              <w:pageBreakBefore w:val="0"/>
              <w:widowControl/>
              <w:kinsoku/>
              <w:wordWrap/>
              <w:overflowPunct/>
              <w:topLinePunct w:val="0"/>
              <w:autoSpaceDE/>
              <w:autoSpaceDN/>
              <w:bidi w:val="0"/>
              <w:adjustRightInd/>
              <w:snapToGrid/>
              <w:spacing w:line="520" w:lineRule="exact"/>
              <w:jc w:val="center"/>
              <w:textAlignment w:val="center"/>
              <w:rPr>
                <w:rFonts w:ascii="仿宋_GB2312" w:hAnsi="仿宋_GB2312" w:eastAsia="仿宋_GB2312" w:cs="仿宋_GB2312"/>
                <w:sz w:val="28"/>
                <w:szCs w:val="28"/>
                <w:lang w:eastAsia="zh-CN" w:bidi="ar"/>
              </w:rPr>
            </w:pPr>
            <w:r>
              <w:rPr>
                <w:rFonts w:hint="eastAsia" w:ascii="仿宋_GB2312" w:hAnsi="仿宋_GB2312" w:eastAsia="仿宋_GB2312" w:cs="仿宋_GB2312"/>
                <w:sz w:val="28"/>
                <w:szCs w:val="28"/>
                <w:highlight w:val="none"/>
                <w:lang w:eastAsia="zh-CN" w:bidi="ar"/>
              </w:rPr>
              <w:t>督导中心</w:t>
            </w:r>
          </w:p>
        </w:tc>
        <w:tc>
          <w:tcPr>
            <w:tcW w:w="727" w:type="pct"/>
            <w:noWrap w:val="0"/>
            <w:vAlign w:val="center"/>
          </w:tcPr>
          <w:p w14:paraId="09CF18C2">
            <w:pPr>
              <w:pageBreakBefore w:val="0"/>
              <w:widowControl/>
              <w:kinsoku/>
              <w:wordWrap/>
              <w:overflowPunct/>
              <w:topLinePunct w:val="0"/>
              <w:autoSpaceDE/>
              <w:autoSpaceDN/>
              <w:bidi w:val="0"/>
              <w:adjustRightInd/>
              <w:snapToGrid/>
              <w:spacing w:line="520" w:lineRule="exact"/>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bidi="ar"/>
              </w:rPr>
              <w:t>15</w:t>
            </w:r>
          </w:p>
        </w:tc>
        <w:tc>
          <w:tcPr>
            <w:tcW w:w="731" w:type="pct"/>
            <w:noWrap w:val="0"/>
            <w:vAlign w:val="center"/>
          </w:tcPr>
          <w:p w14:paraId="7B6CE39A">
            <w:pPr>
              <w:pageBreakBefore w:val="0"/>
              <w:widowControl/>
              <w:kinsoku/>
              <w:wordWrap/>
              <w:overflowPunct/>
              <w:topLinePunct w:val="0"/>
              <w:autoSpaceDE/>
              <w:autoSpaceDN/>
              <w:bidi w:val="0"/>
              <w:adjustRightInd/>
              <w:snapToGrid/>
              <w:spacing w:line="520" w:lineRule="exact"/>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14.55</w:t>
            </w:r>
          </w:p>
        </w:tc>
        <w:tc>
          <w:tcPr>
            <w:tcW w:w="848" w:type="pct"/>
            <w:noWrap w:val="0"/>
            <w:vAlign w:val="center"/>
          </w:tcPr>
          <w:p w14:paraId="3E46DB12">
            <w:pPr>
              <w:pageBreakBefore w:val="0"/>
              <w:kinsoku/>
              <w:wordWrap/>
              <w:overflowPunct/>
              <w:topLinePunct w:val="0"/>
              <w:autoSpaceDE/>
              <w:autoSpaceDN/>
              <w:bidi w:val="0"/>
              <w:adjustRightInd/>
              <w:snapToGrid/>
              <w:spacing w:line="52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14.55</w:t>
            </w:r>
          </w:p>
        </w:tc>
      </w:tr>
      <w:tr w14:paraId="134A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42738456">
            <w:pPr>
              <w:pageBreakBefore w:val="0"/>
              <w:widowControl/>
              <w:kinsoku/>
              <w:wordWrap/>
              <w:overflowPunct/>
              <w:topLinePunct w:val="0"/>
              <w:autoSpaceDE/>
              <w:autoSpaceDN/>
              <w:bidi w:val="0"/>
              <w:adjustRightInd/>
              <w:snapToGrid/>
              <w:spacing w:line="520" w:lineRule="exact"/>
              <w:jc w:val="center"/>
              <w:textAlignment w:val="center"/>
              <w:rPr>
                <w:rFonts w:ascii="仿宋_GB2312" w:hAnsi="仿宋_GB2312" w:eastAsia="仿宋_GB2312" w:cs="仿宋_GB2312"/>
                <w:sz w:val="28"/>
                <w:szCs w:val="28"/>
                <w:highlight w:val="yellow"/>
                <w:lang w:eastAsia="zh-CN" w:bidi="ar"/>
              </w:rPr>
            </w:pPr>
            <w:r>
              <w:rPr>
                <w:rFonts w:hint="default" w:ascii="仿宋_GB2312" w:hAnsi="仿宋_GB2312" w:eastAsia="仿宋_GB2312" w:cs="仿宋_GB2312"/>
                <w:sz w:val="28"/>
                <w:szCs w:val="28"/>
                <w:lang w:eastAsia="zh-CN" w:bidi="ar"/>
              </w:rPr>
              <w:t>监督方</w:t>
            </w:r>
          </w:p>
        </w:tc>
        <w:tc>
          <w:tcPr>
            <w:tcW w:w="727" w:type="pct"/>
            <w:noWrap w:val="0"/>
            <w:vAlign w:val="center"/>
          </w:tcPr>
          <w:p w14:paraId="261602CD">
            <w:pPr>
              <w:pageBreakBefore w:val="0"/>
              <w:widowControl/>
              <w:kinsoku/>
              <w:wordWrap/>
              <w:overflowPunct/>
              <w:topLinePunct w:val="0"/>
              <w:autoSpaceDE/>
              <w:autoSpaceDN/>
              <w:bidi w:val="0"/>
              <w:adjustRightInd/>
              <w:snapToGrid/>
              <w:spacing w:line="520" w:lineRule="exact"/>
              <w:jc w:val="center"/>
              <w:textAlignment w:val="center"/>
              <w:rPr>
                <w:rFonts w:ascii="仿宋_GB2312" w:hAnsi="仿宋_GB2312" w:eastAsia="仿宋_GB2312" w:cs="仿宋_GB2312"/>
                <w:sz w:val="28"/>
                <w:szCs w:val="28"/>
                <w:highlight w:val="yellow"/>
                <w:lang w:eastAsia="zh-CN"/>
              </w:rPr>
            </w:pPr>
            <w:r>
              <w:rPr>
                <w:rFonts w:hint="eastAsia" w:ascii="仿宋_GB2312" w:hAnsi="仿宋_GB2312" w:eastAsia="仿宋_GB2312" w:cs="仿宋_GB2312"/>
                <w:sz w:val="28"/>
                <w:szCs w:val="28"/>
                <w:lang w:eastAsia="zh-CN" w:bidi="ar"/>
              </w:rPr>
              <w:t>10</w:t>
            </w:r>
          </w:p>
        </w:tc>
        <w:tc>
          <w:tcPr>
            <w:tcW w:w="731" w:type="pct"/>
            <w:noWrap w:val="0"/>
            <w:vAlign w:val="center"/>
          </w:tcPr>
          <w:p w14:paraId="7D3F40AD">
            <w:pPr>
              <w:pageBreakBefore w:val="0"/>
              <w:widowControl/>
              <w:kinsoku/>
              <w:wordWrap/>
              <w:overflowPunct/>
              <w:topLinePunct w:val="0"/>
              <w:autoSpaceDE/>
              <w:autoSpaceDN/>
              <w:bidi w:val="0"/>
              <w:adjustRightInd/>
              <w:snapToGrid/>
              <w:spacing w:line="520" w:lineRule="exact"/>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9.1</w:t>
            </w:r>
          </w:p>
        </w:tc>
        <w:tc>
          <w:tcPr>
            <w:tcW w:w="848" w:type="pct"/>
            <w:noWrap w:val="0"/>
            <w:vAlign w:val="center"/>
          </w:tcPr>
          <w:p w14:paraId="6A53EB6E">
            <w:pPr>
              <w:pageBreakBefore w:val="0"/>
              <w:kinsoku/>
              <w:wordWrap/>
              <w:overflowPunct/>
              <w:topLinePunct w:val="0"/>
              <w:autoSpaceDE/>
              <w:autoSpaceDN/>
              <w:bidi w:val="0"/>
              <w:adjustRightInd/>
              <w:snapToGrid/>
              <w:spacing w:line="52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r>
      <w:tr w14:paraId="17DA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1" w:type="pct"/>
            <w:gridSpan w:val="3"/>
            <w:noWrap w:val="0"/>
            <w:vAlign w:val="center"/>
          </w:tcPr>
          <w:p w14:paraId="6DD24A93">
            <w:pPr>
              <w:pStyle w:val="13"/>
              <w:pageBreakBefore w:val="0"/>
              <w:kinsoku/>
              <w:wordWrap/>
              <w:overflowPunct/>
              <w:topLinePunct w:val="0"/>
              <w:autoSpaceDE/>
              <w:autoSpaceDN/>
              <w:bidi w:val="0"/>
              <w:adjustRightInd/>
              <w:snapToGrid/>
              <w:spacing w:after="0" w:line="520" w:lineRule="exact"/>
              <w:ind w:firstLine="0"/>
              <w:jc w:val="center"/>
              <w:rPr>
                <w:rFonts w:ascii="仿宋_GB2312" w:eastAsia="仿宋_GB2312"/>
                <w:b/>
                <w:lang w:val="en-US" w:eastAsia="zh-CN"/>
              </w:rPr>
            </w:pPr>
            <w:r>
              <w:rPr>
                <w:rFonts w:hint="eastAsia" w:ascii="仿宋_GB2312" w:eastAsia="仿宋_GB2312"/>
                <w:b/>
                <w:lang w:val="en-US" w:eastAsia="zh-CN"/>
              </w:rPr>
              <w:t>总分</w:t>
            </w:r>
          </w:p>
        </w:tc>
        <w:tc>
          <w:tcPr>
            <w:tcW w:w="848" w:type="pct"/>
            <w:noWrap w:val="0"/>
            <w:vAlign w:val="center"/>
          </w:tcPr>
          <w:p w14:paraId="337B147C">
            <w:pPr>
              <w:pageBreakBefore w:val="0"/>
              <w:widowControl/>
              <w:kinsoku/>
              <w:wordWrap/>
              <w:overflowPunct/>
              <w:topLinePunct w:val="0"/>
              <w:autoSpaceDE/>
              <w:autoSpaceDN/>
              <w:bidi w:val="0"/>
              <w:adjustRightInd/>
              <w:snapToGrid/>
              <w:spacing w:line="520" w:lineRule="exact"/>
              <w:jc w:val="center"/>
              <w:textAlignment w:val="center"/>
              <w:rPr>
                <w:rFonts w:hint="default" w:ascii="仿宋_GB2312" w:hAnsi="仿宋_GB2312" w:eastAsia="仿宋_GB2312" w:cs="仿宋_GB2312"/>
                <w:b/>
                <w:sz w:val="28"/>
                <w:szCs w:val="28"/>
                <w:lang w:val="en-US" w:eastAsia="zh-CN" w:bidi="ar"/>
              </w:rPr>
            </w:pPr>
            <w:r>
              <w:rPr>
                <w:rFonts w:hint="eastAsia" w:ascii="仿宋_GB2312" w:hAnsi="仿宋_GB2312" w:eastAsia="仿宋_GB2312" w:cs="仿宋_GB2312"/>
                <w:b/>
                <w:sz w:val="28"/>
                <w:szCs w:val="28"/>
                <w:lang w:val="en-US" w:eastAsia="zh-CN" w:bidi="ar"/>
              </w:rPr>
              <w:t>89.39</w:t>
            </w:r>
          </w:p>
        </w:tc>
      </w:tr>
    </w:tbl>
    <w:p w14:paraId="781A86CC">
      <w:pPr>
        <w:pStyle w:val="11"/>
        <w:keepNext/>
        <w:keepLines/>
        <w:pageBreakBefore w:val="0"/>
        <w:kinsoku/>
        <w:wordWrap/>
        <w:overflowPunct/>
        <w:topLinePunct w:val="0"/>
        <w:autoSpaceDE/>
        <w:autoSpaceDN/>
        <w:bidi w:val="0"/>
        <w:adjustRightInd/>
        <w:snapToGrid/>
        <w:spacing w:before="0" w:after="0" w:line="520" w:lineRule="exact"/>
        <w:ind w:firstLine="643" w:firstLineChars="200"/>
        <w:jc w:val="both"/>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五</w:t>
      </w:r>
      <w:bookmarkEnd w:id="55"/>
      <w:r>
        <w:rPr>
          <w:rFonts w:hint="eastAsia" w:ascii="方正小标宋简体" w:eastAsia="方正小标宋简体"/>
          <w:b/>
          <w:bCs/>
          <w:color w:val="auto"/>
          <w:sz w:val="32"/>
          <w:szCs w:val="28"/>
          <w:lang w:val="en-US"/>
        </w:rPr>
        <w:t>、结语</w:t>
      </w:r>
    </w:p>
    <w:p w14:paraId="65B13929">
      <w:pPr>
        <w:pStyle w:val="13"/>
        <w:keepNext w:val="0"/>
        <w:keepLines w:val="0"/>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default" w:ascii="仿宋_GB2312" w:eastAsia="仿宋_GB2312"/>
          <w:color w:val="auto"/>
          <w:sz w:val="32"/>
          <w:szCs w:val="32"/>
          <w:lang w:val="en-US" w:eastAsia="zh-CN"/>
        </w:rPr>
      </w:pPr>
      <w:r>
        <w:rPr>
          <w:rFonts w:hint="eastAsia" w:ascii="仿宋_GB2312" w:eastAsia="仿宋_GB2312" w:hAnsiTheme="minorEastAsia"/>
          <w:color w:val="auto"/>
          <w:sz w:val="32"/>
          <w:szCs w:val="32"/>
          <w:lang w:val="en-US" w:eastAsia="zh-CN"/>
        </w:rPr>
        <w:t>小谷围街</w:t>
      </w:r>
      <w:r>
        <w:rPr>
          <w:rFonts w:hint="eastAsia" w:ascii="仿宋_GB2312" w:eastAsia="仿宋_GB2312"/>
          <w:color w:val="auto"/>
          <w:sz w:val="32"/>
          <w:szCs w:val="32"/>
        </w:rPr>
        <w:t>社工服务站在番禺区民政局、</w:t>
      </w:r>
      <w:r>
        <w:rPr>
          <w:rFonts w:hint="eastAsia" w:ascii="仿宋_GB2312" w:eastAsia="仿宋_GB2312"/>
          <w:color w:val="auto"/>
          <w:sz w:val="32"/>
          <w:szCs w:val="32"/>
          <w:lang w:val="en-US" w:eastAsia="zh-CN"/>
        </w:rPr>
        <w:t>小谷围街党工委</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小谷围街道办事处</w:t>
      </w:r>
      <w:r>
        <w:rPr>
          <w:rFonts w:hint="eastAsia" w:ascii="仿宋_GB2312" w:eastAsia="仿宋_GB2312"/>
          <w:color w:val="auto"/>
          <w:sz w:val="32"/>
          <w:szCs w:val="32"/>
        </w:rPr>
        <w:t>的大力支持下，在</w:t>
      </w:r>
      <w:r>
        <w:rPr>
          <w:rFonts w:hint="eastAsia" w:ascii="仿宋_GB2312" w:eastAsia="仿宋_GB2312"/>
          <w:color w:val="auto"/>
          <w:sz w:val="32"/>
          <w:szCs w:val="32"/>
          <w:lang w:val="en-US" w:eastAsia="zh-CN"/>
        </w:rPr>
        <w:t>广州市番禺区正阳社会工作服务中心</w:t>
      </w:r>
      <w:r>
        <w:rPr>
          <w:rFonts w:hint="eastAsia" w:ascii="仿宋_GB2312" w:eastAsia="仿宋_GB2312"/>
          <w:color w:val="auto"/>
          <w:sz w:val="32"/>
          <w:szCs w:val="32"/>
        </w:rPr>
        <w:t>的努力下，</w:t>
      </w:r>
      <w:r>
        <w:rPr>
          <w:rFonts w:hint="eastAsia" w:ascii="仿宋_GB2312" w:eastAsia="仿宋_GB2312"/>
          <w:color w:val="auto"/>
          <w:sz w:val="32"/>
          <w:szCs w:val="32"/>
          <w:lang w:val="en-US" w:eastAsia="zh-CN"/>
        </w:rPr>
        <w:t>社工站严格依据机构要求开展服务质量内部检查及问题整改工作。</w:t>
      </w:r>
      <w:r>
        <w:rPr>
          <w:rFonts w:hint="eastAsia" w:ascii="仿宋_GB2312" w:eastAsia="仿宋_GB2312"/>
          <w:bCs/>
          <w:color w:val="auto"/>
          <w:sz w:val="32"/>
          <w:szCs w:val="32"/>
          <w:lang w:val="en-US" w:eastAsia="zh-CN"/>
        </w:rPr>
        <w:t>社工站积极配合街道党工委，联动各基层党组织、高校党支部，主动关注民生、聚焦群众所需，积极挖掘、整合党建资源促进党组织开展活动，</w:t>
      </w:r>
      <w:r>
        <w:rPr>
          <w:rFonts w:hint="eastAsia" w:ascii="仿宋_GB2312" w:eastAsia="仿宋_GB2312"/>
          <w:color w:val="auto"/>
          <w:sz w:val="32"/>
          <w:szCs w:val="32"/>
          <w:lang w:eastAsia="zh-CN"/>
        </w:rPr>
        <w:t>扎实落实困难群众和特殊群体的“一户一档、一人一案”的建档全覆盖和日常跟进服务。</w:t>
      </w:r>
    </w:p>
    <w:p w14:paraId="38B2F5E5">
      <w:pPr>
        <w:pStyle w:val="13"/>
        <w:pageBreakBefore w:val="0"/>
        <w:kinsoku/>
        <w:wordWrap/>
        <w:overflowPunct/>
        <w:topLinePunct w:val="0"/>
        <w:autoSpaceDE/>
        <w:autoSpaceDN/>
        <w:bidi w:val="0"/>
        <w:adjustRightInd/>
        <w:snapToGrid/>
        <w:spacing w:after="160" w:line="520" w:lineRule="exact"/>
        <w:ind w:firstLine="64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建议小谷围街社工服务站进一步关注困难群众和特殊群体需求与社区问题的梳理总结，以此支撑服务策略优化，精准匹配服务需求与服务资源，提升服务文书的精细度和逻辑性，</w:t>
      </w:r>
      <w:r>
        <w:rPr>
          <w:rFonts w:hint="eastAsia" w:ascii="仿宋_GB2312" w:eastAsia="仿宋_GB2312"/>
          <w:b w:val="0"/>
          <w:bCs w:val="0"/>
          <w:color w:val="auto"/>
          <w:sz w:val="32"/>
          <w:szCs w:val="32"/>
          <w:lang w:eastAsia="zh-CN"/>
        </w:rPr>
        <w:t>增强困难群众和特殊群体服务的精准化程度，</w:t>
      </w:r>
      <w:r>
        <w:rPr>
          <w:rFonts w:hint="eastAsia" w:ascii="仿宋_GB2312" w:eastAsia="仿宋_GB2312"/>
          <w:b w:val="0"/>
          <w:bCs w:val="0"/>
          <w:color w:val="auto"/>
          <w:sz w:val="32"/>
          <w:szCs w:val="32"/>
          <w:lang w:val="en-US" w:eastAsia="zh-CN"/>
        </w:rPr>
        <w:t>提高对线上评估平台使用的重视程度，加强对社工的培训、指导，熟悉整理重要服务记录的分类上传，尤其是典型案例、亮点服务、跟踪回访机制、民生政策宣传等方面工作</w:t>
      </w:r>
      <w:r>
        <w:rPr>
          <w:rFonts w:hint="eastAsia" w:ascii="仿宋_GB2312" w:eastAsia="仿宋_GB2312"/>
          <w:color w:val="auto"/>
          <w:sz w:val="32"/>
          <w:szCs w:val="32"/>
          <w:lang w:val="en-US" w:eastAsia="zh-CN"/>
        </w:rPr>
        <w:t>。坚持长效整合各类社会慈善资源，在常态化服务之中沉淀本土慈善标识，加快培育属于小谷围街的公益品牌，带动辖区公益氛围持续升温。</w:t>
      </w:r>
    </w:p>
    <w:p w14:paraId="54FF72C2">
      <w:pPr>
        <w:pStyle w:val="13"/>
        <w:pageBreakBefore w:val="0"/>
        <w:kinsoku/>
        <w:wordWrap/>
        <w:overflowPunct/>
        <w:topLinePunct w:val="0"/>
        <w:autoSpaceDE/>
        <w:autoSpaceDN/>
        <w:bidi w:val="0"/>
        <w:adjustRightInd/>
        <w:snapToGrid/>
        <w:spacing w:after="160" w:line="520" w:lineRule="exact"/>
        <w:ind w:left="0" w:leftChars="0" w:firstLine="0" w:firstLineChars="0"/>
        <w:jc w:val="both"/>
        <w:rPr>
          <w:rFonts w:hint="eastAsia" w:ascii="仿宋_GB2312" w:eastAsia="仿宋_GB2312"/>
          <w:color w:val="auto"/>
          <w:sz w:val="32"/>
          <w:szCs w:val="32"/>
          <w:lang w:val="en-US" w:eastAsia="zh-CN"/>
        </w:rPr>
      </w:pPr>
    </w:p>
    <w:p w14:paraId="0AF07939">
      <w:pPr>
        <w:pStyle w:val="13"/>
        <w:pageBreakBefore w:val="0"/>
        <w:widowControl w:val="0"/>
        <w:kinsoku/>
        <w:wordWrap/>
        <w:overflowPunct/>
        <w:topLinePunct w:val="0"/>
        <w:autoSpaceDE/>
        <w:autoSpaceDN/>
        <w:bidi w:val="0"/>
        <w:adjustRightInd/>
        <w:snapToGrid/>
        <w:spacing w:after="0" w:line="52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附件：1.小谷围街社工服务站指标完成情况统计表</w:t>
      </w:r>
    </w:p>
    <w:p w14:paraId="0E86D763">
      <w:pPr>
        <w:pStyle w:val="13"/>
        <w:pageBreakBefore w:val="0"/>
        <w:widowControl w:val="0"/>
        <w:kinsoku/>
        <w:wordWrap/>
        <w:overflowPunct/>
        <w:topLinePunct w:val="0"/>
        <w:autoSpaceDE/>
        <w:autoSpaceDN/>
        <w:bidi w:val="0"/>
        <w:adjustRightInd/>
        <w:snapToGrid/>
        <w:spacing w:after="0" w:line="520" w:lineRule="exact"/>
        <w:ind w:firstLine="1600" w:firstLineChars="5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2.小谷围街社工服务站工作人员情况统计表</w:t>
      </w:r>
    </w:p>
    <w:p w14:paraId="3160B382">
      <w:pPr>
        <w:pStyle w:val="13"/>
        <w:keepNext w:val="0"/>
        <w:keepLines w:val="0"/>
        <w:pageBreakBefore w:val="0"/>
        <w:widowControl w:val="0"/>
        <w:kinsoku/>
        <w:wordWrap/>
        <w:overflowPunct/>
        <w:topLinePunct w:val="0"/>
        <w:autoSpaceDE/>
        <w:autoSpaceDN/>
        <w:bidi w:val="0"/>
        <w:adjustRightInd/>
        <w:snapToGrid/>
        <w:spacing w:after="0" w:line="560" w:lineRule="atLeast"/>
        <w:ind w:firstLine="640"/>
        <w:jc w:val="both"/>
        <w:textAlignment w:val="auto"/>
        <w:rPr>
          <w:rFonts w:hint="eastAsia" w:ascii="仿宋_GB2312" w:eastAsia="仿宋_GB2312"/>
          <w:color w:val="auto"/>
          <w:sz w:val="32"/>
          <w:szCs w:val="32"/>
        </w:rPr>
      </w:pPr>
    </w:p>
    <w:p w14:paraId="75FE663E">
      <w:pPr>
        <w:pStyle w:val="13"/>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jc w:val="both"/>
        <w:textAlignment w:val="auto"/>
        <w:rPr>
          <w:rFonts w:hint="eastAsia" w:ascii="仿宋_GB2312" w:eastAsia="仿宋_GB2312"/>
          <w:color w:val="auto"/>
          <w:sz w:val="32"/>
          <w:szCs w:val="32"/>
        </w:rPr>
      </w:pPr>
    </w:p>
    <w:p w14:paraId="7F5DCFD1">
      <w:pPr>
        <w:pStyle w:val="13"/>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jc w:val="both"/>
        <w:textAlignment w:val="auto"/>
        <w:rPr>
          <w:rFonts w:hint="eastAsia" w:ascii="仿宋_GB2312" w:eastAsia="仿宋_GB2312"/>
          <w:color w:val="auto"/>
          <w:sz w:val="32"/>
          <w:szCs w:val="32"/>
          <w:lang w:eastAsia="zh-CN"/>
        </w:rPr>
      </w:pPr>
    </w:p>
    <w:p w14:paraId="77A14392">
      <w:pPr>
        <w:keepNext w:val="0"/>
        <w:keepLines w:val="0"/>
        <w:pageBreakBefore w:val="0"/>
        <w:widowControl w:val="0"/>
        <w:tabs>
          <w:tab w:val="left" w:pos="7330"/>
        </w:tabs>
        <w:kinsoku/>
        <w:wordWrap/>
        <w:overflowPunct/>
        <w:topLinePunct w:val="0"/>
        <w:autoSpaceDE/>
        <w:autoSpaceDN/>
        <w:bidi w:val="0"/>
        <w:adjustRightInd/>
        <w:snapToGrid/>
        <w:spacing w:line="560" w:lineRule="atLeast"/>
        <w:ind w:firstLine="5120" w:firstLineChars="16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广州市番禺区社会组织联合会</w:t>
      </w:r>
    </w:p>
    <w:p w14:paraId="5E2CAB47">
      <w:pPr>
        <w:pStyle w:val="13"/>
        <w:keepNext w:val="0"/>
        <w:keepLines w:val="0"/>
        <w:pageBreakBefore w:val="0"/>
        <w:widowControl w:val="0"/>
        <w:kinsoku/>
        <w:wordWrap/>
        <w:overflowPunct/>
        <w:topLinePunct w:val="0"/>
        <w:autoSpaceDE/>
        <w:autoSpaceDN/>
        <w:bidi w:val="0"/>
        <w:adjustRightInd/>
        <w:snapToGrid/>
        <w:spacing w:after="0" w:line="560" w:lineRule="atLeast"/>
        <w:ind w:firstLine="6080" w:firstLineChars="1900"/>
        <w:textAlignment w:val="auto"/>
        <w:rPr>
          <w:rFonts w:hint="eastAsia" w:ascii="仿宋_GB2312" w:eastAsia="仿宋_GB2312"/>
          <w:b/>
          <w:bCs/>
          <w:color w:val="auto"/>
          <w:sz w:val="32"/>
          <w:szCs w:val="32"/>
          <w:lang w:val="en-US" w:eastAsia="zh-CN"/>
        </w:rPr>
      </w:pP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eastAsia="zh-CN"/>
        </w:rPr>
        <w:t>日</w:t>
      </w:r>
      <w:bookmarkStart w:id="56" w:name="_GoBack"/>
      <w:bookmarkEnd w:id="56"/>
    </w:p>
    <w:sectPr>
      <w:footerReference r:id="rId3" w:type="default"/>
      <w:footerReference r:id="rId4" w:type="even"/>
      <w:pgSz w:w="11900" w:h="16840"/>
      <w:pgMar w:top="1301" w:right="876" w:bottom="1373" w:left="885" w:header="457" w:footer="44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embedRegular r:id="rId1" w:fontKey="{7AEDDF7A-668F-47A3-98BF-33CCB8D11348}"/>
  </w:font>
  <w:font w:name="PMingLiU">
    <w:panose1 w:val="02020500000000000000"/>
    <w:charset w:val="88"/>
    <w:family w:val="auto"/>
    <w:pitch w:val="default"/>
    <w:sig w:usb0="A00002FF" w:usb1="28CFFCFA" w:usb2="00000016" w:usb3="00000000" w:csb0="00100001" w:csb1="00000000"/>
    <w:embedRegular r:id="rId2" w:fontKey="{01C5EE23-AD81-467C-B953-E703274113D2}"/>
  </w:font>
  <w:font w:name="仿宋_GB2312">
    <w:panose1 w:val="02010609030101010101"/>
    <w:charset w:val="86"/>
    <w:family w:val="modern"/>
    <w:pitch w:val="default"/>
    <w:sig w:usb0="00000001" w:usb1="080E0000" w:usb2="00000000" w:usb3="00000000" w:csb0="00040000" w:csb1="00000000"/>
    <w:embedRegular r:id="rId3" w:fontKey="{3604F515-D453-4C42-BABC-13E91F4F6C46}"/>
  </w:font>
  <w:font w:name="仿宋">
    <w:panose1 w:val="02010609060101010101"/>
    <w:charset w:val="86"/>
    <w:family w:val="modern"/>
    <w:pitch w:val="default"/>
    <w:sig w:usb0="800002BF" w:usb1="38CF7CFA" w:usb2="00000016" w:usb3="00000000" w:csb0="00040001" w:csb1="00000000"/>
    <w:embedRegular r:id="rId4" w:fontKey="{7A6D7378-A2EF-4C09-B76A-6E0922E24431}"/>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01FD2">
    <w:pPr>
      <w:pStyle w:val="5"/>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0F9E2">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EC0F9E2">
                    <w:pPr>
                      <w:pStyle w:val="5"/>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533F">
    <w:pPr>
      <w:pStyle w:val="5"/>
    </w:pPr>
    <w:r>
      <w:rPr>
        <w:lang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9434F">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FE9434F">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167EC6"/>
    <w:multiLevelType w:val="singleLevel"/>
    <w:tmpl w:val="C7167EC6"/>
    <w:lvl w:ilvl="0" w:tentative="0">
      <w:start w:val="7"/>
      <w:numFmt w:val="chineseCounting"/>
      <w:suff w:val="nothing"/>
      <w:lvlText w:val="（%1）"/>
      <w:lvlJc w:val="left"/>
      <w:rPr>
        <w:rFonts w:hint="eastAsia"/>
      </w:rPr>
    </w:lvl>
  </w:abstractNum>
  <w:abstractNum w:abstractNumId="1">
    <w:nsid w:val="FAA2942F"/>
    <w:multiLevelType w:val="singleLevel"/>
    <w:tmpl w:val="FAA2942F"/>
    <w:lvl w:ilvl="0" w:tentative="0">
      <w:start w:val="1"/>
      <w:numFmt w:val="decimal"/>
      <w:suff w:val="nothing"/>
      <w:lvlText w:val="（%1）"/>
      <w:lvlJc w:val="left"/>
    </w:lvl>
  </w:abstractNum>
  <w:abstractNum w:abstractNumId="2">
    <w:nsid w:val="00000007"/>
    <w:multiLevelType w:val="singleLevel"/>
    <w:tmpl w:val="00000007"/>
    <w:lvl w:ilvl="0" w:tentative="0">
      <w:start w:val="1"/>
      <w:numFmt w:val="decimal"/>
      <w:lvlText w:val="%1."/>
      <w:lvlJc w:val="left"/>
      <w:rPr>
        <w:rFonts w:ascii="仿宋" w:hAnsi="仿宋" w:eastAsia="仿宋" w:cs="Times New Roman"/>
        <w:b/>
        <w:bCs w:val="0"/>
        <w:i w:val="0"/>
        <w:iCs w:val="0"/>
        <w:smallCaps w:val="0"/>
        <w:color w:val="000000"/>
        <w:spacing w:val="0"/>
        <w:w w:val="100"/>
        <w:position w:val="0"/>
        <w:sz w:val="32"/>
        <w:szCs w:val="28"/>
        <w:u w:val="none"/>
        <w:shd w:val="clear" w:color="auto" w:fill="auto"/>
        <w:lang w:val="zh-TW" w:eastAsia="zh-TW" w:bidi="zh-TW"/>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81"/>
  <w:drawingGridVerticalSpacing w:val="181"/>
  <w:displayHorizontalDrawingGridEvery w:val="1"/>
  <w:displayVerticalDrawingGridEvery w:val="1"/>
  <w:noPunctuationKerning w:val="1"/>
  <w:characterSpacingControl w:val="compressPunctuation"/>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ZhZGYwNTVjNmEwZDlmYmM0M2UzYmUxZTMyY2ZhNTgifQ=="/>
  </w:docVars>
  <w:rsids>
    <w:rsidRoot w:val="0040785D"/>
    <w:rsid w:val="000628D7"/>
    <w:rsid w:val="000653D4"/>
    <w:rsid w:val="000669A8"/>
    <w:rsid w:val="000707EC"/>
    <w:rsid w:val="00153735"/>
    <w:rsid w:val="001543BA"/>
    <w:rsid w:val="001D6D30"/>
    <w:rsid w:val="002C77AF"/>
    <w:rsid w:val="0031205B"/>
    <w:rsid w:val="003261A9"/>
    <w:rsid w:val="00346C72"/>
    <w:rsid w:val="00347385"/>
    <w:rsid w:val="003878B8"/>
    <w:rsid w:val="003B4EB3"/>
    <w:rsid w:val="003D31DC"/>
    <w:rsid w:val="003E34FA"/>
    <w:rsid w:val="0040785D"/>
    <w:rsid w:val="0046241A"/>
    <w:rsid w:val="004A7570"/>
    <w:rsid w:val="004B3BEE"/>
    <w:rsid w:val="004C2DF8"/>
    <w:rsid w:val="004D431C"/>
    <w:rsid w:val="004F3EE1"/>
    <w:rsid w:val="004F7E29"/>
    <w:rsid w:val="00567037"/>
    <w:rsid w:val="00584628"/>
    <w:rsid w:val="00587928"/>
    <w:rsid w:val="005A2068"/>
    <w:rsid w:val="005D4F1A"/>
    <w:rsid w:val="00614C46"/>
    <w:rsid w:val="0062173D"/>
    <w:rsid w:val="006275E1"/>
    <w:rsid w:val="006538C0"/>
    <w:rsid w:val="006A0A99"/>
    <w:rsid w:val="006D594E"/>
    <w:rsid w:val="00710916"/>
    <w:rsid w:val="00714A48"/>
    <w:rsid w:val="00741C47"/>
    <w:rsid w:val="00775F46"/>
    <w:rsid w:val="00780069"/>
    <w:rsid w:val="007D05BA"/>
    <w:rsid w:val="008216CC"/>
    <w:rsid w:val="00840E3F"/>
    <w:rsid w:val="00873946"/>
    <w:rsid w:val="00893F1F"/>
    <w:rsid w:val="008D7F4E"/>
    <w:rsid w:val="008E6CB5"/>
    <w:rsid w:val="00922FBC"/>
    <w:rsid w:val="00923280"/>
    <w:rsid w:val="0092338A"/>
    <w:rsid w:val="00941150"/>
    <w:rsid w:val="0097122E"/>
    <w:rsid w:val="00981EBA"/>
    <w:rsid w:val="00991B02"/>
    <w:rsid w:val="009B278D"/>
    <w:rsid w:val="00A053E1"/>
    <w:rsid w:val="00A30B74"/>
    <w:rsid w:val="00A909D6"/>
    <w:rsid w:val="00A94F7B"/>
    <w:rsid w:val="00B46E65"/>
    <w:rsid w:val="00B519CD"/>
    <w:rsid w:val="00B63718"/>
    <w:rsid w:val="00B723D6"/>
    <w:rsid w:val="00B72C15"/>
    <w:rsid w:val="00B910E4"/>
    <w:rsid w:val="00B963AF"/>
    <w:rsid w:val="00BD3AE1"/>
    <w:rsid w:val="00C1200D"/>
    <w:rsid w:val="00C25A91"/>
    <w:rsid w:val="00C43B75"/>
    <w:rsid w:val="00C473FF"/>
    <w:rsid w:val="00C504C0"/>
    <w:rsid w:val="00C56F8F"/>
    <w:rsid w:val="00C80652"/>
    <w:rsid w:val="00C95142"/>
    <w:rsid w:val="00C97B30"/>
    <w:rsid w:val="00CD36BA"/>
    <w:rsid w:val="00CD7A0E"/>
    <w:rsid w:val="00CE0DC3"/>
    <w:rsid w:val="00D24F5D"/>
    <w:rsid w:val="00D930C4"/>
    <w:rsid w:val="00D95067"/>
    <w:rsid w:val="00DB425A"/>
    <w:rsid w:val="00DD2355"/>
    <w:rsid w:val="00DD5901"/>
    <w:rsid w:val="00DE4F4A"/>
    <w:rsid w:val="00E1379F"/>
    <w:rsid w:val="00E96C76"/>
    <w:rsid w:val="00EB23CE"/>
    <w:rsid w:val="00EF786E"/>
    <w:rsid w:val="00F00D84"/>
    <w:rsid w:val="00F03905"/>
    <w:rsid w:val="00F621C4"/>
    <w:rsid w:val="00F74221"/>
    <w:rsid w:val="00F7505A"/>
    <w:rsid w:val="00FA40E6"/>
    <w:rsid w:val="00FE6AC9"/>
    <w:rsid w:val="016941A0"/>
    <w:rsid w:val="01DA6AA6"/>
    <w:rsid w:val="02DC78BE"/>
    <w:rsid w:val="03EA48BD"/>
    <w:rsid w:val="03FC4CBA"/>
    <w:rsid w:val="043B2EAD"/>
    <w:rsid w:val="043C3CC0"/>
    <w:rsid w:val="0479631C"/>
    <w:rsid w:val="05CD061E"/>
    <w:rsid w:val="05D6651F"/>
    <w:rsid w:val="07A04328"/>
    <w:rsid w:val="08974643"/>
    <w:rsid w:val="09BA0A50"/>
    <w:rsid w:val="0B15403C"/>
    <w:rsid w:val="0C9E6121"/>
    <w:rsid w:val="0CED1904"/>
    <w:rsid w:val="0FDB20D2"/>
    <w:rsid w:val="1083680B"/>
    <w:rsid w:val="10A521A1"/>
    <w:rsid w:val="122C2101"/>
    <w:rsid w:val="12473866"/>
    <w:rsid w:val="12E94C80"/>
    <w:rsid w:val="1351449B"/>
    <w:rsid w:val="138C2E16"/>
    <w:rsid w:val="13FC61B5"/>
    <w:rsid w:val="14451AA5"/>
    <w:rsid w:val="17034184"/>
    <w:rsid w:val="18846779"/>
    <w:rsid w:val="18E07FA9"/>
    <w:rsid w:val="19F45A67"/>
    <w:rsid w:val="1BE87A8D"/>
    <w:rsid w:val="1CA73D07"/>
    <w:rsid w:val="1E4716B0"/>
    <w:rsid w:val="1EB96C99"/>
    <w:rsid w:val="203465A3"/>
    <w:rsid w:val="20F37C9C"/>
    <w:rsid w:val="21635C00"/>
    <w:rsid w:val="22032E04"/>
    <w:rsid w:val="230B437F"/>
    <w:rsid w:val="231B319B"/>
    <w:rsid w:val="24B16286"/>
    <w:rsid w:val="273D4A27"/>
    <w:rsid w:val="27BF6557"/>
    <w:rsid w:val="2BBA417B"/>
    <w:rsid w:val="2DB3100A"/>
    <w:rsid w:val="2E91658D"/>
    <w:rsid w:val="322D1914"/>
    <w:rsid w:val="32794A1C"/>
    <w:rsid w:val="33340DBD"/>
    <w:rsid w:val="33746DD8"/>
    <w:rsid w:val="338F274A"/>
    <w:rsid w:val="33ED2723"/>
    <w:rsid w:val="34C21DA4"/>
    <w:rsid w:val="36106889"/>
    <w:rsid w:val="3793032E"/>
    <w:rsid w:val="38353194"/>
    <w:rsid w:val="3AEE06D4"/>
    <w:rsid w:val="3BB47C7C"/>
    <w:rsid w:val="3BC44428"/>
    <w:rsid w:val="3C734681"/>
    <w:rsid w:val="3CDB7FC2"/>
    <w:rsid w:val="3CEF4B2F"/>
    <w:rsid w:val="3D0E630E"/>
    <w:rsid w:val="3DE87C02"/>
    <w:rsid w:val="405010CD"/>
    <w:rsid w:val="40E7450B"/>
    <w:rsid w:val="418D5AE8"/>
    <w:rsid w:val="424C2D1A"/>
    <w:rsid w:val="42AE24C0"/>
    <w:rsid w:val="46242BA7"/>
    <w:rsid w:val="46CD7A34"/>
    <w:rsid w:val="486B7B50"/>
    <w:rsid w:val="4A246FC0"/>
    <w:rsid w:val="4A3D3E09"/>
    <w:rsid w:val="4C2061DD"/>
    <w:rsid w:val="4C24008C"/>
    <w:rsid w:val="4CF338F1"/>
    <w:rsid w:val="4D7C5695"/>
    <w:rsid w:val="4ECA5D66"/>
    <w:rsid w:val="501A5ADD"/>
    <w:rsid w:val="508067FB"/>
    <w:rsid w:val="50892358"/>
    <w:rsid w:val="50A43895"/>
    <w:rsid w:val="52A61B32"/>
    <w:rsid w:val="52DD6CAC"/>
    <w:rsid w:val="53E2646E"/>
    <w:rsid w:val="540978BD"/>
    <w:rsid w:val="550C0592"/>
    <w:rsid w:val="55F54236"/>
    <w:rsid w:val="56A40CE5"/>
    <w:rsid w:val="578D66F1"/>
    <w:rsid w:val="57C86C54"/>
    <w:rsid w:val="580E29F4"/>
    <w:rsid w:val="5A4A08C9"/>
    <w:rsid w:val="5C627366"/>
    <w:rsid w:val="5CE67A24"/>
    <w:rsid w:val="61284E24"/>
    <w:rsid w:val="637D3207"/>
    <w:rsid w:val="63FC70D8"/>
    <w:rsid w:val="685F196B"/>
    <w:rsid w:val="68E464EF"/>
    <w:rsid w:val="69557DDE"/>
    <w:rsid w:val="69726A9D"/>
    <w:rsid w:val="6B251937"/>
    <w:rsid w:val="6B7F3F84"/>
    <w:rsid w:val="6B855236"/>
    <w:rsid w:val="6BFA3EFD"/>
    <w:rsid w:val="6EA83A3B"/>
    <w:rsid w:val="6F906926"/>
    <w:rsid w:val="6FC0446B"/>
    <w:rsid w:val="700C6F8E"/>
    <w:rsid w:val="70550CA0"/>
    <w:rsid w:val="70657DB3"/>
    <w:rsid w:val="75864A53"/>
    <w:rsid w:val="7A8C614A"/>
    <w:rsid w:val="7B065502"/>
    <w:rsid w:val="7B4C229B"/>
    <w:rsid w:val="7BEC1388"/>
    <w:rsid w:val="7CBD0A66"/>
    <w:rsid w:val="7D284F5A"/>
    <w:rsid w:val="7D8F646F"/>
    <w:rsid w:val="7DAC4138"/>
    <w:rsid w:val="7E76499E"/>
    <w:rsid w:val="7ED74F23"/>
    <w:rsid w:val="F67F7317"/>
    <w:rsid w:val="FE8F1B93"/>
    <w:rsid w:val="FFE7A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2"/>
    <w:basedOn w:val="1"/>
    <w:next w:val="1"/>
    <w:autoRedefine/>
    <w:qFormat/>
    <w:uiPriority w:val="0"/>
    <w:pPr>
      <w:keepNext/>
      <w:keepLines/>
      <w:spacing w:before="260" w:after="260" w:line="413" w:lineRule="auto"/>
      <w:outlineLvl w:val="1"/>
    </w:pPr>
    <w:rPr>
      <w:rFonts w:ascii="Arial" w:hAnsi="Arial" w:eastAsia="宋体"/>
      <w:b/>
      <w:sz w:val="32"/>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31"/>
    <w:autoRedefine/>
    <w:qFormat/>
    <w:uiPriority w:val="0"/>
    <w:pPr>
      <w:spacing w:after="120"/>
    </w:pPr>
  </w:style>
  <w:style w:type="paragraph" w:styleId="5">
    <w:name w:val="footer"/>
    <w:basedOn w:val="1"/>
    <w:link w:val="29"/>
    <w:autoRedefine/>
    <w:qFormat/>
    <w:uiPriority w:val="0"/>
    <w:pPr>
      <w:tabs>
        <w:tab w:val="center" w:pos="4153"/>
        <w:tab w:val="right" w:pos="8306"/>
      </w:tabs>
      <w:snapToGrid w:val="0"/>
    </w:pPr>
    <w:rPr>
      <w:sz w:val="18"/>
      <w:szCs w:val="18"/>
    </w:rPr>
  </w:style>
  <w:style w:type="paragraph" w:styleId="6">
    <w:name w:val="header"/>
    <w:basedOn w:val="1"/>
    <w:link w:val="28"/>
    <w:autoRedefine/>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Heading #1|1_"/>
    <w:basedOn w:val="9"/>
    <w:link w:val="11"/>
    <w:autoRedefine/>
    <w:qFormat/>
    <w:uiPriority w:val="0"/>
    <w:rPr>
      <w:rFonts w:ascii="宋体" w:hAnsi="宋体" w:eastAsia="宋体" w:cs="宋体"/>
      <w:sz w:val="40"/>
      <w:szCs w:val="40"/>
      <w:u w:val="none"/>
      <w:shd w:val="clear" w:color="auto" w:fill="auto"/>
      <w:lang w:val="zh-TW" w:eastAsia="zh-TW" w:bidi="zh-TW"/>
    </w:rPr>
  </w:style>
  <w:style w:type="paragraph" w:customStyle="1" w:styleId="11">
    <w:name w:val="Heading #1|1"/>
    <w:basedOn w:val="1"/>
    <w:link w:val="10"/>
    <w:autoRedefine/>
    <w:qFormat/>
    <w:uiPriority w:val="0"/>
    <w:pPr>
      <w:spacing w:before="320" w:after="4320" w:line="541" w:lineRule="exact"/>
      <w:jc w:val="center"/>
      <w:outlineLvl w:val="0"/>
    </w:pPr>
    <w:rPr>
      <w:rFonts w:ascii="宋体" w:hAnsi="宋体" w:eastAsia="宋体" w:cs="宋体"/>
      <w:sz w:val="40"/>
      <w:szCs w:val="40"/>
      <w:lang w:val="zh-TW" w:eastAsia="zh-TW" w:bidi="zh-TW"/>
    </w:rPr>
  </w:style>
  <w:style w:type="character" w:customStyle="1" w:styleId="12">
    <w:name w:val="Body text|1_"/>
    <w:basedOn w:val="9"/>
    <w:link w:val="13"/>
    <w:autoRedefine/>
    <w:qFormat/>
    <w:uiPriority w:val="0"/>
    <w:rPr>
      <w:rFonts w:ascii="宋体" w:hAnsi="宋体" w:eastAsia="宋体" w:cs="宋体"/>
      <w:sz w:val="28"/>
      <w:szCs w:val="28"/>
      <w:u w:val="none"/>
      <w:shd w:val="clear" w:color="auto" w:fill="auto"/>
      <w:lang w:val="zh-TW" w:eastAsia="zh-TW" w:bidi="zh-TW"/>
    </w:rPr>
  </w:style>
  <w:style w:type="paragraph" w:customStyle="1" w:styleId="13">
    <w:name w:val="Body text|1"/>
    <w:basedOn w:val="1"/>
    <w:link w:val="12"/>
    <w:autoRedefine/>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14">
    <w:name w:val="Header or footer|2_"/>
    <w:basedOn w:val="9"/>
    <w:link w:val="15"/>
    <w:autoRedefine/>
    <w:qFormat/>
    <w:uiPriority w:val="0"/>
    <w:rPr>
      <w:sz w:val="20"/>
      <w:szCs w:val="20"/>
      <w:u w:val="none"/>
      <w:shd w:val="clear" w:color="auto" w:fill="auto"/>
      <w:lang w:val="zh-TW" w:eastAsia="zh-TW" w:bidi="zh-TW"/>
    </w:rPr>
  </w:style>
  <w:style w:type="paragraph" w:customStyle="1" w:styleId="15">
    <w:name w:val="Header or footer|2"/>
    <w:basedOn w:val="1"/>
    <w:link w:val="14"/>
    <w:autoRedefine/>
    <w:qFormat/>
    <w:uiPriority w:val="0"/>
    <w:rPr>
      <w:sz w:val="20"/>
      <w:szCs w:val="20"/>
      <w:lang w:val="zh-TW" w:eastAsia="zh-TW" w:bidi="zh-TW"/>
    </w:rPr>
  </w:style>
  <w:style w:type="character" w:customStyle="1" w:styleId="16">
    <w:name w:val="Header or footer|1_"/>
    <w:basedOn w:val="9"/>
    <w:link w:val="17"/>
    <w:autoRedefine/>
    <w:qFormat/>
    <w:uiPriority w:val="0"/>
    <w:rPr>
      <w:rFonts w:ascii="宋体" w:hAnsi="宋体" w:eastAsia="宋体" w:cs="宋体"/>
      <w:sz w:val="26"/>
      <w:szCs w:val="26"/>
      <w:u w:val="none"/>
      <w:shd w:val="clear" w:color="auto" w:fill="auto"/>
      <w:lang w:val="zh-TW" w:eastAsia="zh-TW" w:bidi="zh-TW"/>
    </w:rPr>
  </w:style>
  <w:style w:type="paragraph" w:customStyle="1" w:styleId="17">
    <w:name w:val="Header or footer|1"/>
    <w:basedOn w:val="1"/>
    <w:link w:val="16"/>
    <w:autoRedefine/>
    <w:qFormat/>
    <w:uiPriority w:val="0"/>
    <w:rPr>
      <w:rFonts w:ascii="宋体" w:hAnsi="宋体" w:eastAsia="宋体" w:cs="宋体"/>
      <w:sz w:val="26"/>
      <w:szCs w:val="26"/>
      <w:lang w:val="zh-TW" w:eastAsia="zh-TW" w:bidi="zh-TW"/>
    </w:rPr>
  </w:style>
  <w:style w:type="character" w:customStyle="1" w:styleId="18">
    <w:name w:val="Body text|2_"/>
    <w:basedOn w:val="9"/>
    <w:link w:val="19"/>
    <w:autoRedefine/>
    <w:qFormat/>
    <w:uiPriority w:val="0"/>
    <w:rPr>
      <w:rFonts w:ascii="宋体" w:hAnsi="宋体" w:eastAsia="宋体" w:cs="宋体"/>
      <w:sz w:val="22"/>
      <w:szCs w:val="22"/>
      <w:u w:val="none"/>
      <w:shd w:val="clear" w:color="auto" w:fill="auto"/>
      <w:lang w:val="zh-TW" w:eastAsia="zh-TW" w:bidi="zh-TW"/>
    </w:rPr>
  </w:style>
  <w:style w:type="paragraph" w:customStyle="1" w:styleId="19">
    <w:name w:val="Body text|2"/>
    <w:basedOn w:val="1"/>
    <w:link w:val="18"/>
    <w:autoRedefine/>
    <w:qFormat/>
    <w:uiPriority w:val="0"/>
    <w:pPr>
      <w:spacing w:after="240"/>
    </w:pPr>
    <w:rPr>
      <w:rFonts w:ascii="宋体" w:hAnsi="宋体" w:eastAsia="宋体" w:cs="宋体"/>
      <w:sz w:val="22"/>
      <w:szCs w:val="22"/>
      <w:lang w:val="zh-TW" w:eastAsia="zh-TW" w:bidi="zh-TW"/>
    </w:rPr>
  </w:style>
  <w:style w:type="character" w:customStyle="1" w:styleId="20">
    <w:name w:val="Other|1_"/>
    <w:basedOn w:val="9"/>
    <w:link w:val="21"/>
    <w:autoRedefine/>
    <w:qFormat/>
    <w:uiPriority w:val="0"/>
    <w:rPr>
      <w:rFonts w:ascii="宋体" w:hAnsi="宋体" w:eastAsia="宋体" w:cs="宋体"/>
      <w:sz w:val="28"/>
      <w:szCs w:val="28"/>
      <w:u w:val="none"/>
      <w:shd w:val="clear" w:color="auto" w:fill="auto"/>
      <w:lang w:val="zh-TW" w:eastAsia="zh-TW" w:bidi="zh-TW"/>
    </w:rPr>
  </w:style>
  <w:style w:type="paragraph" w:customStyle="1" w:styleId="21">
    <w:name w:val="Other|1"/>
    <w:basedOn w:val="1"/>
    <w:link w:val="20"/>
    <w:autoRedefine/>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22">
    <w:name w:val="Other|2_"/>
    <w:basedOn w:val="9"/>
    <w:link w:val="23"/>
    <w:autoRedefine/>
    <w:qFormat/>
    <w:uiPriority w:val="0"/>
    <w:rPr>
      <w:rFonts w:ascii="宋体" w:hAnsi="宋体" w:eastAsia="宋体" w:cs="宋体"/>
      <w:sz w:val="15"/>
      <w:szCs w:val="15"/>
      <w:u w:val="none"/>
      <w:shd w:val="clear" w:color="auto" w:fill="auto"/>
      <w:lang w:val="zh-TW" w:eastAsia="zh-TW" w:bidi="zh-TW"/>
    </w:rPr>
  </w:style>
  <w:style w:type="paragraph" w:customStyle="1" w:styleId="23">
    <w:name w:val="Other|2"/>
    <w:basedOn w:val="1"/>
    <w:link w:val="22"/>
    <w:autoRedefine/>
    <w:qFormat/>
    <w:uiPriority w:val="0"/>
    <w:pPr>
      <w:spacing w:line="177" w:lineRule="exact"/>
      <w:jc w:val="center"/>
    </w:pPr>
    <w:rPr>
      <w:rFonts w:ascii="宋体" w:hAnsi="宋体" w:eastAsia="宋体" w:cs="宋体"/>
      <w:sz w:val="15"/>
      <w:szCs w:val="15"/>
      <w:lang w:val="zh-TW" w:eastAsia="zh-TW" w:bidi="zh-TW"/>
    </w:rPr>
  </w:style>
  <w:style w:type="character" w:customStyle="1" w:styleId="24">
    <w:name w:val="Body text|3_"/>
    <w:basedOn w:val="9"/>
    <w:link w:val="25"/>
    <w:autoRedefine/>
    <w:qFormat/>
    <w:uiPriority w:val="0"/>
    <w:rPr>
      <w:rFonts w:ascii="宋体" w:hAnsi="宋体" w:eastAsia="宋体" w:cs="宋体"/>
      <w:sz w:val="15"/>
      <w:szCs w:val="15"/>
      <w:u w:val="none"/>
      <w:shd w:val="clear" w:color="auto" w:fill="auto"/>
      <w:lang w:val="zh-TW" w:eastAsia="zh-TW" w:bidi="zh-TW"/>
    </w:rPr>
  </w:style>
  <w:style w:type="paragraph" w:customStyle="1" w:styleId="25">
    <w:name w:val="Body text|3"/>
    <w:basedOn w:val="1"/>
    <w:link w:val="24"/>
    <w:autoRedefine/>
    <w:qFormat/>
    <w:uiPriority w:val="0"/>
    <w:rPr>
      <w:rFonts w:ascii="宋体" w:hAnsi="宋体" w:eastAsia="宋体" w:cs="宋体"/>
      <w:sz w:val="15"/>
      <w:szCs w:val="15"/>
      <w:lang w:val="zh-TW" w:eastAsia="zh-TW" w:bidi="zh-TW"/>
    </w:rPr>
  </w:style>
  <w:style w:type="character" w:customStyle="1" w:styleId="26">
    <w:name w:val="Picture caption|1_"/>
    <w:basedOn w:val="9"/>
    <w:link w:val="27"/>
    <w:autoRedefine/>
    <w:qFormat/>
    <w:uiPriority w:val="0"/>
    <w:rPr>
      <w:rFonts w:ascii="宋体" w:hAnsi="宋体" w:eastAsia="宋体" w:cs="宋体"/>
      <w:sz w:val="20"/>
      <w:szCs w:val="20"/>
      <w:u w:val="none"/>
      <w:shd w:val="clear" w:color="auto" w:fill="auto"/>
      <w:lang w:val="zh-TW" w:eastAsia="zh-TW" w:bidi="zh-TW"/>
    </w:rPr>
  </w:style>
  <w:style w:type="paragraph" w:customStyle="1" w:styleId="27">
    <w:name w:val="Picture caption|1"/>
    <w:basedOn w:val="1"/>
    <w:link w:val="26"/>
    <w:autoRedefine/>
    <w:qFormat/>
    <w:uiPriority w:val="0"/>
    <w:pPr>
      <w:jc w:val="center"/>
    </w:pPr>
    <w:rPr>
      <w:rFonts w:ascii="宋体" w:hAnsi="宋体" w:eastAsia="宋体" w:cs="宋体"/>
      <w:sz w:val="20"/>
      <w:szCs w:val="20"/>
      <w:lang w:val="zh-TW" w:eastAsia="zh-TW" w:bidi="zh-TW"/>
    </w:rPr>
  </w:style>
  <w:style w:type="character" w:customStyle="1" w:styleId="28">
    <w:name w:val="页眉 Char"/>
    <w:basedOn w:val="9"/>
    <w:link w:val="6"/>
    <w:autoRedefine/>
    <w:qFormat/>
    <w:uiPriority w:val="0"/>
    <w:rPr>
      <w:rFonts w:eastAsia="Times New Roman"/>
      <w:color w:val="000000"/>
      <w:sz w:val="18"/>
      <w:szCs w:val="18"/>
      <w:lang w:eastAsia="en-US" w:bidi="en-US"/>
    </w:rPr>
  </w:style>
  <w:style w:type="character" w:customStyle="1" w:styleId="29">
    <w:name w:val="页脚 Char"/>
    <w:basedOn w:val="9"/>
    <w:link w:val="5"/>
    <w:autoRedefine/>
    <w:qFormat/>
    <w:uiPriority w:val="0"/>
    <w:rPr>
      <w:rFonts w:eastAsia="Times New Roman"/>
      <w:color w:val="000000"/>
      <w:sz w:val="18"/>
      <w:szCs w:val="18"/>
      <w:lang w:eastAsia="en-US" w:bidi="en-US"/>
    </w:rPr>
  </w:style>
  <w:style w:type="paragraph" w:customStyle="1" w:styleId="30">
    <w:name w:val="NOTE_Normal"/>
    <w:basedOn w:val="1"/>
    <w:next w:val="4"/>
    <w:qFormat/>
    <w:uiPriority w:val="0"/>
    <w:pPr>
      <w:spacing w:after="160" w:line="259" w:lineRule="auto"/>
      <w:jc w:val="both"/>
    </w:pPr>
    <w:rPr>
      <w:rFonts w:ascii="Calibri" w:hAnsi="Calibri" w:eastAsia="宋体" w:cs="Arial"/>
      <w:color w:val="auto"/>
      <w:kern w:val="2"/>
      <w:sz w:val="21"/>
      <w:lang w:eastAsia="zh-CN" w:bidi="ar-SA"/>
    </w:rPr>
  </w:style>
  <w:style w:type="character" w:customStyle="1" w:styleId="31">
    <w:name w:val="正文文本 Char"/>
    <w:basedOn w:val="9"/>
    <w:link w:val="4"/>
    <w:qFormat/>
    <w:uiPriority w:val="0"/>
    <w:rPr>
      <w:rFonts w:eastAsia="Times New Roman"/>
      <w:color w:val="000000"/>
      <w:sz w:val="24"/>
      <w:szCs w:val="24"/>
      <w:lang w:eastAsia="en-US" w:bidi="en-US"/>
    </w:rPr>
  </w:style>
  <w:style w:type="character" w:customStyle="1" w:styleId="32">
    <w:name w:val="font11"/>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428ee039-8830-404c-87b6-a3b08c4ff07f</errorID>
      <errorWord>）在</errorWord>
      <group>L1_Word</group>
      <groupName>字词问题</groupName>
      <ability>L2_Typo</ability>
      <abilityName>字词错误</abilityName>
      <candidateList>
        <item>）</item>
      </candidateList>
      <explain/>
      <paraID>47841B04</paraID>
      <start>2</start>
      <end>3</end>
      <status>modified</status>
      <modifiedWord>）</modifiedWord>
      <trackRevisions>false</trackRevisions>
    </reviewItem>
    <reviewItem>
      <errorID>da1378fa-8e78-4938-afc0-287c5273830d</errorID>
      <errorWord>详实</errorWord>
      <group>L1_Word</group>
      <groupName>字词问题</groupName>
      <ability>L2_Typo</ability>
      <abilityName>字词错误</abilityName>
      <candidateList>
        <item>翔实</item>
      </candidateList>
      <explain>存在发音相同字词的误用。</explain>
      <paraID>2D3F64C0</paraID>
      <start>160</start>
      <end>162</end>
      <status>modified</status>
      <modifiedWord>翔实</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9ce96a-dfd9-421f-9423-bba6cb0bbe06}">
  <ds:schemaRefs/>
</ds:datastoreItem>
</file>

<file path=docProps/app.xml><?xml version="1.0" encoding="utf-8"?>
<Properties xmlns="http://schemas.openxmlformats.org/officeDocument/2006/extended-properties" xmlns:vt="http://schemas.openxmlformats.org/officeDocument/2006/docPropsVTypes">
  <Template>Normal</Template>
  <Pages>18</Pages>
  <Words>11539</Words>
  <Characters>11870</Characters>
  <Lines>70</Lines>
  <Paragraphs>19</Paragraphs>
  <TotalTime>365</TotalTime>
  <ScaleCrop>false</ScaleCrop>
  <LinksUpToDate>false</LinksUpToDate>
  <CharactersWithSpaces>11873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2023-08-15T23:15:00Z</dcterms:created>
  <dc:creator>WPS Office</dc:creator>
  <cp:lastModifiedBy>番禺区社联会</cp:lastModifiedBy>
  <dcterms:modified xsi:type="dcterms:W3CDTF">2026-09-09T06:47:42Z</dcterms:modified>
  <dc:title>KM_C364e-20200923144555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B621F2B937F647469B132BA855F7BD9D_13</vt:lpwstr>
  </property>
  <property fmtid="{D5CDD505-2E9C-101B-9397-08002B2CF9AE}" pid="4" name="KSOTemplateDocerSaveRecord">
    <vt:lpwstr>eyJoZGlkIjoiZDZhZGYwNTVjNmEwZDlmYmM0M2UzYmUxZTMyY2ZhNTgiLCJ1c2VySWQiOiIyOTU1NTMyNTMifQ==</vt:lpwstr>
  </property>
</Properties>
</file>