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C91B4">
      <w:pPr>
        <w:pStyle w:val="10"/>
        <w:keepNext/>
        <w:keepLines/>
        <w:spacing w:before="0" w:after="0"/>
        <w:jc w:val="left"/>
        <w:rPr>
          <w:rFonts w:ascii="方正小标宋简体" w:eastAsia="PMingLiU"/>
          <w:lang w:val="en-US"/>
        </w:rPr>
      </w:pPr>
      <w:bookmarkStart w:id="0" w:name="bookmark1"/>
      <w:bookmarkStart w:id="1" w:name="bookmark0"/>
      <w:bookmarkStart w:id="2" w:name="bookmark2"/>
    </w:p>
    <w:p w14:paraId="0D30ABDE">
      <w:pPr>
        <w:pStyle w:val="10"/>
        <w:keepNext/>
        <w:keepLines/>
        <w:spacing w:before="0" w:after="0" w:line="360" w:lineRule="auto"/>
        <w:rPr>
          <w:rFonts w:ascii="方正小标宋简体" w:eastAsia="PMingLiU"/>
          <w:lang w:val="en-US"/>
        </w:rPr>
      </w:pPr>
    </w:p>
    <w:p w14:paraId="7157E15F">
      <w:pPr>
        <w:pStyle w:val="10"/>
        <w:keepNext/>
        <w:keepLines/>
        <w:spacing w:before="0" w:after="0" w:line="360" w:lineRule="auto"/>
        <w:rPr>
          <w:rFonts w:ascii="方正小标宋简体" w:eastAsia="方正小标宋简体"/>
          <w:b/>
          <w:bCs/>
          <w:sz w:val="44"/>
          <w:szCs w:val="44"/>
        </w:rPr>
      </w:pPr>
      <w:r>
        <w:rPr>
          <w:rFonts w:hint="eastAsia" w:ascii="方正小标宋简体" w:eastAsia="方正小标宋简体"/>
          <w:b/>
          <w:bCs/>
          <w:sz w:val="44"/>
          <w:szCs w:val="44"/>
          <w:lang w:val="en-US" w:eastAsia="zh-CN"/>
        </w:rPr>
        <w:t>洛浦</w:t>
      </w:r>
      <w:r>
        <w:rPr>
          <w:rFonts w:hint="eastAsia" w:ascii="方正小标宋简体" w:eastAsia="方正小标宋简体"/>
          <w:b/>
          <w:bCs/>
          <w:sz w:val="44"/>
          <w:szCs w:val="44"/>
          <w:lang w:val="en-US"/>
        </w:rPr>
        <w:t>街社工</w:t>
      </w:r>
      <w:r>
        <w:rPr>
          <w:rFonts w:hint="eastAsia" w:ascii="方正小标宋简体" w:eastAsia="方正小标宋简体"/>
          <w:b/>
          <w:bCs/>
          <w:sz w:val="44"/>
          <w:szCs w:val="44"/>
        </w:rPr>
        <w:t>服务站</w:t>
      </w:r>
      <w:r>
        <w:rPr>
          <w:rFonts w:hint="eastAsia" w:ascii="方正小标宋简体" w:eastAsia="方正小标宋简体"/>
          <w:b/>
          <w:bCs/>
          <w:sz w:val="44"/>
          <w:szCs w:val="44"/>
          <w:lang w:eastAsia="zh-CN"/>
        </w:rPr>
        <w:t>末期</w:t>
      </w:r>
      <w:r>
        <w:rPr>
          <w:rFonts w:hint="eastAsia" w:ascii="方正小标宋简体" w:eastAsia="方正小标宋简体"/>
          <w:b/>
          <w:bCs/>
          <w:sz w:val="44"/>
          <w:szCs w:val="44"/>
        </w:rPr>
        <w:t>评估报告</w:t>
      </w:r>
      <w:bookmarkEnd w:id="0"/>
      <w:bookmarkEnd w:id="1"/>
      <w:bookmarkEnd w:id="2"/>
    </w:p>
    <w:p w14:paraId="0C16D47E">
      <w:pPr>
        <w:pStyle w:val="10"/>
        <w:keepNext/>
        <w:keepLines/>
        <w:spacing w:before="0" w:after="0" w:line="360" w:lineRule="auto"/>
        <w:rPr>
          <w:rFonts w:ascii="方正小标宋简体" w:eastAsia="方正小标宋简体"/>
          <w:b/>
          <w:bCs/>
          <w:sz w:val="44"/>
          <w:szCs w:val="44"/>
          <w:lang w:eastAsia="zh-CN"/>
        </w:rPr>
      </w:pPr>
      <w:r>
        <w:rPr>
          <w:rFonts w:hint="eastAsia" w:ascii="方正小标宋简体" w:eastAsia="方正小标宋简体"/>
          <w:b/>
          <w:bCs/>
          <w:sz w:val="44"/>
          <w:szCs w:val="44"/>
          <w:lang w:eastAsia="zh-CN"/>
        </w:rPr>
        <w:t>（协议期：</w:t>
      </w:r>
      <w:r>
        <w:rPr>
          <w:rFonts w:hint="eastAsia" w:ascii="方正小标宋简体" w:eastAsia="方正小标宋简体"/>
          <w:b/>
          <w:bCs/>
          <w:sz w:val="44"/>
          <w:szCs w:val="44"/>
          <w:lang w:val="en-US" w:eastAsia="zh-CN"/>
        </w:rPr>
        <w:t>2025年8月6日—2026年8月5日</w:t>
      </w:r>
      <w:r>
        <w:rPr>
          <w:rFonts w:hint="eastAsia" w:ascii="方正小标宋简体" w:eastAsia="方正小标宋简体"/>
          <w:b/>
          <w:bCs/>
          <w:sz w:val="44"/>
          <w:szCs w:val="44"/>
          <w:lang w:eastAsia="zh-CN"/>
        </w:rPr>
        <w:t>）</w:t>
      </w:r>
    </w:p>
    <w:p w14:paraId="5E8F19F9">
      <w:pPr>
        <w:pStyle w:val="12"/>
        <w:spacing w:after="0" w:line="240" w:lineRule="auto"/>
        <w:ind w:firstLine="2448" w:firstLineChars="765"/>
        <w:jc w:val="both"/>
        <w:rPr>
          <w:rFonts w:ascii="仿宋" w:hAnsi="仿宋" w:eastAsia="PMingLiU"/>
          <w:sz w:val="32"/>
          <w:szCs w:val="32"/>
        </w:rPr>
      </w:pPr>
    </w:p>
    <w:p w14:paraId="6A4E42B5">
      <w:pPr>
        <w:pStyle w:val="12"/>
        <w:spacing w:after="0" w:line="240" w:lineRule="auto"/>
        <w:ind w:firstLine="2448" w:firstLineChars="765"/>
        <w:jc w:val="both"/>
        <w:rPr>
          <w:rFonts w:ascii="仿宋" w:hAnsi="仿宋" w:eastAsia="PMingLiU"/>
          <w:sz w:val="32"/>
          <w:szCs w:val="32"/>
        </w:rPr>
      </w:pPr>
    </w:p>
    <w:p w14:paraId="418B357B">
      <w:pPr>
        <w:pStyle w:val="12"/>
        <w:spacing w:after="0" w:line="240" w:lineRule="auto"/>
        <w:ind w:firstLine="2448" w:firstLineChars="765"/>
        <w:jc w:val="both"/>
        <w:rPr>
          <w:rFonts w:ascii="仿宋" w:hAnsi="仿宋" w:eastAsia="PMingLiU"/>
          <w:sz w:val="32"/>
          <w:szCs w:val="32"/>
        </w:rPr>
      </w:pPr>
    </w:p>
    <w:p w14:paraId="37FF434F">
      <w:pPr>
        <w:pStyle w:val="12"/>
        <w:spacing w:after="0" w:line="240" w:lineRule="auto"/>
        <w:ind w:firstLine="2448" w:firstLineChars="765"/>
        <w:jc w:val="both"/>
        <w:rPr>
          <w:rFonts w:ascii="仿宋" w:hAnsi="仿宋" w:eastAsia="PMingLiU"/>
          <w:sz w:val="32"/>
          <w:szCs w:val="32"/>
        </w:rPr>
      </w:pPr>
    </w:p>
    <w:p w14:paraId="5ECD4805">
      <w:pPr>
        <w:pStyle w:val="12"/>
        <w:spacing w:after="0" w:line="240" w:lineRule="auto"/>
        <w:ind w:firstLine="2448" w:firstLineChars="765"/>
        <w:jc w:val="both"/>
        <w:rPr>
          <w:rFonts w:ascii="仿宋" w:hAnsi="仿宋" w:eastAsia="PMingLiU"/>
          <w:sz w:val="32"/>
          <w:szCs w:val="32"/>
        </w:rPr>
      </w:pPr>
    </w:p>
    <w:p w14:paraId="4715B7AD">
      <w:pPr>
        <w:pStyle w:val="12"/>
        <w:spacing w:after="0" w:line="240" w:lineRule="auto"/>
        <w:ind w:firstLine="2448" w:firstLineChars="765"/>
        <w:jc w:val="both"/>
        <w:rPr>
          <w:rFonts w:ascii="仿宋" w:hAnsi="仿宋" w:eastAsia="PMingLiU"/>
          <w:sz w:val="32"/>
          <w:szCs w:val="32"/>
        </w:rPr>
      </w:pPr>
    </w:p>
    <w:p w14:paraId="34FBDBD6">
      <w:pPr>
        <w:pStyle w:val="12"/>
        <w:spacing w:after="0" w:line="240" w:lineRule="auto"/>
        <w:ind w:firstLine="2448" w:firstLineChars="765"/>
        <w:jc w:val="both"/>
        <w:rPr>
          <w:rFonts w:ascii="仿宋" w:hAnsi="仿宋" w:eastAsia="PMingLiU"/>
          <w:sz w:val="32"/>
          <w:szCs w:val="32"/>
        </w:rPr>
      </w:pPr>
    </w:p>
    <w:p w14:paraId="31925120">
      <w:pPr>
        <w:pStyle w:val="12"/>
        <w:spacing w:after="0" w:line="240" w:lineRule="auto"/>
        <w:ind w:firstLine="2448" w:firstLineChars="765"/>
        <w:jc w:val="both"/>
        <w:rPr>
          <w:rFonts w:ascii="仿宋" w:hAnsi="仿宋" w:eastAsia="PMingLiU"/>
          <w:sz w:val="32"/>
          <w:szCs w:val="32"/>
        </w:rPr>
      </w:pPr>
    </w:p>
    <w:p w14:paraId="1F71708C">
      <w:pPr>
        <w:pStyle w:val="12"/>
        <w:spacing w:after="0" w:line="240" w:lineRule="auto"/>
        <w:ind w:firstLine="2448" w:firstLineChars="765"/>
        <w:jc w:val="both"/>
        <w:rPr>
          <w:rFonts w:ascii="仿宋" w:hAnsi="仿宋" w:eastAsia="PMingLiU"/>
          <w:sz w:val="32"/>
          <w:szCs w:val="32"/>
        </w:rPr>
      </w:pPr>
    </w:p>
    <w:p w14:paraId="16DF137A">
      <w:pPr>
        <w:pStyle w:val="12"/>
        <w:spacing w:after="0" w:line="240" w:lineRule="auto"/>
        <w:ind w:firstLine="2448" w:firstLineChars="765"/>
        <w:jc w:val="both"/>
        <w:rPr>
          <w:rFonts w:ascii="仿宋_GB2312" w:hAnsi="仿宋" w:eastAsia="仿宋_GB2312"/>
          <w:sz w:val="32"/>
          <w:szCs w:val="32"/>
        </w:rPr>
      </w:pPr>
    </w:p>
    <w:p w14:paraId="11138871">
      <w:pPr>
        <w:pStyle w:val="12"/>
        <w:spacing w:after="0" w:line="560" w:lineRule="exact"/>
        <w:ind w:firstLine="1687" w:firstLineChars="525"/>
        <w:jc w:val="both"/>
        <w:rPr>
          <w:rFonts w:ascii="仿宋_GB2312" w:hAnsi="仿宋" w:eastAsia="仿宋_GB2312"/>
          <w:b/>
          <w:sz w:val="32"/>
          <w:szCs w:val="32"/>
        </w:rPr>
      </w:pPr>
      <w:r>
        <w:rPr>
          <w:rFonts w:hint="eastAsia" w:ascii="仿宋_GB2312" w:hAnsi="仿宋" w:eastAsia="仿宋_GB2312"/>
          <w:b/>
          <w:sz w:val="32"/>
          <w:szCs w:val="32"/>
          <w:lang w:eastAsia="zh-CN"/>
        </w:rPr>
        <w:t>评估委托</w:t>
      </w:r>
      <w:r>
        <w:rPr>
          <w:rFonts w:hint="eastAsia" w:ascii="仿宋_GB2312" w:hAnsi="仿宋" w:eastAsia="仿宋_GB2312"/>
          <w:b/>
          <w:sz w:val="32"/>
          <w:szCs w:val="32"/>
        </w:rPr>
        <w:t>方：广州市</w:t>
      </w:r>
      <w:r>
        <w:rPr>
          <w:rFonts w:hint="eastAsia" w:ascii="仿宋_GB2312" w:hAnsi="仿宋" w:eastAsia="仿宋_GB2312"/>
          <w:b/>
          <w:sz w:val="32"/>
          <w:szCs w:val="32"/>
          <w:lang w:val="en-US"/>
        </w:rPr>
        <w:t>番禺</w:t>
      </w:r>
      <w:r>
        <w:rPr>
          <w:rFonts w:hint="eastAsia" w:ascii="仿宋_GB2312" w:hAnsi="仿宋" w:eastAsia="仿宋_GB2312"/>
          <w:b/>
          <w:sz w:val="32"/>
          <w:szCs w:val="32"/>
        </w:rPr>
        <w:t>区民政局</w:t>
      </w:r>
    </w:p>
    <w:p w14:paraId="1FDC9757">
      <w:pPr>
        <w:pStyle w:val="12"/>
        <w:spacing w:after="0" w:line="560" w:lineRule="exact"/>
        <w:ind w:firstLine="1687" w:firstLineChars="525"/>
        <w:jc w:val="both"/>
        <w:rPr>
          <w:rFonts w:ascii="仿宋_GB2312" w:hAnsi="仿宋" w:eastAsia="PMingLiU"/>
          <w:b/>
          <w:sz w:val="32"/>
          <w:szCs w:val="32"/>
        </w:rPr>
      </w:pPr>
      <w:r>
        <w:rPr>
          <w:rFonts w:hint="eastAsia" w:ascii="仿宋_GB2312" w:hAnsi="仿宋" w:eastAsia="仿宋_GB2312"/>
          <w:b/>
          <w:sz w:val="32"/>
          <w:szCs w:val="32"/>
        </w:rPr>
        <w:t>项目购买方：广州市</w:t>
      </w:r>
      <w:r>
        <w:rPr>
          <w:rFonts w:hint="eastAsia" w:ascii="仿宋_GB2312" w:hAnsi="仿宋" w:eastAsia="仿宋_GB2312"/>
          <w:b/>
          <w:sz w:val="32"/>
          <w:szCs w:val="32"/>
          <w:lang w:val="en-US"/>
        </w:rPr>
        <w:t>番禺区</w:t>
      </w:r>
      <w:r>
        <w:rPr>
          <w:rFonts w:hint="eastAsia" w:ascii="仿宋_GB2312" w:hAnsi="仿宋" w:eastAsia="仿宋_GB2312"/>
          <w:b/>
          <w:sz w:val="32"/>
          <w:szCs w:val="32"/>
          <w:lang w:val="en-US" w:eastAsia="zh-CN"/>
        </w:rPr>
        <w:t>洛浦</w:t>
      </w:r>
      <w:r>
        <w:rPr>
          <w:rFonts w:hint="eastAsia" w:ascii="仿宋_GB2312" w:hAnsi="仿宋" w:eastAsia="仿宋_GB2312"/>
          <w:b/>
          <w:sz w:val="32"/>
          <w:szCs w:val="32"/>
          <w:lang w:val="en-US"/>
        </w:rPr>
        <w:t>街道办事处</w:t>
      </w:r>
    </w:p>
    <w:p w14:paraId="020B0001">
      <w:pPr>
        <w:pStyle w:val="12"/>
        <w:spacing w:after="0" w:line="560" w:lineRule="exact"/>
        <w:ind w:firstLine="1687" w:firstLineChars="525"/>
        <w:jc w:val="both"/>
        <w:rPr>
          <w:rFonts w:ascii="仿宋_GB2312" w:hAnsi="仿宋" w:eastAsia="仿宋_GB2312"/>
          <w:b/>
          <w:sz w:val="32"/>
          <w:szCs w:val="32"/>
        </w:rPr>
      </w:pPr>
      <w:r>
        <w:rPr>
          <w:rFonts w:hint="eastAsia" w:ascii="仿宋_GB2312" w:hAnsi="仿宋" w:eastAsia="仿宋_GB2312"/>
          <w:b/>
          <w:sz w:val="32"/>
          <w:szCs w:val="32"/>
        </w:rPr>
        <w:t>项目承办方：广州市</w:t>
      </w:r>
      <w:r>
        <w:rPr>
          <w:rFonts w:hint="eastAsia" w:ascii="仿宋_GB2312" w:hAnsi="仿宋" w:eastAsia="仿宋_GB2312"/>
          <w:b/>
          <w:sz w:val="32"/>
          <w:szCs w:val="32"/>
          <w:lang w:val="en-US" w:eastAsia="zh-CN"/>
        </w:rPr>
        <w:t>阳光天使</w:t>
      </w:r>
      <w:r>
        <w:rPr>
          <w:rFonts w:hint="eastAsia" w:ascii="仿宋_GB2312" w:hAnsi="仿宋" w:eastAsia="仿宋_GB2312"/>
          <w:b/>
          <w:sz w:val="32"/>
          <w:szCs w:val="32"/>
          <w:lang w:val="en-US"/>
        </w:rPr>
        <w:t>社会工作服务</w:t>
      </w:r>
      <w:r>
        <w:rPr>
          <w:rFonts w:hint="eastAsia" w:ascii="仿宋_GB2312" w:hAnsi="仿宋" w:eastAsia="仿宋_GB2312"/>
          <w:b/>
          <w:sz w:val="32"/>
          <w:szCs w:val="32"/>
          <w:lang w:val="en-US" w:eastAsia="zh-CN"/>
        </w:rPr>
        <w:t>中</w:t>
      </w:r>
      <w:r>
        <w:rPr>
          <w:rFonts w:hint="eastAsia" w:ascii="仿宋_GB2312" w:hAnsi="仿宋" w:eastAsia="仿宋_GB2312"/>
          <w:b/>
          <w:sz w:val="32"/>
          <w:szCs w:val="32"/>
          <w:lang w:val="en-US"/>
        </w:rPr>
        <w:t>心</w:t>
      </w:r>
    </w:p>
    <w:p w14:paraId="523B369A">
      <w:pPr>
        <w:pStyle w:val="12"/>
        <w:spacing w:after="0" w:line="560" w:lineRule="exact"/>
        <w:ind w:firstLine="1687" w:firstLineChars="525"/>
        <w:jc w:val="both"/>
        <w:rPr>
          <w:rFonts w:ascii="仿宋_GB2312" w:hAnsi="仿宋" w:eastAsia="仿宋_GB2312"/>
          <w:b/>
          <w:sz w:val="32"/>
          <w:szCs w:val="32"/>
        </w:rPr>
      </w:pPr>
      <w:r>
        <w:rPr>
          <w:rFonts w:hint="eastAsia" w:ascii="仿宋_GB2312" w:hAnsi="仿宋" w:eastAsia="仿宋_GB2312"/>
          <w:b/>
          <w:sz w:val="32"/>
          <w:szCs w:val="32"/>
        </w:rPr>
        <w:t>项目评估方：</w:t>
      </w:r>
      <w:r>
        <w:rPr>
          <w:rFonts w:hint="eastAsia" w:ascii="仿宋_GB2312" w:hAnsi="仿宋" w:eastAsia="仿宋_GB2312"/>
          <w:b/>
          <w:sz w:val="32"/>
          <w:szCs w:val="32"/>
          <w:lang w:val="en-US"/>
        </w:rPr>
        <w:t>广州市番禺区</w:t>
      </w:r>
      <w:r>
        <w:rPr>
          <w:rFonts w:hint="eastAsia" w:ascii="仿宋_GB2312" w:hAnsi="仿宋" w:eastAsia="仿宋_GB2312"/>
          <w:b/>
          <w:sz w:val="32"/>
          <w:szCs w:val="32"/>
        </w:rPr>
        <w:t>社会组织联合会</w:t>
      </w:r>
    </w:p>
    <w:p w14:paraId="62262282">
      <w:pPr>
        <w:pStyle w:val="12"/>
        <w:spacing w:after="0" w:line="560" w:lineRule="exact"/>
        <w:ind w:firstLine="1687" w:firstLineChars="525"/>
        <w:jc w:val="both"/>
        <w:rPr>
          <w:rFonts w:ascii="仿宋_GB2312" w:hAnsi="仿宋" w:eastAsia="仿宋_GB2312"/>
          <w:b/>
          <w:sz w:val="32"/>
          <w:szCs w:val="32"/>
          <w:lang w:eastAsia="zh-CN"/>
        </w:rPr>
      </w:pPr>
      <w:r>
        <w:rPr>
          <w:rFonts w:hint="eastAsia" w:ascii="仿宋_GB2312" w:hAnsi="仿宋" w:eastAsia="仿宋_GB2312"/>
          <w:b/>
          <w:sz w:val="32"/>
          <w:szCs w:val="32"/>
        </w:rPr>
        <w:t>评估日期：</w:t>
      </w:r>
      <w:bookmarkStart w:id="3" w:name="bookmark4"/>
      <w:bookmarkStart w:id="4" w:name="bookmark3"/>
      <w:bookmarkStart w:id="5" w:name="bookmark5"/>
      <w:r>
        <w:rPr>
          <w:rFonts w:hint="eastAsia" w:ascii="仿宋_GB2312" w:hAnsi="仿宋" w:eastAsia="仿宋_GB2312" w:cs="Times New Roman"/>
          <w:b/>
          <w:sz w:val="32"/>
          <w:szCs w:val="32"/>
          <w:lang w:eastAsia="zh-CN"/>
        </w:rPr>
        <w:t>202</w:t>
      </w:r>
      <w:r>
        <w:rPr>
          <w:rFonts w:hint="eastAsia" w:ascii="仿宋_GB2312" w:hAnsi="仿宋" w:eastAsia="仿宋_GB2312" w:cs="Times New Roman"/>
          <w:b/>
          <w:sz w:val="32"/>
          <w:szCs w:val="32"/>
          <w:lang w:val="en-US" w:eastAsia="zh-CN"/>
        </w:rPr>
        <w:t>6</w:t>
      </w:r>
      <w:r>
        <w:rPr>
          <w:rFonts w:hint="eastAsia" w:ascii="仿宋_GB2312" w:hAnsi="仿宋" w:eastAsia="仿宋_GB2312" w:cs="Times New Roman"/>
          <w:b/>
          <w:sz w:val="32"/>
          <w:szCs w:val="32"/>
          <w:lang w:eastAsia="zh-CN"/>
        </w:rPr>
        <w:t>年</w:t>
      </w:r>
      <w:r>
        <w:rPr>
          <w:rFonts w:hint="eastAsia" w:ascii="仿宋_GB2312" w:hAnsi="仿宋" w:eastAsia="仿宋_GB2312" w:cs="Times New Roman"/>
          <w:b/>
          <w:sz w:val="32"/>
          <w:szCs w:val="32"/>
          <w:lang w:val="en-US" w:eastAsia="zh-CN"/>
        </w:rPr>
        <w:t>7</w:t>
      </w:r>
      <w:r>
        <w:rPr>
          <w:rFonts w:hint="eastAsia" w:ascii="仿宋_GB2312" w:hAnsi="仿宋" w:eastAsia="仿宋_GB2312" w:cs="Times New Roman"/>
          <w:b/>
          <w:sz w:val="32"/>
          <w:szCs w:val="32"/>
          <w:lang w:eastAsia="zh-CN"/>
        </w:rPr>
        <w:t>月</w:t>
      </w:r>
      <w:r>
        <w:rPr>
          <w:rFonts w:hint="eastAsia" w:ascii="仿宋_GB2312" w:hAnsi="仿宋" w:eastAsia="仿宋_GB2312" w:cs="Times New Roman"/>
          <w:b/>
          <w:sz w:val="32"/>
          <w:szCs w:val="32"/>
          <w:lang w:val="en-US" w:eastAsia="zh-CN"/>
        </w:rPr>
        <w:t>31</w:t>
      </w:r>
      <w:r>
        <w:rPr>
          <w:rFonts w:hint="eastAsia" w:ascii="仿宋_GB2312" w:hAnsi="仿宋" w:eastAsia="仿宋_GB2312" w:cs="Times New Roman"/>
          <w:b/>
          <w:sz w:val="32"/>
          <w:szCs w:val="32"/>
          <w:lang w:eastAsia="zh-CN"/>
        </w:rPr>
        <w:t>日</w:t>
      </w:r>
    </w:p>
    <w:p w14:paraId="503C917D">
      <w:pPr>
        <w:pStyle w:val="12"/>
        <w:spacing w:after="0" w:line="240" w:lineRule="auto"/>
        <w:ind w:firstLine="0"/>
      </w:pPr>
    </w:p>
    <w:p w14:paraId="4D95509A">
      <w:pPr>
        <w:pStyle w:val="12"/>
        <w:spacing w:after="0" w:line="240" w:lineRule="auto"/>
        <w:ind w:firstLine="0"/>
      </w:pPr>
    </w:p>
    <w:p w14:paraId="18A7FB0A">
      <w:pPr>
        <w:pStyle w:val="12"/>
        <w:spacing w:after="0" w:line="240" w:lineRule="auto"/>
        <w:ind w:firstLine="0"/>
      </w:pPr>
    </w:p>
    <w:p w14:paraId="6D07EEC3">
      <w:pPr>
        <w:pStyle w:val="12"/>
        <w:spacing w:after="0" w:line="240" w:lineRule="auto"/>
        <w:ind w:firstLine="0"/>
      </w:pPr>
    </w:p>
    <w:p w14:paraId="4518088D">
      <w:pPr>
        <w:pStyle w:val="12"/>
        <w:spacing w:after="0" w:line="240" w:lineRule="auto"/>
        <w:ind w:firstLine="0"/>
      </w:pPr>
    </w:p>
    <w:p w14:paraId="2A197568">
      <w:pPr>
        <w:pStyle w:val="12"/>
        <w:spacing w:after="0" w:line="240" w:lineRule="auto"/>
        <w:ind w:firstLine="0"/>
      </w:pPr>
    </w:p>
    <w:p w14:paraId="2019D75A">
      <w:pPr>
        <w:pStyle w:val="12"/>
        <w:spacing w:after="0" w:line="240" w:lineRule="auto"/>
        <w:ind w:firstLine="0"/>
      </w:pPr>
    </w:p>
    <w:p w14:paraId="43FE3633">
      <w:pPr>
        <w:pStyle w:val="12"/>
        <w:spacing w:after="0" w:line="240" w:lineRule="auto"/>
        <w:ind w:firstLine="0"/>
      </w:pPr>
    </w:p>
    <w:p w14:paraId="33CA8109">
      <w:pPr>
        <w:pStyle w:val="12"/>
        <w:spacing w:after="0" w:line="240" w:lineRule="auto"/>
        <w:ind w:firstLine="0"/>
      </w:pPr>
    </w:p>
    <w:p w14:paraId="58CE72A6">
      <w:pPr>
        <w:pStyle w:val="12"/>
        <w:spacing w:after="0" w:line="240" w:lineRule="auto"/>
        <w:ind w:firstLine="0"/>
        <w:rPr>
          <w:rFonts w:eastAsia="PMingLiU"/>
        </w:rPr>
        <w:sectPr>
          <w:pgSz w:w="11900" w:h="16840"/>
          <w:pgMar w:top="1301" w:right="876" w:bottom="1373" w:left="885" w:header="457" w:footer="448" w:gutter="0"/>
          <w:cols w:space="720" w:num="1"/>
          <w:docGrid w:linePitch="360" w:charSpace="0"/>
        </w:sectPr>
      </w:pPr>
    </w:p>
    <w:p w14:paraId="4E087F8E">
      <w:pPr>
        <w:pStyle w:val="12"/>
        <w:spacing w:after="0" w:line="240" w:lineRule="auto"/>
        <w:ind w:firstLine="0"/>
        <w:rPr>
          <w:rFonts w:eastAsia="PMingLiU"/>
        </w:rPr>
      </w:pPr>
    </w:p>
    <w:p w14:paraId="6ECD508C">
      <w:pPr>
        <w:pStyle w:val="10"/>
        <w:keepNext/>
        <w:keepLines/>
        <w:spacing w:before="0" w:after="0" w:line="360" w:lineRule="auto"/>
        <w:rPr>
          <w:rFonts w:ascii="方正小标宋简体" w:eastAsia="方正小标宋简体"/>
          <w:b/>
          <w:bCs/>
          <w:lang w:val="en-US"/>
        </w:rPr>
      </w:pPr>
      <w:r>
        <w:rPr>
          <w:rFonts w:hint="eastAsia" w:ascii="方正小标宋简体" w:eastAsia="方正小标宋简体"/>
          <w:b/>
          <w:bCs/>
          <w:lang w:val="en-US" w:eastAsia="zh-CN"/>
        </w:rPr>
        <w:t>洛浦</w:t>
      </w:r>
      <w:r>
        <w:rPr>
          <w:rFonts w:ascii="方正小标宋简体" w:eastAsia="方正小标宋简体"/>
          <w:b/>
          <w:bCs/>
          <w:lang w:val="en-US"/>
        </w:rPr>
        <w:t>街社工服务站</w:t>
      </w:r>
      <w:r>
        <w:rPr>
          <w:rFonts w:hint="eastAsia" w:ascii="方正小标宋简体" w:eastAsia="方正小标宋简体"/>
          <w:b/>
          <w:bCs/>
          <w:lang w:val="en-US" w:eastAsia="zh-CN"/>
        </w:rPr>
        <w:t>末期</w:t>
      </w:r>
      <w:r>
        <w:rPr>
          <w:rFonts w:ascii="方正小标宋简体" w:eastAsia="方正小标宋简体"/>
          <w:b/>
          <w:bCs/>
          <w:lang w:val="en-US"/>
        </w:rPr>
        <w:t>评估报告</w:t>
      </w:r>
      <w:bookmarkEnd w:id="3"/>
      <w:bookmarkEnd w:id="4"/>
      <w:bookmarkEnd w:id="5"/>
    </w:p>
    <w:p w14:paraId="20C4110B">
      <w:pPr>
        <w:pStyle w:val="10"/>
        <w:keepNext/>
        <w:keepLines/>
        <w:spacing w:before="0" w:after="0" w:line="360" w:lineRule="auto"/>
        <w:rPr>
          <w:rFonts w:ascii="方正小标宋简体" w:eastAsia="方正小标宋简体"/>
          <w:b/>
          <w:bCs/>
          <w:sz w:val="44"/>
          <w:szCs w:val="44"/>
          <w:lang w:eastAsia="zh-CN"/>
        </w:rPr>
      </w:pPr>
      <w:r>
        <w:rPr>
          <w:rFonts w:hint="eastAsia" w:ascii="方正小标宋简体" w:eastAsia="方正小标宋简体"/>
          <w:b/>
          <w:bCs/>
          <w:sz w:val="44"/>
          <w:szCs w:val="44"/>
          <w:lang w:eastAsia="zh-CN"/>
        </w:rPr>
        <w:t>（协议期：</w:t>
      </w:r>
      <w:r>
        <w:rPr>
          <w:rFonts w:hint="eastAsia" w:ascii="方正小标宋简体" w:eastAsia="方正小标宋简体"/>
          <w:b/>
          <w:bCs/>
          <w:sz w:val="44"/>
          <w:szCs w:val="44"/>
          <w:lang w:val="en-US" w:eastAsia="zh-CN"/>
        </w:rPr>
        <w:t>2025年8月6日—2026年8月5日</w:t>
      </w:r>
      <w:r>
        <w:rPr>
          <w:rFonts w:hint="eastAsia" w:ascii="方正小标宋简体" w:eastAsia="方正小标宋简体"/>
          <w:b/>
          <w:bCs/>
          <w:sz w:val="44"/>
          <w:szCs w:val="44"/>
          <w:lang w:eastAsia="zh-CN"/>
        </w:rPr>
        <w:t>）</w:t>
      </w:r>
    </w:p>
    <w:p w14:paraId="7F97D1D0">
      <w:pPr>
        <w:pStyle w:val="10"/>
        <w:keepNext/>
        <w:keepLines/>
        <w:spacing w:before="0" w:after="0" w:line="560" w:lineRule="exact"/>
        <w:jc w:val="both"/>
        <w:rPr>
          <w:rFonts w:ascii="方正小标宋简体" w:eastAsia="方正小标宋简体"/>
          <w:lang w:val="en-US"/>
        </w:rPr>
      </w:pPr>
    </w:p>
    <w:p w14:paraId="293787DF">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val="en-US" w:eastAsia="zh-CN"/>
        </w:rPr>
        <w:t>洛浦</w:t>
      </w:r>
      <w:r>
        <w:rPr>
          <w:rFonts w:hint="eastAsia" w:ascii="仿宋_GB2312" w:eastAsia="仿宋_GB2312"/>
          <w:sz w:val="32"/>
          <w:szCs w:val="32"/>
        </w:rPr>
        <w:t>街社工服务站（简称</w:t>
      </w:r>
      <w:r>
        <w:rPr>
          <w:rFonts w:hint="eastAsia" w:ascii="仿宋_GB2312" w:eastAsia="仿宋_GB2312"/>
          <w:sz w:val="32"/>
          <w:szCs w:val="32"/>
          <w:lang w:val="en-US" w:eastAsia="zh-CN"/>
        </w:rPr>
        <w:t>洛浦街</w:t>
      </w:r>
      <w:r>
        <w:rPr>
          <w:rFonts w:hint="eastAsia" w:ascii="仿宋_GB2312" w:eastAsia="仿宋_GB2312"/>
          <w:sz w:val="32"/>
          <w:szCs w:val="32"/>
        </w:rPr>
        <w:t>社工站）</w:t>
      </w:r>
      <w:r>
        <w:rPr>
          <w:rFonts w:hint="eastAsia" w:ascii="仿宋_GB2312" w:eastAsia="仿宋_GB2312"/>
          <w:sz w:val="32"/>
          <w:szCs w:val="32"/>
          <w:lang w:eastAsia="zh-CN"/>
        </w:rPr>
        <w:t>末期</w:t>
      </w:r>
      <w:r>
        <w:rPr>
          <w:rFonts w:hint="eastAsia" w:ascii="仿宋_GB2312" w:eastAsia="仿宋_GB2312"/>
          <w:sz w:val="32"/>
          <w:szCs w:val="32"/>
        </w:rPr>
        <w:t>报告，是专业评估人员通过对</w:t>
      </w:r>
      <w:r>
        <w:rPr>
          <w:rFonts w:hint="eastAsia" w:ascii="仿宋_GB2312" w:eastAsia="仿宋_GB2312"/>
          <w:sz w:val="32"/>
          <w:szCs w:val="32"/>
          <w:lang w:val="en-US" w:eastAsia="zh-CN"/>
        </w:rPr>
        <w:t>洛浦街</w:t>
      </w:r>
      <w:r>
        <w:rPr>
          <w:rFonts w:hint="eastAsia" w:ascii="仿宋_GB2312" w:eastAsia="仿宋_GB2312"/>
          <w:sz w:val="32"/>
          <w:szCs w:val="32"/>
        </w:rPr>
        <w:t>社工站项目阶段性服务的全面调查、综合分析和科学判断，确定目标是否可行，总结服务开展情况</w:t>
      </w:r>
      <w:r>
        <w:rPr>
          <w:rFonts w:hint="eastAsia" w:ascii="仿宋_GB2312" w:eastAsia="仿宋_GB2312"/>
          <w:sz w:val="32"/>
          <w:szCs w:val="32"/>
          <w:lang w:eastAsia="zh-CN"/>
        </w:rPr>
        <w:t>和</w:t>
      </w:r>
      <w:r>
        <w:rPr>
          <w:rFonts w:hint="eastAsia" w:ascii="仿宋_GB2312" w:eastAsia="仿宋_GB2312"/>
          <w:sz w:val="32"/>
          <w:szCs w:val="32"/>
        </w:rPr>
        <w:t>服务</w:t>
      </w:r>
      <w:r>
        <w:rPr>
          <w:rFonts w:hint="eastAsia" w:ascii="仿宋_GB2312" w:eastAsia="仿宋_GB2312"/>
          <w:sz w:val="32"/>
          <w:szCs w:val="32"/>
          <w:lang w:eastAsia="zh-CN"/>
        </w:rPr>
        <w:t>成效</w:t>
      </w:r>
      <w:r>
        <w:rPr>
          <w:rFonts w:hint="eastAsia" w:ascii="仿宋_GB2312" w:eastAsia="仿宋_GB2312"/>
          <w:sz w:val="32"/>
          <w:szCs w:val="32"/>
        </w:rPr>
        <w:t>的总结文书。经过</w:t>
      </w:r>
      <w:r>
        <w:rPr>
          <w:rFonts w:hint="eastAsia" w:ascii="仿宋_GB2312" w:hAnsi="Times New Roman" w:eastAsia="仿宋_GB2312" w:cs="Times New Roman"/>
          <w:sz w:val="32"/>
          <w:szCs w:val="32"/>
          <w:lang w:val="en-US" w:eastAsia="zh-CN"/>
        </w:rPr>
        <w:t>4</w:t>
      </w:r>
      <w:r>
        <w:rPr>
          <w:rFonts w:hint="eastAsia" w:ascii="仿宋_GB2312" w:eastAsia="仿宋_GB2312"/>
          <w:sz w:val="32"/>
          <w:szCs w:val="32"/>
        </w:rPr>
        <w:t>位专家及</w:t>
      </w:r>
      <w:r>
        <w:rPr>
          <w:rFonts w:hint="eastAsia" w:ascii="仿宋_GB2312" w:eastAsia="仿宋_GB2312"/>
          <w:sz w:val="32"/>
          <w:szCs w:val="32"/>
          <w:lang w:val="en-US" w:eastAsia="zh-CN"/>
        </w:rPr>
        <w:t>2</w:t>
      </w:r>
      <w:r>
        <w:rPr>
          <w:rFonts w:hint="eastAsia" w:ascii="仿宋_GB2312" w:eastAsia="仿宋_GB2312"/>
          <w:sz w:val="32"/>
          <w:szCs w:val="32"/>
        </w:rPr>
        <w:t>名工作人员</w:t>
      </w:r>
      <w:r>
        <w:rPr>
          <w:rFonts w:hint="eastAsia" w:ascii="仿宋_GB2312" w:eastAsia="仿宋_GB2312"/>
          <w:sz w:val="32"/>
          <w:szCs w:val="32"/>
          <w:lang w:val="en-US"/>
        </w:rPr>
        <w:t>对</w:t>
      </w:r>
      <w:r>
        <w:rPr>
          <w:rFonts w:hint="eastAsia" w:ascii="仿宋_GB2312" w:eastAsia="仿宋_GB2312"/>
          <w:sz w:val="32"/>
          <w:szCs w:val="32"/>
        </w:rPr>
        <w:t>社工站展开为期一天的实地考察、访谈、查阅资料等形式的评估，形成此报告。</w:t>
      </w:r>
      <w:r>
        <w:rPr>
          <w:rFonts w:hint="eastAsia" w:ascii="仿宋_GB2312" w:eastAsia="仿宋_GB2312"/>
          <w:sz w:val="32"/>
          <w:szCs w:val="32"/>
          <w:lang w:val="en-US" w:eastAsia="zh-CN"/>
        </w:rPr>
        <w:t>洛浦街</w:t>
      </w:r>
      <w:r>
        <w:rPr>
          <w:rFonts w:hint="eastAsia" w:ascii="仿宋_GB2312" w:eastAsia="仿宋_GB2312"/>
          <w:sz w:val="32"/>
          <w:szCs w:val="32"/>
        </w:rPr>
        <w:t>社工站可以将此报告作为参考，进行服务完善和提升，从多方面</w:t>
      </w:r>
      <w:r>
        <w:rPr>
          <w:rFonts w:hint="eastAsia" w:ascii="仿宋_GB2312" w:eastAsia="仿宋_GB2312"/>
          <w:sz w:val="32"/>
          <w:szCs w:val="32"/>
          <w:lang w:eastAsia="zh-CN"/>
        </w:rPr>
        <w:t>夯实</w:t>
      </w:r>
      <w:r>
        <w:rPr>
          <w:rFonts w:hint="eastAsia" w:ascii="仿宋_GB2312" w:eastAsia="仿宋_GB2312"/>
          <w:sz w:val="32"/>
          <w:szCs w:val="32"/>
        </w:rPr>
        <w:t>服务基础，拓展服务面，提升服务的专业化水平。本报告尽量呈现社工站的实际情况，因评估时间较短的关系，社工站部分服务成效不完全体现在报告</w:t>
      </w:r>
      <w:r>
        <w:rPr>
          <w:rFonts w:hint="eastAsia" w:ascii="仿宋_GB2312" w:eastAsia="仿宋_GB2312"/>
          <w:color w:val="auto"/>
          <w:sz w:val="32"/>
          <w:szCs w:val="32"/>
          <w:lang w:eastAsia="zh-CN"/>
        </w:rPr>
        <w:t>中</w:t>
      </w:r>
      <w:r>
        <w:rPr>
          <w:rFonts w:hint="eastAsia" w:ascii="仿宋_GB2312" w:eastAsia="仿宋_GB2312"/>
          <w:sz w:val="32"/>
          <w:szCs w:val="32"/>
        </w:rPr>
        <w:t>。</w:t>
      </w:r>
    </w:p>
    <w:p w14:paraId="476F11C0">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方正小标宋简体" w:eastAsia="方正小标宋简体"/>
          <w:b/>
          <w:sz w:val="32"/>
          <w:szCs w:val="32"/>
        </w:rPr>
      </w:pPr>
      <w:r>
        <w:rPr>
          <w:rFonts w:hint="eastAsia" w:ascii="方正小标宋简体" w:eastAsia="方正小标宋简体"/>
          <w:b/>
          <w:sz w:val="32"/>
          <w:szCs w:val="32"/>
          <w:lang w:val="en-US"/>
        </w:rPr>
        <w:t>一</w:t>
      </w:r>
      <w:r>
        <w:rPr>
          <w:rFonts w:hint="eastAsia" w:ascii="方正小标宋简体" w:eastAsia="方正小标宋简体"/>
          <w:b/>
          <w:sz w:val="32"/>
          <w:szCs w:val="32"/>
          <w:lang w:val="en-US" w:eastAsia="zh-CN"/>
        </w:rPr>
        <w:t>、</w:t>
      </w:r>
      <w:r>
        <w:rPr>
          <w:rFonts w:hint="eastAsia" w:ascii="方正小标宋简体" w:eastAsia="方正小标宋简体"/>
          <w:b/>
          <w:sz w:val="32"/>
          <w:szCs w:val="32"/>
          <w:lang w:eastAsia="zh-CN"/>
        </w:rPr>
        <w:t>末期</w:t>
      </w:r>
      <w:r>
        <w:rPr>
          <w:rFonts w:hint="eastAsia" w:ascii="方正小标宋简体" w:eastAsia="方正小标宋简体"/>
          <w:b/>
          <w:sz w:val="32"/>
          <w:szCs w:val="32"/>
        </w:rPr>
        <w:t>评估背景</w:t>
      </w:r>
    </w:p>
    <w:p w14:paraId="0A5E26A3">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val="en-US" w:eastAsia="zh-CN"/>
        </w:rPr>
        <w:t>2026年7月31日</w:t>
      </w:r>
      <w:r>
        <w:rPr>
          <w:rFonts w:hint="eastAsia" w:ascii="仿宋_GB2312" w:eastAsia="仿宋_GB2312"/>
          <w:sz w:val="32"/>
          <w:szCs w:val="32"/>
        </w:rPr>
        <w:t>，</w:t>
      </w:r>
      <w:r>
        <w:rPr>
          <w:rFonts w:hint="eastAsia" w:ascii="仿宋_GB2312" w:eastAsia="仿宋_GB2312"/>
          <w:sz w:val="32"/>
          <w:szCs w:val="32"/>
          <w:lang w:val="en-US"/>
        </w:rPr>
        <w:t>番禺区社会组织联合会</w:t>
      </w:r>
      <w:r>
        <w:rPr>
          <w:rFonts w:hint="eastAsia" w:ascii="仿宋_GB2312" w:hAnsi="Times New Roman" w:eastAsia="仿宋_GB2312" w:cs="Times New Roman"/>
          <w:sz w:val="32"/>
          <w:szCs w:val="32"/>
          <w:lang w:val="en-US" w:eastAsia="zh-CN"/>
        </w:rPr>
        <w:t>4</w:t>
      </w:r>
      <w:r>
        <w:rPr>
          <w:rFonts w:hint="eastAsia" w:ascii="仿宋_GB2312" w:eastAsia="仿宋_GB2312"/>
          <w:sz w:val="32"/>
          <w:szCs w:val="32"/>
        </w:rPr>
        <w:t>位评委及</w:t>
      </w:r>
      <w:r>
        <w:rPr>
          <w:rFonts w:hint="eastAsia" w:ascii="仿宋_GB2312" w:eastAsia="仿宋_GB2312"/>
          <w:sz w:val="32"/>
          <w:szCs w:val="32"/>
          <w:lang w:val="en-US" w:eastAsia="zh-CN"/>
        </w:rPr>
        <w:t>2</w:t>
      </w:r>
      <w:r>
        <w:rPr>
          <w:rFonts w:hint="eastAsia" w:ascii="仿宋_GB2312" w:eastAsia="仿宋_GB2312"/>
          <w:sz w:val="32"/>
          <w:szCs w:val="32"/>
        </w:rPr>
        <w:t>名工作人员对</w:t>
      </w:r>
      <w:r>
        <w:rPr>
          <w:rFonts w:hint="eastAsia" w:ascii="仿宋_GB2312" w:eastAsia="仿宋_GB2312"/>
          <w:sz w:val="32"/>
          <w:szCs w:val="32"/>
          <w:lang w:eastAsia="zh-CN"/>
        </w:rPr>
        <w:t>洛浦</w:t>
      </w:r>
      <w:r>
        <w:rPr>
          <w:rFonts w:hint="eastAsia" w:ascii="仿宋_GB2312" w:eastAsia="仿宋_GB2312"/>
          <w:sz w:val="32"/>
          <w:szCs w:val="32"/>
        </w:rPr>
        <w:t>社工站展开了</w:t>
      </w:r>
      <w:r>
        <w:rPr>
          <w:rFonts w:hint="eastAsia" w:ascii="仿宋_GB2312" w:eastAsia="仿宋_GB2312"/>
          <w:sz w:val="32"/>
          <w:szCs w:val="32"/>
          <w:lang w:eastAsia="zh-CN"/>
        </w:rPr>
        <w:t>末期</w:t>
      </w:r>
      <w:r>
        <w:rPr>
          <w:rFonts w:hint="eastAsia" w:ascii="仿宋_GB2312" w:eastAsia="仿宋_GB2312"/>
          <w:sz w:val="32"/>
          <w:szCs w:val="32"/>
        </w:rPr>
        <w:t>评估工作。评估为期</w:t>
      </w:r>
      <w:r>
        <w:rPr>
          <w:rFonts w:hint="eastAsia" w:ascii="仿宋_GB2312" w:hAnsi="Times New Roman" w:eastAsia="仿宋_GB2312" w:cs="Times New Roman"/>
          <w:sz w:val="32"/>
          <w:szCs w:val="32"/>
        </w:rPr>
        <w:t>1</w:t>
      </w:r>
      <w:r>
        <w:rPr>
          <w:rFonts w:hint="eastAsia" w:ascii="仿宋_GB2312" w:eastAsia="仿宋_GB2312"/>
          <w:sz w:val="32"/>
          <w:szCs w:val="32"/>
        </w:rPr>
        <w:t>天，主要通过听取社工站介绍、实地考察、查阅资料、面谈（访谈）、填写问卷</w:t>
      </w:r>
      <w:r>
        <w:rPr>
          <w:rFonts w:hint="eastAsia" w:ascii="仿宋_GB2312" w:eastAsia="仿宋_GB2312"/>
          <w:sz w:val="32"/>
          <w:szCs w:val="32"/>
          <w:lang w:eastAsia="zh-CN"/>
        </w:rPr>
        <w:t>、</w:t>
      </w:r>
      <w:r>
        <w:rPr>
          <w:rFonts w:hint="eastAsia" w:ascii="仿宋_GB2312" w:eastAsia="仿宋_GB2312"/>
          <w:color w:val="auto"/>
          <w:sz w:val="32"/>
          <w:szCs w:val="32"/>
          <w:lang w:val="en-US" w:eastAsia="zh-CN"/>
        </w:rPr>
        <w:t>电访困难群众询问</w:t>
      </w:r>
      <w:r>
        <w:rPr>
          <w:rFonts w:hint="eastAsia" w:ascii="仿宋_GB2312" w:eastAsia="仿宋_GB2312"/>
          <w:sz w:val="32"/>
          <w:szCs w:val="32"/>
        </w:rPr>
        <w:t>等形式，对</w:t>
      </w:r>
      <w:r>
        <w:rPr>
          <w:rFonts w:hint="eastAsia" w:ascii="仿宋_GB2312" w:eastAsia="仿宋_GB2312"/>
          <w:sz w:val="32"/>
          <w:szCs w:val="32"/>
          <w:lang w:eastAsia="zh-CN"/>
        </w:rPr>
        <w:t>洛浦</w:t>
      </w:r>
      <w:r>
        <w:rPr>
          <w:rFonts w:hint="eastAsia" w:ascii="仿宋_GB2312" w:eastAsia="仿宋_GB2312"/>
          <w:sz w:val="32"/>
          <w:szCs w:val="32"/>
        </w:rPr>
        <w:t>社工站的项目管理、服务开展情况以及项目成效等方面进行评估。评估团队主要完成了以下几方面的工作：</w:t>
      </w:r>
    </w:p>
    <w:p w14:paraId="4217AE84">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sz w:val="32"/>
          <w:szCs w:val="32"/>
        </w:rPr>
      </w:pPr>
      <w:bookmarkStart w:id="6" w:name="bookmark6"/>
      <w:bookmarkEnd w:id="6"/>
      <w:r>
        <w:rPr>
          <w:rFonts w:hint="eastAsia" w:ascii="仿宋_GB2312" w:eastAsia="仿宋_GB2312"/>
          <w:b/>
          <w:sz w:val="32"/>
          <w:szCs w:val="32"/>
          <w:lang w:val="en-US"/>
        </w:rPr>
        <w:t>1.</w:t>
      </w:r>
      <w:r>
        <w:rPr>
          <w:rFonts w:hint="eastAsia" w:ascii="仿宋_GB2312" w:eastAsia="仿宋_GB2312"/>
          <w:b/>
          <w:sz w:val="32"/>
          <w:szCs w:val="32"/>
        </w:rPr>
        <w:t>听取介绍。</w:t>
      </w:r>
      <w:r>
        <w:rPr>
          <w:rFonts w:hint="eastAsia" w:ascii="仿宋_GB2312" w:eastAsia="仿宋_GB2312"/>
          <w:sz w:val="32"/>
          <w:szCs w:val="32"/>
        </w:rPr>
        <w:t>由社工站负责人介绍社工站的运营及服务情况</w:t>
      </w:r>
      <w:r>
        <w:rPr>
          <w:rFonts w:hint="eastAsia" w:ascii="仿宋_GB2312" w:eastAsia="仿宋_GB2312"/>
          <w:sz w:val="32"/>
          <w:szCs w:val="32"/>
          <w:lang w:eastAsia="zh-CN"/>
        </w:rPr>
        <w:t>、</w:t>
      </w:r>
      <w:r>
        <w:rPr>
          <w:rFonts w:hint="eastAsia" w:ascii="仿宋_GB2312" w:eastAsia="仿宋_GB2312"/>
          <w:sz w:val="32"/>
          <w:szCs w:val="32"/>
        </w:rPr>
        <w:t>各项指标完成情况。</w:t>
      </w:r>
    </w:p>
    <w:p w14:paraId="6C0547A5">
      <w:pPr>
        <w:pStyle w:val="12"/>
        <w:keepNext w:val="0"/>
        <w:keepLines w:val="0"/>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7" w:name="bookmark7"/>
      <w:bookmarkEnd w:id="7"/>
      <w:r>
        <w:rPr>
          <w:rFonts w:hint="eastAsia" w:ascii="仿宋_GB2312" w:eastAsia="仿宋_GB2312"/>
          <w:b/>
          <w:sz w:val="32"/>
          <w:szCs w:val="32"/>
          <w:lang w:val="en-US"/>
        </w:rPr>
        <w:t>2.实地观察。</w:t>
      </w:r>
      <w:r>
        <w:rPr>
          <w:rFonts w:hint="eastAsia" w:ascii="仿宋_GB2312" w:eastAsia="仿宋_GB2312"/>
          <w:sz w:val="32"/>
          <w:szCs w:val="32"/>
        </w:rPr>
        <w:t>主要针对社工站硬件建设情况方面进行观察</w:t>
      </w:r>
      <w:r>
        <w:rPr>
          <w:rFonts w:hint="eastAsia" w:ascii="仿宋_GB2312" w:eastAsia="仿宋_GB2312"/>
          <w:sz w:val="32"/>
          <w:szCs w:val="32"/>
          <w:lang w:eastAsia="zh-CN"/>
        </w:rPr>
        <w:t>，</w:t>
      </w:r>
      <w:r>
        <w:rPr>
          <w:rFonts w:hint="eastAsia" w:ascii="仿宋_GB2312" w:eastAsia="仿宋_GB2312"/>
          <w:sz w:val="32"/>
          <w:szCs w:val="32"/>
        </w:rPr>
        <w:t>以评估其设施开展专业服务的适宜性。</w:t>
      </w:r>
    </w:p>
    <w:p w14:paraId="70CE42F9">
      <w:pPr>
        <w:pStyle w:val="12"/>
        <w:keepNext w:val="0"/>
        <w:keepLines w:val="0"/>
        <w:pageBreakBefore w:val="0"/>
        <w:widowControl w:val="0"/>
        <w:tabs>
          <w:tab w:val="left" w:pos="97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8" w:name="bookmark8"/>
      <w:bookmarkEnd w:id="8"/>
      <w:r>
        <w:rPr>
          <w:rFonts w:hint="eastAsia" w:ascii="仿宋_GB2312" w:eastAsia="仿宋_GB2312"/>
          <w:b/>
          <w:sz w:val="32"/>
          <w:szCs w:val="32"/>
          <w:lang w:val="en-US"/>
        </w:rPr>
        <w:t>3.查阅资料。</w:t>
      </w:r>
      <w:r>
        <w:rPr>
          <w:rFonts w:hint="eastAsia" w:ascii="仿宋_GB2312" w:eastAsia="仿宋_GB2312"/>
          <w:sz w:val="32"/>
          <w:szCs w:val="32"/>
        </w:rPr>
        <w:t>查阅社工站行政、人事管理制度及专业服务记录等方面的资料。</w:t>
      </w:r>
    </w:p>
    <w:p w14:paraId="048B82DE">
      <w:pPr>
        <w:pStyle w:val="12"/>
        <w:keepNext w:val="0"/>
        <w:keepLines w:val="0"/>
        <w:pageBreakBefore w:val="0"/>
        <w:widowControl w:val="0"/>
        <w:tabs>
          <w:tab w:val="left" w:pos="986"/>
        </w:tabs>
        <w:kinsoku/>
        <w:wordWrap/>
        <w:overflowPunct/>
        <w:topLinePunct w:val="0"/>
        <w:autoSpaceDE/>
        <w:autoSpaceDN/>
        <w:bidi w:val="0"/>
        <w:adjustRightInd/>
        <w:snapToGrid/>
        <w:spacing w:after="120" w:line="560" w:lineRule="exact"/>
        <w:ind w:firstLine="643" w:firstLineChars="200"/>
        <w:jc w:val="both"/>
        <w:textAlignment w:val="auto"/>
        <w:rPr>
          <w:rFonts w:ascii="仿宋_GB2312" w:eastAsia="仿宋_GB2312"/>
          <w:sz w:val="32"/>
          <w:szCs w:val="32"/>
        </w:rPr>
      </w:pPr>
      <w:bookmarkStart w:id="9" w:name="bookmark9"/>
      <w:bookmarkEnd w:id="9"/>
      <w:r>
        <w:rPr>
          <w:rFonts w:hint="eastAsia" w:ascii="仿宋_GB2312" w:eastAsia="仿宋_GB2312"/>
          <w:b/>
          <w:sz w:val="32"/>
          <w:szCs w:val="32"/>
          <w:lang w:val="en-US"/>
        </w:rPr>
        <w:t>4.各项目访谈。</w:t>
      </w:r>
      <w:r>
        <w:rPr>
          <w:rFonts w:hint="eastAsia" w:ascii="仿宋_GB2312" w:eastAsia="仿宋_GB2312"/>
          <w:sz w:val="32"/>
          <w:szCs w:val="32"/>
        </w:rPr>
        <w:t>评委与各项目社工进行访谈，了解社工站服务推进情况</w:t>
      </w:r>
      <w:r>
        <w:rPr>
          <w:rFonts w:hint="eastAsia" w:ascii="仿宋_GB2312" w:eastAsia="仿宋_GB2312"/>
          <w:sz w:val="32"/>
          <w:szCs w:val="32"/>
          <w:lang w:eastAsia="zh-CN"/>
        </w:rPr>
        <w:t>，</w:t>
      </w:r>
      <w:r>
        <w:rPr>
          <w:rFonts w:hint="eastAsia" w:ascii="仿宋_GB2312" w:eastAsia="仿宋_GB2312"/>
          <w:sz w:val="32"/>
          <w:szCs w:val="32"/>
        </w:rPr>
        <w:t>了解社工对服务项目的理解，以及开展服务的总结反思。</w:t>
      </w:r>
    </w:p>
    <w:p w14:paraId="598B6B61">
      <w:pPr>
        <w:pStyle w:val="12"/>
        <w:keepNext w:val="0"/>
        <w:keepLines w:val="0"/>
        <w:pageBreakBefore w:val="0"/>
        <w:widowControl w:val="0"/>
        <w:tabs>
          <w:tab w:val="left" w:pos="986"/>
        </w:tabs>
        <w:kinsoku/>
        <w:wordWrap/>
        <w:overflowPunct/>
        <w:topLinePunct w:val="0"/>
        <w:autoSpaceDE/>
        <w:autoSpaceDN/>
        <w:bidi w:val="0"/>
        <w:adjustRightInd/>
        <w:snapToGrid/>
        <w:spacing w:after="120" w:line="560" w:lineRule="exact"/>
        <w:ind w:firstLine="643" w:firstLineChars="200"/>
        <w:jc w:val="both"/>
        <w:textAlignment w:val="auto"/>
        <w:rPr>
          <w:rFonts w:ascii="仿宋_GB2312" w:eastAsia="仿宋_GB2312"/>
          <w:sz w:val="32"/>
          <w:szCs w:val="32"/>
        </w:rPr>
      </w:pPr>
      <w:bookmarkStart w:id="10" w:name="bookmark10"/>
      <w:bookmarkEnd w:id="10"/>
      <w:r>
        <w:rPr>
          <w:rFonts w:hint="eastAsia" w:ascii="仿宋_GB2312" w:eastAsia="仿宋_GB2312"/>
          <w:b/>
          <w:sz w:val="32"/>
          <w:szCs w:val="32"/>
          <w:lang w:val="en-US"/>
        </w:rPr>
        <w:t>5.机构运营访谈。</w:t>
      </w:r>
      <w:r>
        <w:rPr>
          <w:rFonts w:hint="eastAsia" w:ascii="仿宋_GB2312" w:eastAsia="仿宋_GB2312"/>
          <w:sz w:val="32"/>
          <w:szCs w:val="32"/>
        </w:rPr>
        <w:t>主要与承办机构管理人员及行政人员进行访谈</w:t>
      </w:r>
      <w:r>
        <w:rPr>
          <w:rFonts w:hint="eastAsia" w:ascii="仿宋_GB2312" w:eastAsia="仿宋_GB2312"/>
          <w:sz w:val="32"/>
          <w:szCs w:val="32"/>
          <w:lang w:eastAsia="zh-CN"/>
        </w:rPr>
        <w:t>，</w:t>
      </w:r>
      <w:r>
        <w:rPr>
          <w:rFonts w:hint="eastAsia" w:ascii="仿宋_GB2312" w:eastAsia="仿宋_GB2312"/>
          <w:sz w:val="32"/>
          <w:szCs w:val="32"/>
        </w:rPr>
        <w:t>了解机构运营情况，查看机构行政配套制度等情况。</w:t>
      </w:r>
    </w:p>
    <w:p w14:paraId="75F31848">
      <w:pPr>
        <w:pStyle w:val="12"/>
        <w:keepNext w:val="0"/>
        <w:keepLines w:val="0"/>
        <w:pageBreakBefore w:val="0"/>
        <w:widowControl w:val="0"/>
        <w:tabs>
          <w:tab w:val="left" w:pos="952"/>
        </w:tabs>
        <w:kinsoku/>
        <w:wordWrap/>
        <w:overflowPunct/>
        <w:topLinePunct w:val="0"/>
        <w:autoSpaceDE/>
        <w:autoSpaceDN/>
        <w:bidi w:val="0"/>
        <w:adjustRightInd/>
        <w:snapToGrid/>
        <w:spacing w:after="120" w:line="560" w:lineRule="exact"/>
        <w:ind w:firstLine="643" w:firstLineChars="200"/>
        <w:jc w:val="both"/>
        <w:textAlignment w:val="auto"/>
        <w:rPr>
          <w:rFonts w:ascii="仿宋_GB2312" w:eastAsia="仿宋_GB2312"/>
          <w:sz w:val="32"/>
          <w:szCs w:val="32"/>
        </w:rPr>
      </w:pPr>
      <w:bookmarkStart w:id="11" w:name="bookmark11"/>
      <w:bookmarkEnd w:id="11"/>
      <w:r>
        <w:rPr>
          <w:rFonts w:hint="eastAsia" w:ascii="仿宋_GB2312" w:eastAsia="仿宋_GB2312"/>
          <w:b/>
          <w:sz w:val="32"/>
          <w:szCs w:val="32"/>
          <w:lang w:val="en-US"/>
        </w:rPr>
        <w:t>6.利益相关方满意度及知晓度。</w:t>
      </w:r>
      <w:r>
        <w:rPr>
          <w:rFonts w:hint="eastAsia" w:ascii="仿宋_GB2312" w:eastAsia="仿宋_GB2312"/>
          <w:sz w:val="32"/>
          <w:szCs w:val="32"/>
        </w:rPr>
        <w:t>主要社工站在辖区内的知晓度以及各利益相关方对社工</w:t>
      </w:r>
      <w:r>
        <w:rPr>
          <w:rFonts w:hint="eastAsia" w:ascii="仿宋_GB2312" w:eastAsia="仿宋_GB2312"/>
          <w:sz w:val="32"/>
          <w:szCs w:val="32"/>
          <w:lang w:eastAsia="zh-CN"/>
        </w:rPr>
        <w:t>站</w:t>
      </w:r>
      <w:r>
        <w:rPr>
          <w:rFonts w:hint="eastAsia" w:ascii="仿宋_GB2312" w:eastAsia="仿宋_GB2312"/>
          <w:sz w:val="32"/>
          <w:szCs w:val="32"/>
        </w:rPr>
        <w:t>提供的服务</w:t>
      </w:r>
      <w:r>
        <w:rPr>
          <w:rFonts w:hint="eastAsia" w:ascii="仿宋_GB2312" w:eastAsia="仿宋_GB2312"/>
          <w:sz w:val="32"/>
          <w:szCs w:val="32"/>
          <w:lang w:eastAsia="zh-CN"/>
        </w:rPr>
        <w:t>和过程</w:t>
      </w:r>
      <w:r>
        <w:rPr>
          <w:rFonts w:hint="eastAsia" w:ascii="仿宋_GB2312" w:eastAsia="仿宋_GB2312"/>
          <w:sz w:val="32"/>
          <w:szCs w:val="32"/>
        </w:rPr>
        <w:t>的满意度。</w:t>
      </w:r>
    </w:p>
    <w:p w14:paraId="1376AB81">
      <w:pPr>
        <w:pStyle w:val="12"/>
        <w:keepNext w:val="0"/>
        <w:keepLines w:val="0"/>
        <w:pageBreakBefore w:val="0"/>
        <w:widowControl w:val="0"/>
        <w:tabs>
          <w:tab w:val="left" w:pos="986"/>
        </w:tabs>
        <w:kinsoku/>
        <w:wordWrap/>
        <w:overflowPunct/>
        <w:topLinePunct w:val="0"/>
        <w:autoSpaceDE/>
        <w:autoSpaceDN/>
        <w:bidi w:val="0"/>
        <w:adjustRightInd/>
        <w:snapToGrid/>
        <w:spacing w:after="120" w:line="560" w:lineRule="exact"/>
        <w:ind w:firstLine="643" w:firstLineChars="200"/>
        <w:jc w:val="both"/>
        <w:textAlignment w:val="auto"/>
        <w:rPr>
          <w:rFonts w:ascii="仿宋_GB2312" w:eastAsia="仿宋_GB2312"/>
          <w:sz w:val="32"/>
          <w:szCs w:val="32"/>
        </w:rPr>
      </w:pPr>
      <w:bookmarkStart w:id="12" w:name="bookmark12"/>
      <w:bookmarkEnd w:id="12"/>
      <w:r>
        <w:rPr>
          <w:rFonts w:hint="eastAsia" w:ascii="仿宋_GB2312" w:eastAsia="仿宋_GB2312"/>
          <w:b/>
          <w:sz w:val="32"/>
          <w:szCs w:val="32"/>
          <w:lang w:val="en-US"/>
        </w:rPr>
        <w:t>7.总结反馈。</w:t>
      </w:r>
      <w:r>
        <w:rPr>
          <w:rFonts w:hint="eastAsia" w:ascii="仿宋_GB2312" w:eastAsia="仿宋_GB2312"/>
          <w:sz w:val="32"/>
          <w:szCs w:val="32"/>
        </w:rPr>
        <w:t>由评委团队对评估进行总结，与社工站社工进行反馈，听取街道购买方对社工站工作开展的意见和建议，了解社工站同事对本次活动的反馈。</w:t>
      </w:r>
    </w:p>
    <w:p w14:paraId="7A9584C5">
      <w:pPr>
        <w:pStyle w:val="12"/>
        <w:keepNext w:val="0"/>
        <w:keepLines w:val="0"/>
        <w:pageBreakBefore w:val="0"/>
        <w:widowControl w:val="0"/>
        <w:kinsoku/>
        <w:wordWrap/>
        <w:overflowPunct/>
        <w:topLinePunct w:val="0"/>
        <w:autoSpaceDE/>
        <w:autoSpaceDN/>
        <w:bidi w:val="0"/>
        <w:adjustRightInd/>
        <w:snapToGrid/>
        <w:spacing w:after="12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（一）</w:t>
      </w:r>
      <w:r>
        <w:rPr>
          <w:rFonts w:hint="eastAsia" w:ascii="仿宋_GB2312" w:eastAsia="仿宋_GB2312"/>
          <w:b/>
          <w:sz w:val="32"/>
          <w:szCs w:val="32"/>
        </w:rPr>
        <w:t>评估依据</w:t>
      </w:r>
    </w:p>
    <w:p w14:paraId="7504132A">
      <w:pPr>
        <w:pStyle w:val="12"/>
        <w:keepNext w:val="0"/>
        <w:keepLines w:val="0"/>
        <w:pageBreakBefore w:val="0"/>
        <w:widowControl w:val="0"/>
        <w:kinsoku/>
        <w:wordWrap/>
        <w:overflowPunct/>
        <w:topLinePunct w:val="0"/>
        <w:autoSpaceDE/>
        <w:autoSpaceDN/>
        <w:bidi w:val="0"/>
        <w:adjustRightInd/>
        <w:snapToGrid/>
        <w:spacing w:after="160" w:line="560" w:lineRule="exact"/>
        <w:ind w:left="0" w:leftChars="0" w:firstLine="643" w:firstLineChars="200"/>
        <w:jc w:val="both"/>
        <w:textAlignment w:val="auto"/>
        <w:rPr>
          <w:rFonts w:hint="eastAsia" w:ascii="仿宋_GB2312" w:hAnsi="仿宋_GB2312" w:eastAsia="仿宋_GB2312" w:cs="仿宋_GB2312"/>
          <w:b w:val="0"/>
          <w:bCs/>
          <w:sz w:val="32"/>
          <w:szCs w:val="32"/>
          <w:lang w:eastAsia="zh-CN"/>
        </w:rPr>
      </w:pPr>
      <w:bookmarkStart w:id="13" w:name="bookmark14"/>
      <w:bookmarkEnd w:id="13"/>
      <w:r>
        <w:rPr>
          <w:rFonts w:hint="eastAsia" w:ascii="仿宋_GB2312" w:hAnsi="仿宋_GB2312" w:eastAsia="仿宋_GB2312" w:cs="仿宋_GB2312"/>
          <w:b/>
          <w:sz w:val="32"/>
          <w:szCs w:val="32"/>
          <w:lang w:eastAsia="zh-CN"/>
        </w:rPr>
        <w:t>1.政策依据：</w:t>
      </w:r>
      <w:r>
        <w:rPr>
          <w:rFonts w:hint="eastAsia" w:ascii="仿宋_GB2312" w:hAnsi="仿宋_GB2312" w:eastAsia="仿宋_GB2312" w:cs="仿宋_GB2312"/>
          <w:b w:val="0"/>
          <w:bCs/>
          <w:sz w:val="32"/>
          <w:szCs w:val="32"/>
          <w:lang w:eastAsia="zh-CN"/>
        </w:rPr>
        <w:t>《社会工作服务项目绩效评估指南》《广州市社工服务站管理办法》《广州市社工站购买服务项目评估办法》《广州市社工站岗位职责》《广州市社会工作服务条例》《广州市社工站购买服务项目服务清单（民政领域社会工作）》《广州市社工站购买服务项目服务标准》等。</w:t>
      </w:r>
    </w:p>
    <w:p w14:paraId="78CFEA4A">
      <w:pPr>
        <w:pStyle w:val="12"/>
        <w:keepNext w:val="0"/>
        <w:keepLines w:val="0"/>
        <w:pageBreakBefore w:val="0"/>
        <w:widowControl w:val="0"/>
        <w:kinsoku/>
        <w:wordWrap/>
        <w:overflowPunct/>
        <w:topLinePunct w:val="0"/>
        <w:autoSpaceDE/>
        <w:autoSpaceDN/>
        <w:bidi w:val="0"/>
        <w:adjustRightInd/>
        <w:snapToGrid/>
        <w:spacing w:after="160" w:line="560" w:lineRule="exact"/>
        <w:ind w:left="0" w:leftChars="0" w:firstLine="643" w:firstLineChars="200"/>
        <w:jc w:val="both"/>
        <w:textAlignment w:val="auto"/>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2.评估标准依据：</w:t>
      </w:r>
      <w:r>
        <w:rPr>
          <w:rFonts w:hint="eastAsia" w:ascii="仿宋_GB2312" w:hAnsi="仿宋_GB2312" w:eastAsia="仿宋_GB2312" w:cs="仿宋_GB2312"/>
          <w:b w:val="0"/>
          <w:bCs/>
          <w:sz w:val="32"/>
          <w:szCs w:val="32"/>
          <w:lang w:eastAsia="zh-CN"/>
        </w:rPr>
        <w:t>《广州市社工站购买服务项目评估指标体系》。</w:t>
      </w:r>
    </w:p>
    <w:p w14:paraId="53BBCECB">
      <w:pPr>
        <w:pStyle w:val="12"/>
        <w:keepNext w:val="0"/>
        <w:keepLines w:val="0"/>
        <w:pageBreakBefore w:val="0"/>
        <w:widowControl w:val="0"/>
        <w:kinsoku/>
        <w:wordWrap/>
        <w:overflowPunct/>
        <w:topLinePunct w:val="0"/>
        <w:autoSpaceDE/>
        <w:autoSpaceDN/>
        <w:bidi w:val="0"/>
        <w:adjustRightInd/>
        <w:snapToGrid/>
        <w:spacing w:after="16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（二）</w:t>
      </w:r>
      <w:r>
        <w:rPr>
          <w:rFonts w:hint="eastAsia" w:ascii="仿宋_GB2312" w:eastAsia="仿宋_GB2312"/>
          <w:b/>
          <w:sz w:val="32"/>
          <w:szCs w:val="32"/>
        </w:rPr>
        <w:t>评估原则</w:t>
      </w:r>
    </w:p>
    <w:p w14:paraId="0B78C0FD">
      <w:pPr>
        <w:pStyle w:val="12"/>
        <w:keepNext w:val="0"/>
        <w:keepLines w:val="0"/>
        <w:pageBreakBefore w:val="0"/>
        <w:widowControl w:val="0"/>
        <w:tabs>
          <w:tab w:val="left" w:pos="98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4" w:name="bookmark17"/>
      <w:bookmarkEnd w:id="14"/>
      <w:bookmarkStart w:id="15" w:name="bookmark23"/>
      <w:r>
        <w:rPr>
          <w:rFonts w:hint="eastAsia" w:ascii="仿宋_GB2312" w:eastAsia="仿宋_GB2312"/>
          <w:b/>
          <w:sz w:val="32"/>
          <w:szCs w:val="32"/>
          <w:lang w:eastAsia="zh-CN"/>
        </w:rPr>
        <w:t>1.真实诚信原则：</w:t>
      </w:r>
      <w:r>
        <w:rPr>
          <w:rFonts w:hint="eastAsia" w:ascii="仿宋_GB2312" w:eastAsia="仿宋_GB2312"/>
          <w:sz w:val="32"/>
          <w:szCs w:val="32"/>
        </w:rPr>
        <w:t>评估要求项目运营方必须以实事求是的态度对待评估，本着诚实守信的原则，提供和展示能够真实、客观反映其项目运营状况的依据和有效资料，以供评估小组考察。</w:t>
      </w:r>
    </w:p>
    <w:p w14:paraId="1BB431E5">
      <w:pPr>
        <w:pStyle w:val="12"/>
        <w:keepNext w:val="0"/>
        <w:keepLines w:val="0"/>
        <w:pageBreakBefore w:val="0"/>
        <w:widowControl w:val="0"/>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6" w:name="bookmark18"/>
      <w:bookmarkEnd w:id="16"/>
      <w:r>
        <w:rPr>
          <w:rFonts w:hint="eastAsia" w:ascii="仿宋_GB2312" w:eastAsia="仿宋_GB2312"/>
          <w:b/>
          <w:sz w:val="32"/>
          <w:szCs w:val="32"/>
          <w:lang w:eastAsia="zh-CN"/>
        </w:rPr>
        <w:t>2.客观公正原则：</w:t>
      </w:r>
      <w:r>
        <w:rPr>
          <w:rFonts w:hint="eastAsia" w:ascii="仿宋_GB2312" w:eastAsia="仿宋_GB2312"/>
          <w:sz w:val="32"/>
          <w:szCs w:val="32"/>
        </w:rPr>
        <w:t>评估要求所有评委恪守</w:t>
      </w:r>
      <w:r>
        <w:rPr>
          <w:rFonts w:hint="eastAsia" w:ascii="仿宋_GB2312" w:eastAsia="仿宋_GB2312"/>
          <w:sz w:val="32"/>
          <w:szCs w:val="32"/>
          <w:lang w:val="zh-CN" w:eastAsia="zh-CN" w:bidi="zh-CN"/>
        </w:rPr>
        <w:t>“客</w:t>
      </w:r>
      <w:r>
        <w:rPr>
          <w:rFonts w:hint="eastAsia" w:ascii="仿宋_GB2312" w:eastAsia="仿宋_GB2312"/>
          <w:sz w:val="32"/>
          <w:szCs w:val="32"/>
        </w:rPr>
        <w:t>观公正的第三方”评估者角色，依据事实和真实情况给出客观</w:t>
      </w:r>
      <w:r>
        <w:rPr>
          <w:rFonts w:hint="eastAsia" w:ascii="仿宋_GB2312" w:eastAsia="仿宋_GB2312"/>
          <w:color w:val="auto"/>
          <w:sz w:val="32"/>
          <w:szCs w:val="32"/>
        </w:rPr>
        <w:t>、</w:t>
      </w:r>
      <w:r>
        <w:rPr>
          <w:rFonts w:hint="eastAsia" w:ascii="仿宋_GB2312" w:eastAsia="仿宋_GB2312"/>
          <w:color w:val="auto"/>
          <w:sz w:val="32"/>
          <w:szCs w:val="32"/>
          <w:lang w:eastAsia="zh-CN"/>
        </w:rPr>
        <w:t>中</w:t>
      </w:r>
      <w:r>
        <w:rPr>
          <w:rFonts w:hint="eastAsia" w:ascii="仿宋_GB2312" w:eastAsia="仿宋_GB2312"/>
          <w:color w:val="auto"/>
          <w:sz w:val="32"/>
          <w:szCs w:val="32"/>
        </w:rPr>
        <w:t>肯评价意见或结论</w:t>
      </w:r>
      <w:r>
        <w:rPr>
          <w:rFonts w:hint="eastAsia" w:ascii="仿宋_GB2312" w:eastAsia="仿宋_GB2312"/>
          <w:sz w:val="32"/>
          <w:szCs w:val="32"/>
        </w:rPr>
        <w:t>。</w:t>
      </w:r>
    </w:p>
    <w:p w14:paraId="5B15D90D">
      <w:pPr>
        <w:pStyle w:val="12"/>
        <w:keepNext w:val="0"/>
        <w:keepLines w:val="0"/>
        <w:pageBreakBefore w:val="0"/>
        <w:widowControl w:val="0"/>
        <w:tabs>
          <w:tab w:val="left" w:pos="97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7" w:name="bookmark19"/>
      <w:bookmarkEnd w:id="17"/>
      <w:r>
        <w:rPr>
          <w:rFonts w:hint="eastAsia" w:ascii="仿宋_GB2312" w:eastAsia="仿宋_GB2312"/>
          <w:b/>
          <w:sz w:val="32"/>
          <w:szCs w:val="32"/>
          <w:lang w:eastAsia="zh-CN"/>
        </w:rPr>
        <w:t>3.证据为本原则：</w:t>
      </w:r>
      <w:r>
        <w:rPr>
          <w:rFonts w:hint="eastAsia" w:ascii="仿宋_GB2312" w:eastAsia="仿宋_GB2312"/>
          <w:sz w:val="32"/>
          <w:szCs w:val="32"/>
        </w:rPr>
        <w:t>评估要求项目运营方应提供有事实依据的证明资料或记录，来展示其项目运营的真实状况和成效；同时，评估要求所有评委以真实有效的工作痕迹记录为依据，做出客观公正的专业评估分析和判断。</w:t>
      </w:r>
    </w:p>
    <w:p w14:paraId="04160053">
      <w:pPr>
        <w:pStyle w:val="12"/>
        <w:keepNext w:val="0"/>
        <w:keepLines w:val="0"/>
        <w:pageBreakBefore w:val="0"/>
        <w:widowControl w:val="0"/>
        <w:tabs>
          <w:tab w:val="left" w:pos="98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8" w:name="bookmark20"/>
      <w:bookmarkEnd w:id="18"/>
      <w:r>
        <w:rPr>
          <w:rFonts w:hint="eastAsia" w:ascii="仿宋_GB2312"/>
          <w:b/>
          <w:sz w:val="32"/>
          <w:szCs w:val="32"/>
          <w:lang w:eastAsia="zh-CN"/>
        </w:rPr>
        <w:t>4</w:t>
      </w:r>
      <w:r>
        <w:rPr>
          <w:rFonts w:ascii="仿宋_GB2312" w:eastAsia="PMingLiU"/>
          <w:b/>
          <w:sz w:val="32"/>
          <w:szCs w:val="32"/>
        </w:rPr>
        <w:t>.</w:t>
      </w:r>
      <w:r>
        <w:rPr>
          <w:rFonts w:hint="eastAsia" w:ascii="仿宋_GB2312" w:eastAsia="仿宋_GB2312"/>
          <w:b/>
          <w:sz w:val="32"/>
          <w:szCs w:val="32"/>
        </w:rPr>
        <w:t>以评促进原则</w:t>
      </w:r>
      <w:r>
        <w:rPr>
          <w:rFonts w:hint="eastAsia" w:ascii="仿宋_GB2312" w:eastAsia="仿宋_GB2312"/>
          <w:b/>
          <w:sz w:val="32"/>
          <w:szCs w:val="32"/>
          <w:lang w:eastAsia="zh-CN"/>
        </w:rPr>
        <w:t>：</w:t>
      </w:r>
      <w:r>
        <w:rPr>
          <w:rFonts w:hint="eastAsia" w:ascii="仿宋_GB2312" w:eastAsia="仿宋_GB2312"/>
          <w:sz w:val="32"/>
          <w:szCs w:val="32"/>
        </w:rPr>
        <w:t>评估要求评委要本着促进项目运营质量和成效的目标原则实施评估活动，给出评估指导意见，评估意见应具体、清晰、可行，能够切实指导项目运营团队持续改善服务成效和质量。</w:t>
      </w:r>
    </w:p>
    <w:p w14:paraId="282B1299">
      <w:pPr>
        <w:pStyle w:val="12"/>
        <w:keepNext w:val="0"/>
        <w:keepLines w:val="0"/>
        <w:pageBreakBefore w:val="0"/>
        <w:widowControl w:val="0"/>
        <w:tabs>
          <w:tab w:val="left" w:pos="99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sz w:val="32"/>
          <w:szCs w:val="32"/>
        </w:rPr>
      </w:pPr>
      <w:bookmarkStart w:id="19" w:name="bookmark21"/>
      <w:bookmarkEnd w:id="19"/>
      <w:r>
        <w:rPr>
          <w:rFonts w:hint="eastAsia" w:ascii="仿宋_GB2312"/>
          <w:b/>
          <w:sz w:val="32"/>
          <w:szCs w:val="32"/>
          <w:lang w:eastAsia="zh-CN"/>
        </w:rPr>
        <w:t>5</w:t>
      </w:r>
      <w:r>
        <w:rPr>
          <w:rFonts w:ascii="仿宋_GB2312" w:eastAsia="PMingLiU"/>
          <w:b/>
          <w:sz w:val="32"/>
          <w:szCs w:val="32"/>
        </w:rPr>
        <w:t>.</w:t>
      </w:r>
      <w:r>
        <w:rPr>
          <w:rFonts w:hint="eastAsia" w:ascii="仿宋_GB2312" w:eastAsia="仿宋_GB2312"/>
          <w:b/>
          <w:sz w:val="32"/>
          <w:szCs w:val="32"/>
        </w:rPr>
        <w:t>回避监督原则</w:t>
      </w:r>
      <w:r>
        <w:rPr>
          <w:rFonts w:hint="eastAsia" w:ascii="仿宋_GB2312" w:eastAsia="仿宋_GB2312"/>
          <w:b/>
          <w:sz w:val="32"/>
          <w:szCs w:val="32"/>
          <w:lang w:eastAsia="zh-CN"/>
        </w:rPr>
        <w:t>：</w:t>
      </w:r>
      <w:r>
        <w:rPr>
          <w:rFonts w:hint="eastAsia" w:ascii="仿宋_GB2312" w:eastAsia="仿宋_GB2312"/>
          <w:sz w:val="32"/>
          <w:szCs w:val="32"/>
        </w:rPr>
        <w:t>评估要求评委在评估前与被评估方有单独接触、有利益关系或冲突的，均应回避；被评估方有权监督评估团队的评估工作，并有权提出合理异议或回避要求，以免评估失去公正性和可信度。</w:t>
      </w:r>
    </w:p>
    <w:p w14:paraId="197CB6A2">
      <w:pPr>
        <w:pStyle w:val="12"/>
        <w:keepNext w:val="0"/>
        <w:keepLines w:val="0"/>
        <w:pageBreakBefore w:val="0"/>
        <w:widowControl w:val="0"/>
        <w:kinsoku/>
        <w:wordWrap/>
        <w:overflowPunct/>
        <w:topLinePunct w:val="0"/>
        <w:autoSpaceDE/>
        <w:autoSpaceDN/>
        <w:bidi w:val="0"/>
        <w:adjustRightInd/>
        <w:snapToGrid/>
        <w:spacing w:after="160" w:line="560" w:lineRule="exact"/>
        <w:ind w:firstLine="643" w:firstLineChars="200"/>
        <w:jc w:val="both"/>
        <w:textAlignment w:val="auto"/>
        <w:rPr>
          <w:rFonts w:hint="eastAsia" w:ascii="仿宋_GB2312" w:eastAsia="仿宋_GB2312"/>
          <w:sz w:val="32"/>
          <w:szCs w:val="32"/>
        </w:rPr>
      </w:pPr>
      <w:bookmarkStart w:id="20" w:name="bookmark22"/>
      <w:bookmarkEnd w:id="20"/>
      <w:r>
        <w:rPr>
          <w:rFonts w:hint="eastAsia" w:ascii="仿宋_GB2312" w:eastAsia="仿宋_GB2312"/>
          <w:b/>
          <w:sz w:val="32"/>
          <w:szCs w:val="32"/>
          <w:lang w:eastAsia="zh-CN"/>
        </w:rPr>
        <w:t>6.保密尊重原则：</w:t>
      </w:r>
      <w:r>
        <w:rPr>
          <w:rFonts w:hint="eastAsia" w:ascii="仿宋_GB2312" w:eastAsia="仿宋_GB2312"/>
          <w:sz w:val="32"/>
          <w:szCs w:val="32"/>
        </w:rPr>
        <w:t>评估要求评委应尊重和保护其工作</w:t>
      </w:r>
      <w:r>
        <w:rPr>
          <w:rFonts w:hint="eastAsia" w:ascii="仿宋_GB2312" w:eastAsia="仿宋_GB2312"/>
          <w:sz w:val="32"/>
          <w:szCs w:val="32"/>
          <w:lang w:eastAsia="zh-CN"/>
        </w:rPr>
        <w:t>中</w:t>
      </w:r>
      <w:r>
        <w:rPr>
          <w:rFonts w:hint="eastAsia" w:ascii="仿宋_GB2312" w:eastAsia="仿宋_GB2312"/>
          <w:sz w:val="32"/>
          <w:szCs w:val="32"/>
        </w:rPr>
        <w:t>所接触、发现或遇到的涉及服务对象隐私权等所有受法律保护的事项，并依法负有保密职责；评估要求评委在评估过程</w:t>
      </w:r>
      <w:r>
        <w:rPr>
          <w:rFonts w:hint="eastAsia" w:ascii="仿宋_GB2312" w:eastAsia="仿宋_GB2312"/>
          <w:sz w:val="32"/>
          <w:szCs w:val="32"/>
          <w:lang w:eastAsia="zh-CN"/>
        </w:rPr>
        <w:t>中</w:t>
      </w:r>
      <w:r>
        <w:rPr>
          <w:rFonts w:hint="eastAsia" w:ascii="仿宋_GB2312" w:eastAsia="仿宋_GB2312"/>
          <w:sz w:val="32"/>
          <w:szCs w:val="32"/>
        </w:rPr>
        <w:t>应尊重被评估方的所有原创性专业技术、方法等成果，并依法负有保密职责。</w:t>
      </w:r>
    </w:p>
    <w:p w14:paraId="4A70D4C7">
      <w:pPr>
        <w:pStyle w:val="12"/>
        <w:keepNext w:val="0"/>
        <w:keepLines w:val="0"/>
        <w:pageBreakBefore w:val="0"/>
        <w:widowControl w:val="0"/>
        <w:kinsoku/>
        <w:wordWrap/>
        <w:overflowPunct/>
        <w:topLinePunct w:val="0"/>
        <w:autoSpaceDE/>
        <w:autoSpaceDN/>
        <w:bidi w:val="0"/>
        <w:adjustRightInd/>
        <w:snapToGrid/>
        <w:spacing w:after="160"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w:t>
      </w:r>
      <w:bookmarkEnd w:id="15"/>
      <w:r>
        <w:rPr>
          <w:rFonts w:hint="eastAsia" w:ascii="仿宋_GB2312" w:eastAsia="仿宋_GB2312"/>
          <w:b/>
          <w:sz w:val="32"/>
          <w:szCs w:val="32"/>
        </w:rPr>
        <w:t>三）评估阶段</w:t>
      </w:r>
    </w:p>
    <w:p w14:paraId="23914D0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sz w:val="32"/>
          <w:szCs w:val="32"/>
          <w:lang w:eastAsia="zh-CN"/>
        </w:rPr>
      </w:pPr>
      <w:bookmarkStart w:id="21" w:name="bookmark24"/>
      <w:bookmarkEnd w:id="21"/>
      <w:bookmarkStart w:id="22" w:name="bookmark28"/>
      <w:r>
        <w:rPr>
          <w:rFonts w:hint="eastAsia" w:ascii="仿宋_GB2312" w:eastAsia="仿宋_GB2312"/>
          <w:b/>
          <w:sz w:val="32"/>
          <w:szCs w:val="32"/>
          <w:lang w:val="en-US" w:eastAsia="zh-CN"/>
        </w:rPr>
        <w:t>1.</w:t>
      </w:r>
      <w:r>
        <w:rPr>
          <w:rFonts w:hint="eastAsia" w:ascii="仿宋_GB2312" w:eastAsia="仿宋_GB2312"/>
          <w:b/>
          <w:sz w:val="32"/>
          <w:szCs w:val="32"/>
          <w:lang w:eastAsia="zh-CN"/>
        </w:rPr>
        <w:t>制定评估计划</w:t>
      </w:r>
    </w:p>
    <w:p w14:paraId="2518D2B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番禺区民政局会同番禺区社会组织联合会根据最新管理办法要求及洛浦街社工站项目合同期限确定评估时间，制定好评估计划和评估通知。</w:t>
      </w:r>
    </w:p>
    <w:p w14:paraId="74E9E7E0">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2.自我评审阶段</w:t>
      </w:r>
    </w:p>
    <w:p w14:paraId="1177ECF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eastAsia="zh-CN"/>
        </w:rPr>
        <w:t>洛浦街</w:t>
      </w:r>
      <w:r>
        <w:rPr>
          <w:rFonts w:hint="eastAsia" w:ascii="仿宋_GB2312" w:eastAsia="仿宋_GB2312"/>
          <w:sz w:val="32"/>
          <w:szCs w:val="32"/>
        </w:rPr>
        <w:t>社工站结合</w:t>
      </w:r>
      <w:r>
        <w:rPr>
          <w:rFonts w:ascii="仿宋_GB2312" w:eastAsia="仿宋_GB2312"/>
          <w:sz w:val="32"/>
          <w:szCs w:val="32"/>
          <w:lang w:val="en-US"/>
        </w:rPr>
        <w:t>《广州市社工站购买服务项目评估指标体系》</w:t>
      </w:r>
      <w:r>
        <w:rPr>
          <w:rFonts w:hint="eastAsia" w:ascii="仿宋_GB2312" w:eastAsia="仿宋_GB2312"/>
          <w:sz w:val="32"/>
          <w:szCs w:val="32"/>
        </w:rPr>
        <w:t>和签订的服务协议，逐项对照，准备材料，结合实际进行自我评估，并完成自评报告的报送工作。</w:t>
      </w:r>
    </w:p>
    <w:p w14:paraId="546D983A">
      <w:pPr>
        <w:pStyle w:val="12"/>
        <w:keepNext w:val="0"/>
        <w:keepLines w:val="0"/>
        <w:pageBreakBefore w:val="0"/>
        <w:widowControl w:val="0"/>
        <w:tabs>
          <w:tab w:val="left" w:pos="1001"/>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lang w:eastAsia="zh-CN"/>
        </w:rPr>
      </w:pPr>
      <w:bookmarkStart w:id="23" w:name="bookmark25"/>
      <w:bookmarkEnd w:id="23"/>
      <w:r>
        <w:rPr>
          <w:rFonts w:hint="eastAsia" w:ascii="仿宋_GB2312" w:eastAsia="仿宋_GB2312"/>
          <w:b/>
          <w:sz w:val="32"/>
          <w:szCs w:val="32"/>
          <w:lang w:val="en-US" w:eastAsia="zh-CN"/>
        </w:rPr>
        <w:t>3.</w:t>
      </w:r>
      <w:r>
        <w:rPr>
          <w:rFonts w:hint="eastAsia" w:ascii="仿宋_GB2312" w:eastAsia="仿宋_GB2312"/>
          <w:b/>
          <w:sz w:val="32"/>
          <w:szCs w:val="32"/>
          <w:lang w:eastAsia="zh-CN"/>
        </w:rPr>
        <w:t>实地评估阶段</w:t>
      </w:r>
    </w:p>
    <w:p w14:paraId="16B58A1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评估小组根据评估计划组织实施，对洛浦街社工站提供的材料进行审阅，实地考察，进行现场评估并打分。评估小组根据公平、公正的原则，严格按照评估要求，对洛浦街社工站进行评估工作。</w:t>
      </w:r>
    </w:p>
    <w:p w14:paraId="6A54CD92">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r>
        <w:rPr>
          <w:rFonts w:hint="eastAsia" w:ascii="仿宋_GB2312" w:eastAsia="仿宋_GB2312"/>
          <w:b/>
          <w:bCs/>
          <w:sz w:val="32"/>
          <w:szCs w:val="32"/>
          <w:lang w:val="en-US" w:eastAsia="zh-CN"/>
        </w:rPr>
        <w:t>4.</w:t>
      </w:r>
      <w:r>
        <w:rPr>
          <w:rFonts w:hint="eastAsia" w:ascii="仿宋_GB2312" w:eastAsia="仿宋_GB2312"/>
          <w:b/>
          <w:sz w:val="32"/>
          <w:szCs w:val="32"/>
        </w:rPr>
        <w:t>反馈初评意见</w:t>
      </w:r>
    </w:p>
    <w:p w14:paraId="1304513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lang w:eastAsia="zh-CN"/>
        </w:rPr>
      </w:pPr>
      <w:r>
        <w:rPr>
          <w:rFonts w:hint="eastAsia" w:ascii="仿宋_GB2312" w:eastAsia="仿宋_GB2312"/>
          <w:sz w:val="32"/>
          <w:szCs w:val="32"/>
          <w:lang w:eastAsia="zh-CN"/>
        </w:rPr>
        <w:t>综合评委专家、监督方、购买方、市督导中心的意见和建议，在评估工作结束后5个工作日内，向番禺区民政局、洛浦街道办事处及洛浦街社工服务站反馈初评意见，对评估结果、存在问题及改进建议等进行沟通确认。</w:t>
      </w:r>
    </w:p>
    <w:p w14:paraId="700A7D55">
      <w:pPr>
        <w:pStyle w:val="12"/>
        <w:keepNext w:val="0"/>
        <w:keepLines w:val="0"/>
        <w:pageBreakBefore w:val="0"/>
        <w:widowControl w:val="0"/>
        <w:tabs>
          <w:tab w:val="left" w:pos="1006"/>
        </w:tabs>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b/>
          <w:sz w:val="32"/>
          <w:szCs w:val="32"/>
        </w:rPr>
      </w:pPr>
      <w:bookmarkStart w:id="24" w:name="bookmark27"/>
      <w:bookmarkEnd w:id="24"/>
      <w:r>
        <w:rPr>
          <w:rFonts w:hint="eastAsia" w:ascii="仿宋_GB2312" w:eastAsia="仿宋_GB2312"/>
          <w:b/>
          <w:sz w:val="32"/>
          <w:szCs w:val="32"/>
          <w:lang w:val="en-US" w:eastAsia="zh-CN"/>
        </w:rPr>
        <w:t>5.</w:t>
      </w:r>
      <w:r>
        <w:rPr>
          <w:rFonts w:hint="eastAsia" w:ascii="仿宋_GB2312" w:eastAsia="仿宋_GB2312"/>
          <w:b/>
          <w:sz w:val="32"/>
          <w:szCs w:val="32"/>
        </w:rPr>
        <w:t>出具</w:t>
      </w:r>
      <w:r>
        <w:rPr>
          <w:rFonts w:hint="eastAsia" w:ascii="仿宋_GB2312" w:eastAsia="仿宋_GB2312"/>
          <w:b/>
          <w:sz w:val="32"/>
          <w:szCs w:val="32"/>
          <w:lang w:val="en-US" w:eastAsia="zh-CN"/>
        </w:rPr>
        <w:t>末期</w:t>
      </w:r>
      <w:r>
        <w:rPr>
          <w:rFonts w:hint="eastAsia" w:ascii="仿宋_GB2312" w:eastAsia="仿宋_GB2312"/>
          <w:b/>
          <w:sz w:val="32"/>
          <w:szCs w:val="32"/>
        </w:rPr>
        <w:t>评估报告</w:t>
      </w:r>
    </w:p>
    <w:p w14:paraId="7D9C1D6E">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在评估工作结束后10个工作日内，向番禺区民政局、洛浦街道办事处及洛浦街社工服务站各出具一份评估报告，提出项目存在的问题及改进建议。</w:t>
      </w:r>
    </w:p>
    <w:p w14:paraId="0B7201FB">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6.公示评估报告及受理评估投诉</w:t>
      </w:r>
    </w:p>
    <w:p w14:paraId="42958A0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bCs/>
          <w:sz w:val="32"/>
          <w:szCs w:val="32"/>
          <w:lang w:val="en-US" w:eastAsia="zh-CN"/>
        </w:rPr>
      </w:pPr>
      <w:r>
        <w:rPr>
          <w:rFonts w:ascii="仿宋_GB2312" w:eastAsia="仿宋_GB2312"/>
          <w:bCs/>
          <w:sz w:val="32"/>
          <w:szCs w:val="32"/>
          <w:lang w:val="en-US" w:eastAsia="zh-CN"/>
        </w:rPr>
        <w:t>区民政局在收到评估报告后汇总社会救助等有关业务科室意见，于5个工作日内确认评估报告，确认后对</w:t>
      </w:r>
      <w:r>
        <w:rPr>
          <w:rFonts w:hint="eastAsia" w:ascii="仿宋_GB2312" w:eastAsia="仿宋_GB2312"/>
          <w:bCs/>
          <w:sz w:val="32"/>
          <w:szCs w:val="32"/>
          <w:lang w:val="en-US" w:eastAsia="zh-CN"/>
        </w:rPr>
        <w:t>洛浦街</w:t>
      </w:r>
      <w:r>
        <w:rPr>
          <w:rFonts w:ascii="仿宋_GB2312" w:eastAsia="仿宋_GB2312"/>
          <w:bCs/>
          <w:sz w:val="32"/>
          <w:szCs w:val="32"/>
          <w:lang w:val="en-US" w:eastAsia="zh-CN"/>
        </w:rPr>
        <w:t>社工站项目的评估报告进行公示，公示期不少于7个工作日。公示期间，如收到对评估报告的质疑或投诉，区民政局及时对评估结果进行复核，并确定最终评估结果，同时将有关处理情况报市民政部门。</w:t>
      </w:r>
    </w:p>
    <w:bookmarkEnd w:id="22"/>
    <w:p w14:paraId="4370D75A">
      <w:pPr>
        <w:pStyle w:val="12"/>
        <w:keepNext w:val="0"/>
        <w:keepLines w:val="0"/>
        <w:pageBreakBefore w:val="0"/>
        <w:widowControl w:val="0"/>
        <w:kinsoku/>
        <w:wordWrap/>
        <w:overflowPunct/>
        <w:topLinePunct w:val="0"/>
        <w:autoSpaceDE/>
        <w:autoSpaceDN/>
        <w:bidi w:val="0"/>
        <w:adjustRightInd/>
        <w:snapToGrid/>
        <w:spacing w:after="0" w:line="560" w:lineRule="exact"/>
        <w:ind w:left="480" w:leftChars="200" w:firstLine="0"/>
        <w:jc w:val="both"/>
        <w:textAlignment w:val="auto"/>
        <w:rPr>
          <w:rFonts w:ascii="仿宋_GB2312" w:eastAsia="仿宋_GB2312"/>
          <w:b/>
          <w:color w:val="auto"/>
          <w:sz w:val="32"/>
          <w:szCs w:val="32"/>
        </w:rPr>
      </w:pPr>
      <w:r>
        <w:rPr>
          <w:rFonts w:hint="eastAsia" w:ascii="仿宋_GB2312" w:eastAsia="仿宋_GB2312"/>
          <w:b/>
          <w:color w:val="auto"/>
          <w:sz w:val="32"/>
          <w:szCs w:val="32"/>
          <w:lang w:eastAsia="zh-CN"/>
        </w:rPr>
        <w:t>（四）</w:t>
      </w:r>
      <w:r>
        <w:rPr>
          <w:rFonts w:hint="eastAsia" w:ascii="仿宋_GB2312" w:eastAsia="仿宋_GB2312"/>
          <w:b/>
          <w:color w:val="auto"/>
          <w:sz w:val="32"/>
          <w:szCs w:val="32"/>
        </w:rPr>
        <w:t>评估内容</w:t>
      </w:r>
    </w:p>
    <w:p w14:paraId="23A799C1">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eastAsia="仿宋_GB2312"/>
          <w:color w:val="auto"/>
          <w:sz w:val="32"/>
          <w:szCs w:val="32"/>
        </w:rPr>
      </w:pPr>
      <w:r>
        <w:rPr>
          <w:rFonts w:hint="eastAsia" w:ascii="仿宋_GB2312" w:hAnsi="Times New Roman" w:eastAsia="仿宋_GB2312" w:cs="Times New Roman"/>
          <w:b/>
          <w:color w:val="auto"/>
          <w:sz w:val="32"/>
          <w:szCs w:val="32"/>
          <w:lang w:val="en-US" w:eastAsia="zh-CN" w:bidi="en-US"/>
        </w:rPr>
        <w:t>1.</w:t>
      </w:r>
      <w:r>
        <w:rPr>
          <w:rFonts w:hint="eastAsia" w:ascii="仿宋_GB2312" w:eastAsia="仿宋_GB2312"/>
          <w:b/>
          <w:color w:val="auto"/>
          <w:sz w:val="32"/>
          <w:szCs w:val="32"/>
        </w:rPr>
        <w:t>运营管理情况评估</w:t>
      </w:r>
      <w:r>
        <w:rPr>
          <w:rFonts w:hint="eastAsia" w:ascii="仿宋_GB2312" w:eastAsia="仿宋_GB2312"/>
          <w:b/>
          <w:color w:val="auto"/>
          <w:sz w:val="32"/>
          <w:szCs w:val="32"/>
          <w:lang w:eastAsia="zh-CN"/>
        </w:rPr>
        <w:t>：</w:t>
      </w:r>
      <w:r>
        <w:rPr>
          <w:rFonts w:hint="eastAsia" w:ascii="仿宋_GB2312" w:eastAsia="仿宋_GB2312"/>
          <w:color w:val="auto"/>
          <w:sz w:val="32"/>
          <w:szCs w:val="32"/>
        </w:rPr>
        <w:t>主要从社工站人员管理、行政管理、项目宣传等方面进行评估。</w:t>
      </w:r>
    </w:p>
    <w:p w14:paraId="2D160F6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仿宋_GB2312" w:cs="仿宋_GB2312"/>
          <w:color w:val="auto"/>
          <w:sz w:val="32"/>
          <w:szCs w:val="32"/>
          <w:lang w:eastAsia="zh-CN"/>
        </w:rPr>
      </w:pPr>
      <w:r>
        <w:rPr>
          <w:rFonts w:hint="eastAsia" w:ascii="仿宋_GB2312" w:eastAsia="仿宋_GB2312"/>
          <w:b/>
          <w:color w:val="auto"/>
          <w:sz w:val="32"/>
          <w:szCs w:val="32"/>
          <w:lang w:val="en-US"/>
        </w:rPr>
        <w:t>2.</w:t>
      </w:r>
      <w:r>
        <w:rPr>
          <w:rFonts w:hint="eastAsia" w:ascii="仿宋_GB2312" w:eastAsia="仿宋_GB2312"/>
          <w:b/>
          <w:color w:val="auto"/>
          <w:sz w:val="32"/>
          <w:szCs w:val="32"/>
        </w:rPr>
        <w:t>项目服务评估</w:t>
      </w:r>
      <w:bookmarkStart w:id="25" w:name="bookmark29"/>
      <w:bookmarkEnd w:id="25"/>
      <w:r>
        <w:rPr>
          <w:rFonts w:hint="eastAsia" w:ascii="仿宋_GB2312" w:eastAsia="仿宋_GB2312"/>
          <w:b/>
          <w:color w:val="auto"/>
          <w:sz w:val="32"/>
          <w:szCs w:val="32"/>
          <w:lang w:eastAsia="zh-CN"/>
        </w:rPr>
        <w:t>：</w:t>
      </w:r>
      <w:r>
        <w:rPr>
          <w:rFonts w:ascii="仿宋_GB2312" w:hAnsi="仿宋_GB2312" w:eastAsia="仿宋_GB2312" w:cs="仿宋_GB2312"/>
          <w:color w:val="auto"/>
          <w:sz w:val="32"/>
          <w:szCs w:val="32"/>
          <w:lang w:eastAsia="zh-CN"/>
        </w:rPr>
        <w:t>根据《广州市社工站</w:t>
      </w:r>
      <w:r>
        <w:rPr>
          <w:rFonts w:hint="eastAsia" w:ascii="仿宋_GB2312" w:hAnsi="仿宋_GB2312" w:eastAsia="仿宋_GB2312" w:cs="仿宋_GB2312"/>
          <w:color w:val="auto"/>
          <w:sz w:val="32"/>
          <w:szCs w:val="32"/>
          <w:lang w:eastAsia="zh-CN"/>
        </w:rPr>
        <w:t>购买</w:t>
      </w:r>
      <w:r>
        <w:rPr>
          <w:rFonts w:ascii="仿宋_GB2312" w:hAnsi="仿宋_GB2312" w:eastAsia="仿宋_GB2312" w:cs="仿宋_GB2312"/>
          <w:color w:val="auto"/>
          <w:sz w:val="32"/>
          <w:szCs w:val="32"/>
          <w:lang w:eastAsia="zh-CN"/>
        </w:rPr>
        <w:t>服务项目评估指标体系》，结合社工站与</w:t>
      </w:r>
      <w:r>
        <w:rPr>
          <w:rFonts w:hint="eastAsia" w:ascii="仿宋_GB2312" w:hAnsi="仿宋_GB2312" w:eastAsia="仿宋_GB2312" w:cs="仿宋_GB2312"/>
          <w:color w:val="auto"/>
          <w:sz w:val="32"/>
          <w:szCs w:val="32"/>
          <w:lang w:eastAsia="zh-CN"/>
        </w:rPr>
        <w:t>镇街</w:t>
      </w:r>
      <w:r>
        <w:rPr>
          <w:rFonts w:ascii="仿宋_GB2312" w:hAnsi="仿宋_GB2312" w:eastAsia="仿宋_GB2312" w:cs="仿宋_GB2312"/>
          <w:color w:val="auto"/>
          <w:sz w:val="32"/>
          <w:szCs w:val="32"/>
          <w:lang w:eastAsia="zh-CN"/>
        </w:rPr>
        <w:t>签订的</w:t>
      </w:r>
      <w:r>
        <w:rPr>
          <w:rFonts w:hint="eastAsia" w:ascii="仿宋_GB2312" w:hAnsi="仿宋_GB2312" w:eastAsia="仿宋_GB2312" w:cs="仿宋_GB2312"/>
          <w:color w:val="auto"/>
          <w:sz w:val="32"/>
          <w:szCs w:val="32"/>
          <w:lang w:eastAsia="zh-CN"/>
        </w:rPr>
        <w:t>双</w:t>
      </w:r>
      <w:r>
        <w:rPr>
          <w:rFonts w:ascii="仿宋_GB2312" w:hAnsi="仿宋_GB2312" w:eastAsia="仿宋_GB2312" w:cs="仿宋_GB2312"/>
          <w:color w:val="auto"/>
          <w:sz w:val="32"/>
          <w:szCs w:val="32"/>
          <w:lang w:eastAsia="zh-CN"/>
        </w:rPr>
        <w:t>方协议规定开展的服务内容开展评估工作，主要从</w:t>
      </w:r>
      <w:r>
        <w:rPr>
          <w:rFonts w:hint="eastAsia" w:ascii="仿宋_GB2312" w:hAnsi="仿宋_GB2312" w:eastAsia="仿宋_GB2312" w:cs="仿宋_GB2312"/>
          <w:color w:val="auto"/>
          <w:sz w:val="32"/>
          <w:szCs w:val="32"/>
          <w:lang w:eastAsia="zh-CN"/>
        </w:rPr>
        <w:t>需求</w:t>
      </w:r>
      <w:r>
        <w:rPr>
          <w:rFonts w:ascii="仿宋_GB2312" w:hAnsi="仿宋_GB2312" w:eastAsia="仿宋_GB2312" w:cs="仿宋_GB2312"/>
          <w:color w:val="auto"/>
          <w:sz w:val="32"/>
          <w:szCs w:val="32"/>
          <w:lang w:eastAsia="zh-CN"/>
        </w:rPr>
        <w:t>评估</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服务设计</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服务执行</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lang w:eastAsia="zh-CN"/>
        </w:rPr>
        <w:t>服务成效等方面进行评估。</w:t>
      </w:r>
    </w:p>
    <w:p w14:paraId="03FD3457">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color w:val="auto"/>
          <w:sz w:val="32"/>
          <w:szCs w:val="32"/>
        </w:rPr>
      </w:pPr>
      <w:r>
        <w:rPr>
          <w:rFonts w:hint="eastAsia" w:ascii="仿宋_GB2312" w:eastAsia="仿宋_GB2312"/>
          <w:b/>
          <w:color w:val="auto"/>
          <w:sz w:val="32"/>
          <w:szCs w:val="32"/>
          <w:lang w:val="en-US"/>
        </w:rPr>
        <w:t>3.</w:t>
      </w:r>
      <w:r>
        <w:rPr>
          <w:rFonts w:hint="eastAsia" w:ascii="仿宋_GB2312" w:eastAsia="仿宋_GB2312"/>
          <w:b/>
          <w:color w:val="auto"/>
          <w:sz w:val="32"/>
          <w:szCs w:val="32"/>
        </w:rPr>
        <w:t>利益相关方满意度及知晓度访谈：</w:t>
      </w:r>
      <w:r>
        <w:rPr>
          <w:rFonts w:hint="eastAsia" w:ascii="仿宋_GB2312" w:eastAsia="仿宋_GB2312"/>
          <w:color w:val="auto"/>
          <w:sz w:val="32"/>
          <w:szCs w:val="32"/>
        </w:rPr>
        <w:t>服务对象满意度主要由评估机构统筹实施，通过电访、走访、调查问卷等方式进行，随机抽取不少于100名服务对象开展满意度调查（困难群众和特殊群体总人数低于100的，按照实际人数开展全覆盖满意度调查）。</w:t>
      </w:r>
    </w:p>
    <w:p w14:paraId="72DC1003">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ascii="仿宋_GB2312" w:hAnsi="仿宋_GB2312" w:eastAsia="PMingLiU" w:cs="仿宋_GB2312"/>
          <w:b/>
          <w:color w:val="auto"/>
          <w:sz w:val="32"/>
          <w:szCs w:val="32"/>
        </w:rPr>
      </w:pPr>
      <w:r>
        <w:rPr>
          <w:rFonts w:hint="eastAsia" w:ascii="仿宋_GB2312" w:hAnsi="仿宋_GB2312" w:eastAsia="仿宋_GB2312" w:cs="仿宋_GB2312"/>
          <w:b/>
          <w:color w:val="auto"/>
          <w:sz w:val="32"/>
          <w:szCs w:val="32"/>
        </w:rPr>
        <w:t>4</w:t>
      </w:r>
      <w:r>
        <w:rPr>
          <w:rFonts w:ascii="仿宋_GB2312" w:hAnsi="仿宋_GB2312" w:eastAsia="仿宋_GB2312" w:cs="仿宋_GB2312"/>
          <w:b/>
          <w:color w:val="auto"/>
          <w:sz w:val="32"/>
          <w:szCs w:val="32"/>
        </w:rPr>
        <w:t>.收集整理相关方反馈</w:t>
      </w:r>
    </w:p>
    <w:p w14:paraId="065B7816">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color w:val="auto"/>
          <w:sz w:val="32"/>
          <w:szCs w:val="32"/>
        </w:rPr>
      </w:pPr>
      <w:r>
        <w:rPr>
          <w:rFonts w:hint="eastAsia" w:ascii="仿宋_GB2312" w:hAnsi="仿宋_GB2312" w:eastAsia="仿宋_GB2312" w:cs="仿宋_GB2312"/>
          <w:color w:val="auto"/>
          <w:sz w:val="32"/>
          <w:szCs w:val="32"/>
        </w:rPr>
        <w:t>收集整理相关方意见反馈</w:t>
      </w:r>
      <w:r>
        <w:rPr>
          <w:rFonts w:hint="eastAsia" w:ascii="仿宋_GB2312" w:hAnsi="仿宋_GB2312" w:eastAsia="仿宋_GB2312" w:cs="仿宋_GB2312"/>
          <w:color w:val="auto"/>
          <w:sz w:val="32"/>
          <w:szCs w:val="32"/>
          <w:lang w:eastAsia="zh-CN"/>
        </w:rPr>
        <w:t>，包括</w:t>
      </w:r>
      <w:r>
        <w:rPr>
          <w:rFonts w:hint="eastAsia" w:ascii="仿宋_GB2312" w:hAnsi="仿宋_GB2312" w:eastAsia="仿宋_GB2312" w:cs="仿宋_GB2312"/>
          <w:color w:val="auto"/>
          <w:sz w:val="32"/>
          <w:szCs w:val="32"/>
        </w:rPr>
        <w:t>街道购买方</w:t>
      </w:r>
      <w:r>
        <w:rPr>
          <w:rFonts w:hint="eastAsia" w:ascii="仿宋_GB2312" w:hAnsi="仿宋_GB2312" w:eastAsia="仿宋_GB2312" w:cs="仿宋_GB2312"/>
          <w:color w:val="auto"/>
          <w:sz w:val="32"/>
          <w:szCs w:val="32"/>
          <w:lang w:eastAsia="zh-CN"/>
        </w:rPr>
        <w:t>对社工站项目作用发挥情况的综合评价</w:t>
      </w:r>
      <w:r>
        <w:rPr>
          <w:rFonts w:hint="eastAsia" w:ascii="仿宋_GB2312" w:hAnsi="仿宋_GB2312" w:eastAsia="仿宋_GB2312" w:cs="仿宋_GB2312"/>
          <w:color w:val="auto"/>
          <w:sz w:val="32"/>
          <w:szCs w:val="32"/>
        </w:rPr>
        <w:t>，监督方番禺区民政局</w:t>
      </w:r>
      <w:r>
        <w:rPr>
          <w:rFonts w:hint="eastAsia" w:ascii="仿宋_GB2312" w:hAnsi="仿宋_GB2312" w:eastAsia="仿宋_GB2312" w:cs="仿宋_GB2312"/>
          <w:color w:val="auto"/>
          <w:sz w:val="32"/>
          <w:szCs w:val="32"/>
          <w:lang w:eastAsia="zh-CN"/>
        </w:rPr>
        <w:t>对社工站项目的自查自纠检查情况、督查整改落实情况的综合评价，以及</w:t>
      </w:r>
      <w:r>
        <w:rPr>
          <w:rFonts w:hint="eastAsia" w:ascii="仿宋_GB2312" w:hAnsi="仿宋_GB2312" w:eastAsia="仿宋_GB2312" w:cs="仿宋_GB2312"/>
          <w:color w:val="auto"/>
          <w:sz w:val="32"/>
          <w:szCs w:val="32"/>
        </w:rPr>
        <w:t>督导中心</w:t>
      </w:r>
      <w:r>
        <w:rPr>
          <w:rFonts w:hint="eastAsia" w:ascii="仿宋_GB2312" w:hAnsi="仿宋_GB2312" w:eastAsia="仿宋_GB2312" w:cs="仿宋_GB2312"/>
          <w:color w:val="auto"/>
          <w:sz w:val="32"/>
          <w:szCs w:val="32"/>
          <w:lang w:eastAsia="zh-CN"/>
        </w:rPr>
        <w:t>对服务质量保障方面情况的综合评价。</w:t>
      </w:r>
    </w:p>
    <w:p w14:paraId="1B10F6B8">
      <w:pPr>
        <w:pStyle w:val="12"/>
        <w:keepNext w:val="0"/>
        <w:keepLines w:val="0"/>
        <w:pageBreakBefore w:val="0"/>
        <w:widowControl w:val="0"/>
        <w:kinsoku/>
        <w:wordWrap/>
        <w:overflowPunct/>
        <w:topLinePunct w:val="0"/>
        <w:autoSpaceDE/>
        <w:autoSpaceDN/>
        <w:bidi w:val="0"/>
        <w:adjustRightInd/>
        <w:snapToGrid/>
        <w:spacing w:after="0" w:line="560" w:lineRule="exact"/>
        <w:ind w:left="480" w:leftChars="200" w:firstLine="0"/>
        <w:jc w:val="both"/>
        <w:textAlignment w:val="auto"/>
        <w:rPr>
          <w:rFonts w:ascii="仿宋_GB2312" w:eastAsia="仿宋_GB2312"/>
          <w:b/>
          <w:sz w:val="32"/>
          <w:szCs w:val="32"/>
        </w:rPr>
      </w:pPr>
      <w:r>
        <w:rPr>
          <w:rFonts w:hint="eastAsia" w:ascii="仿宋_GB2312" w:eastAsia="仿宋_GB2312"/>
          <w:b/>
          <w:sz w:val="32"/>
          <w:szCs w:val="32"/>
          <w:lang w:eastAsia="zh-CN"/>
        </w:rPr>
        <w:t>（五）</w:t>
      </w:r>
      <w:r>
        <w:rPr>
          <w:rFonts w:hint="eastAsia" w:ascii="仿宋_GB2312" w:eastAsia="仿宋_GB2312"/>
          <w:b/>
          <w:sz w:val="32"/>
          <w:szCs w:val="32"/>
        </w:rPr>
        <w:t>评估结果说明</w:t>
      </w:r>
    </w:p>
    <w:p w14:paraId="22DF7859">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社工站项目评估分值由四方评估分数的总和确定。其中，第三方评估机构评估分值占比55％、督导中心评估分值占比15％、镇人民政府（街道办事处）评估分值占比20％、区民政部门评估分值占比10％。评估等级分为优秀、良好、合格、不合格四个等级，90分以上为优秀，80分至90分（不含90分）为良好</w:t>
      </w:r>
      <w:r>
        <w:rPr>
          <w:rFonts w:hint="eastAsia" w:ascii="仿宋_GB2312" w:eastAsia="仿宋_GB2312"/>
          <w:sz w:val="32"/>
          <w:szCs w:val="32"/>
          <w:lang w:eastAsia="zh-CN"/>
        </w:rPr>
        <w:t>，</w:t>
      </w:r>
      <w:r>
        <w:rPr>
          <w:rFonts w:hint="eastAsia" w:ascii="仿宋_GB2312" w:eastAsia="仿宋_GB2312"/>
          <w:sz w:val="32"/>
          <w:szCs w:val="32"/>
        </w:rPr>
        <w:t xml:space="preserve"> 60分至80分（不含80分）为合格，60分以下（不含60分）为不合格。评估中若发现有下列情形之一的，评估结果</w:t>
      </w:r>
      <w:r>
        <w:rPr>
          <w:rFonts w:hint="eastAsia" w:ascii="仿宋_GB2312" w:eastAsia="仿宋_GB2312"/>
          <w:sz w:val="32"/>
          <w:szCs w:val="32"/>
          <w:lang w:eastAsia="zh-CN"/>
        </w:rPr>
        <w:t>也确</w:t>
      </w:r>
      <w:r>
        <w:rPr>
          <w:rFonts w:hint="eastAsia" w:ascii="仿宋_GB2312" w:eastAsia="仿宋_GB2312"/>
          <w:sz w:val="32"/>
          <w:szCs w:val="32"/>
        </w:rPr>
        <w:t>定为不合格：</w:t>
      </w:r>
    </w:p>
    <w:p w14:paraId="7F6F5B66">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（一）</w:t>
      </w:r>
      <w:r>
        <w:rPr>
          <w:rFonts w:hint="eastAsia" w:ascii="仿宋_GB2312" w:eastAsia="仿宋_GB2312"/>
          <w:sz w:val="32"/>
          <w:szCs w:val="32"/>
        </w:rPr>
        <w:t>保洁</w:t>
      </w:r>
      <w:r>
        <w:rPr>
          <w:rFonts w:hint="eastAsia" w:ascii="仿宋_GB2312" w:eastAsia="仿宋_GB2312"/>
          <w:sz w:val="32"/>
          <w:szCs w:val="32"/>
          <w:lang w:eastAsia="zh-CN"/>
        </w:rPr>
        <w:t>、</w:t>
      </w:r>
      <w:r>
        <w:rPr>
          <w:rFonts w:hint="eastAsia" w:ascii="仿宋_GB2312" w:eastAsia="仿宋_GB2312"/>
          <w:sz w:val="32"/>
          <w:szCs w:val="32"/>
        </w:rPr>
        <w:t>安保等人员占用社工名额的；</w:t>
      </w:r>
    </w:p>
    <w:p w14:paraId="5A04D574">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（二）</w:t>
      </w:r>
      <w:r>
        <w:rPr>
          <w:rFonts w:hint="eastAsia" w:ascii="仿宋_GB2312" w:eastAsia="仿宋_GB2312"/>
          <w:sz w:val="32"/>
          <w:szCs w:val="32"/>
        </w:rPr>
        <w:t>社工人员配备不足的，其中中期评估累计缺少5人次或以上，末期评估累计缺少10人次或以上；</w:t>
      </w:r>
    </w:p>
    <w:p w14:paraId="37787C0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持证社工比例不达标的，其中中期评估累计缺少3人次或以上，末期评估累计缺少6人次或以上；</w:t>
      </w:r>
    </w:p>
    <w:p w14:paraId="0370EBBE">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（四）</w:t>
      </w:r>
      <w:r>
        <w:rPr>
          <w:rFonts w:hint="eastAsia" w:ascii="仿宋_GB2312" w:eastAsia="仿宋_GB2312"/>
          <w:sz w:val="32"/>
          <w:szCs w:val="32"/>
        </w:rPr>
        <w:t>年度服务期内人员费用支出比例低于80%的；</w:t>
      </w:r>
    </w:p>
    <w:p w14:paraId="55C15DE0">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（五）</w:t>
      </w:r>
      <w:r>
        <w:rPr>
          <w:rFonts w:hint="eastAsia" w:ascii="仿宋_GB2312" w:eastAsia="仿宋_GB2312"/>
          <w:sz w:val="32"/>
          <w:szCs w:val="32"/>
        </w:rPr>
        <w:t>限期内整改不及时、不到位的；</w:t>
      </w:r>
    </w:p>
    <w:p w14:paraId="5A578AB6">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（六）</w:t>
      </w:r>
      <w:r>
        <w:rPr>
          <w:rFonts w:hint="eastAsia" w:ascii="仿宋_GB2312" w:eastAsia="仿宋_GB2312"/>
          <w:sz w:val="32"/>
          <w:szCs w:val="32"/>
        </w:rPr>
        <w:t>专业评估结果为不合格的；</w:t>
      </w:r>
    </w:p>
    <w:p w14:paraId="7B17587B">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（七）</w:t>
      </w:r>
      <w:r>
        <w:rPr>
          <w:rFonts w:hint="eastAsia" w:ascii="仿宋_GB2312" w:eastAsia="仿宋_GB2312"/>
          <w:sz w:val="32"/>
          <w:szCs w:val="32"/>
        </w:rPr>
        <w:t>财务评估结果为不合格的；</w:t>
      </w:r>
    </w:p>
    <w:p w14:paraId="209DDA39">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sz w:val="32"/>
          <w:szCs w:val="32"/>
        </w:rPr>
      </w:pPr>
      <w:r>
        <w:rPr>
          <w:rFonts w:hint="eastAsia" w:ascii="仿宋_GB2312" w:eastAsia="仿宋_GB2312"/>
          <w:sz w:val="32"/>
          <w:szCs w:val="32"/>
          <w:lang w:eastAsia="zh-CN"/>
        </w:rPr>
        <w:t>（八）</w:t>
      </w:r>
      <w:r>
        <w:rPr>
          <w:rFonts w:hint="eastAsia" w:ascii="仿宋_GB2312" w:eastAsia="仿宋_GB2312"/>
          <w:sz w:val="32"/>
          <w:szCs w:val="32"/>
        </w:rPr>
        <w:t>违反国家法律法规及有关规定的其他情形，情节严重的。</w:t>
      </w:r>
    </w:p>
    <w:p w14:paraId="1CD18E0F">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ascii="方正小标宋简体" w:eastAsia="方正小标宋简体"/>
          <w:b/>
          <w:sz w:val="32"/>
          <w:szCs w:val="32"/>
          <w:lang w:val="en-US"/>
        </w:rPr>
      </w:pPr>
      <w:r>
        <w:rPr>
          <w:rFonts w:hint="eastAsia" w:ascii="方正小标宋简体" w:eastAsia="方正小标宋简体"/>
          <w:b/>
          <w:sz w:val="32"/>
          <w:szCs w:val="32"/>
          <w:lang w:val="en-US"/>
        </w:rPr>
        <w:t>二、评估总结</w:t>
      </w:r>
    </w:p>
    <w:p w14:paraId="68186C46">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（一）</w:t>
      </w:r>
      <w:r>
        <w:rPr>
          <w:rFonts w:hint="eastAsia" w:ascii="仿宋_GB2312" w:eastAsia="仿宋_GB2312"/>
          <w:b/>
          <w:sz w:val="32"/>
          <w:szCs w:val="32"/>
        </w:rPr>
        <w:t>社工站基本情况</w:t>
      </w:r>
    </w:p>
    <w:p w14:paraId="6AD00D33">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lang w:eastAsia="zh-CN"/>
        </w:rPr>
        <w:t>洛浦街</w:t>
      </w:r>
      <w:r>
        <w:rPr>
          <w:rFonts w:hint="eastAsia" w:ascii="仿宋_GB2312" w:eastAsia="仿宋_GB2312"/>
          <w:sz w:val="32"/>
          <w:szCs w:val="32"/>
        </w:rPr>
        <w:t>社工站位于</w:t>
      </w:r>
      <w:r>
        <w:rPr>
          <w:rFonts w:hint="eastAsia" w:ascii="仿宋_GB2312" w:eastAsia="仿宋_GB2312"/>
          <w:sz w:val="32"/>
          <w:szCs w:val="32"/>
          <w:lang w:eastAsia="zh-CN"/>
        </w:rPr>
        <w:t>番禺区浦华路 606 号碧乐时光二楼</w:t>
      </w:r>
      <w:r>
        <w:rPr>
          <w:rFonts w:hint="eastAsia" w:ascii="仿宋_GB2312" w:eastAsia="仿宋_GB2312"/>
          <w:sz w:val="32"/>
          <w:szCs w:val="32"/>
        </w:rPr>
        <w:t>，2019年9月至今，由</w:t>
      </w:r>
      <w:r>
        <w:rPr>
          <w:rFonts w:hint="eastAsia" w:ascii="仿宋_GB2312" w:eastAsia="仿宋_GB2312"/>
          <w:sz w:val="32"/>
          <w:szCs w:val="32"/>
          <w:lang w:val="en-US" w:eastAsia="zh-CN"/>
        </w:rPr>
        <w:t>广州市阳光天使</w:t>
      </w:r>
      <w:r>
        <w:rPr>
          <w:rFonts w:hint="eastAsia" w:ascii="仿宋_GB2312" w:eastAsia="仿宋_GB2312"/>
          <w:sz w:val="32"/>
          <w:szCs w:val="32"/>
        </w:rPr>
        <w:t>社会工作服务</w:t>
      </w:r>
      <w:r>
        <w:rPr>
          <w:rFonts w:hint="eastAsia" w:ascii="仿宋_GB2312" w:eastAsia="仿宋_GB2312"/>
          <w:sz w:val="32"/>
          <w:szCs w:val="32"/>
          <w:lang w:eastAsia="zh-CN"/>
        </w:rPr>
        <w:t>中</w:t>
      </w:r>
      <w:r>
        <w:rPr>
          <w:rFonts w:hint="eastAsia" w:ascii="仿宋_GB2312" w:eastAsia="仿宋_GB2312"/>
          <w:sz w:val="32"/>
          <w:szCs w:val="32"/>
        </w:rPr>
        <w:t>心负责运营。</w:t>
      </w:r>
      <w:r>
        <w:rPr>
          <w:rFonts w:hint="eastAsia" w:ascii="仿宋_GB2312" w:eastAsia="仿宋_GB2312"/>
          <w:sz w:val="32"/>
          <w:szCs w:val="32"/>
          <w:lang w:eastAsia="zh-CN"/>
        </w:rPr>
        <w:t>洛浦街</w:t>
      </w:r>
      <w:r>
        <w:rPr>
          <w:rFonts w:hint="eastAsia" w:ascii="仿宋_GB2312" w:eastAsia="仿宋_GB2312"/>
          <w:sz w:val="32"/>
          <w:szCs w:val="32"/>
        </w:rPr>
        <w:t>社工站主要服务包括：党建引领服务、兜底性民生服务、基础性民生服务、普惠性民生服务四大板块。</w:t>
      </w:r>
    </w:p>
    <w:p w14:paraId="3D46962A">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宋体" w:eastAsia="仿宋_GB2312" w:cs="宋体"/>
          <w:sz w:val="32"/>
          <w:szCs w:val="32"/>
          <w:lang w:eastAsia="zh-CN"/>
        </w:rPr>
      </w:pPr>
      <w:r>
        <w:rPr>
          <w:rFonts w:hint="eastAsia" w:ascii="仿宋_GB2312" w:hAnsi="宋体" w:eastAsia="仿宋_GB2312" w:cs="宋体"/>
          <w:sz w:val="32"/>
          <w:szCs w:val="32"/>
          <w:lang w:eastAsia="zh-CN"/>
        </w:rPr>
        <w:t>截至202</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年</w:t>
      </w:r>
      <w:r>
        <w:rPr>
          <w:rFonts w:hint="eastAsia" w:ascii="仿宋_GB2312" w:eastAsia="仿宋_GB2312" w:cs="宋体"/>
          <w:sz w:val="32"/>
          <w:szCs w:val="32"/>
          <w:lang w:val="en-US" w:eastAsia="zh-CN"/>
        </w:rPr>
        <w:t>7</w:t>
      </w:r>
      <w:r>
        <w:rPr>
          <w:rFonts w:hint="eastAsia" w:ascii="仿宋_GB2312" w:hAnsi="宋体" w:eastAsia="仿宋_GB2312" w:cs="宋体"/>
          <w:sz w:val="32"/>
          <w:szCs w:val="32"/>
          <w:lang w:eastAsia="zh-CN"/>
        </w:rPr>
        <w:t>月3</w:t>
      </w:r>
      <w:r>
        <w:rPr>
          <w:rFonts w:hint="eastAsia" w:ascii="仿宋_GB2312" w:hAnsi="宋体" w:eastAsia="仿宋_GB2312" w:cs="宋体"/>
          <w:sz w:val="32"/>
          <w:szCs w:val="32"/>
          <w:lang w:val="en-US" w:eastAsia="zh-CN"/>
        </w:rPr>
        <w:t>1</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w:t>
      </w:r>
      <w:r>
        <w:rPr>
          <w:rFonts w:hint="eastAsia" w:ascii="仿宋_GB2312" w:eastAsia="仿宋_GB2312" w:cs="宋体"/>
          <w:sz w:val="32"/>
          <w:szCs w:val="32"/>
          <w:lang w:val="en-US" w:eastAsia="zh-CN"/>
        </w:rPr>
        <w:t>6</w:t>
      </w:r>
      <w:r>
        <w:rPr>
          <w:rFonts w:hint="eastAsia" w:ascii="仿宋_GB2312" w:hAnsi="宋体" w:eastAsia="仿宋_GB2312" w:cs="宋体"/>
          <w:sz w:val="32"/>
          <w:szCs w:val="32"/>
          <w:lang w:eastAsia="zh-CN"/>
        </w:rPr>
        <w:t>名，其中社工专业人员</w:t>
      </w:r>
      <w:r>
        <w:rPr>
          <w:rFonts w:hint="eastAsia" w:ascii="仿宋_GB2312" w:hAnsi="宋体" w:eastAsia="仿宋_GB2312" w:cs="宋体"/>
          <w:sz w:val="32"/>
          <w:szCs w:val="32"/>
          <w:lang w:val="en-US" w:eastAsia="zh-CN"/>
        </w:rPr>
        <w:t>1</w:t>
      </w:r>
      <w:r>
        <w:rPr>
          <w:rFonts w:hint="eastAsia" w:ascii="仿宋_GB2312" w:eastAsia="仿宋_GB2312" w:cs="宋体"/>
          <w:sz w:val="32"/>
          <w:szCs w:val="32"/>
          <w:lang w:val="en-US" w:eastAsia="zh-CN"/>
        </w:rPr>
        <w:t>0</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7</w:t>
      </w:r>
      <w:r>
        <w:rPr>
          <w:rFonts w:hint="eastAsia" w:ascii="仿宋_GB2312" w:hAnsi="宋体" w:eastAsia="仿宋_GB2312" w:cs="宋体"/>
          <w:sz w:val="32"/>
          <w:szCs w:val="32"/>
          <w:lang w:eastAsia="zh-CN"/>
        </w:rPr>
        <w:t>人，助理社会工作师</w:t>
      </w:r>
      <w:r>
        <w:rPr>
          <w:rFonts w:hint="eastAsia" w:ascii="仿宋_GB2312" w:eastAsia="仿宋_GB2312" w:cs="宋体"/>
          <w:sz w:val="32"/>
          <w:szCs w:val="32"/>
          <w:lang w:val="en-US" w:eastAsia="zh-CN"/>
        </w:rPr>
        <w:t>3</w:t>
      </w:r>
      <w:r>
        <w:rPr>
          <w:rFonts w:hint="eastAsia" w:ascii="仿宋_GB2312" w:hAnsi="宋体" w:eastAsia="仿宋_GB2312" w:cs="宋体"/>
          <w:sz w:val="32"/>
          <w:szCs w:val="32"/>
          <w:lang w:eastAsia="zh-CN"/>
        </w:rPr>
        <w:t>人）</w:t>
      </w:r>
      <w:r>
        <w:rPr>
          <w:rFonts w:hint="eastAsia" w:ascii="仿宋_GB2312" w:hAnsi="宋体" w:eastAsia="仿宋_GB2312" w:cs="宋体"/>
          <w:sz w:val="32"/>
          <w:szCs w:val="32"/>
          <w:lang w:val="en-US" w:eastAsia="zh-CN"/>
        </w:rPr>
        <w:t>，其他人员6人</w:t>
      </w:r>
      <w:r>
        <w:rPr>
          <w:rFonts w:hint="eastAsia" w:ascii="仿宋_GB2312" w:hAnsi="宋体" w:eastAsia="仿宋_GB2312" w:cs="宋体"/>
          <w:sz w:val="32"/>
          <w:szCs w:val="32"/>
          <w:lang w:eastAsia="zh-CN"/>
        </w:rPr>
        <w:t>。上次评估统计截止时间至本次评估统计开始时间期间（202</w:t>
      </w:r>
      <w:r>
        <w:rPr>
          <w:rFonts w:hint="eastAsia" w:ascii="仿宋_GB2312" w:hAnsi="宋体" w:eastAsia="仿宋_GB2312" w:cs="宋体"/>
          <w:sz w:val="32"/>
          <w:szCs w:val="32"/>
          <w:lang w:val="en-US" w:eastAsia="zh-CN"/>
        </w:rPr>
        <w:t>5</w:t>
      </w:r>
      <w:r>
        <w:rPr>
          <w:rFonts w:hint="eastAsia" w:ascii="仿宋_GB2312" w:hAnsi="宋体" w:eastAsia="仿宋_GB2312" w:cs="宋体"/>
          <w:sz w:val="32"/>
          <w:szCs w:val="32"/>
          <w:lang w:eastAsia="zh-CN"/>
        </w:rPr>
        <w:t>年</w:t>
      </w:r>
      <w:r>
        <w:rPr>
          <w:rFonts w:hint="eastAsia" w:ascii="仿宋_GB2312" w:eastAsia="仿宋_GB2312" w:cs="宋体"/>
          <w:sz w:val="32"/>
          <w:szCs w:val="32"/>
          <w:lang w:val="en-US" w:eastAsia="zh-CN"/>
        </w:rPr>
        <w:t>7</w:t>
      </w:r>
      <w:r>
        <w:rPr>
          <w:rFonts w:hint="eastAsia" w:ascii="仿宋_GB2312" w:hAnsi="宋体" w:eastAsia="仿宋_GB2312" w:cs="宋体"/>
          <w:sz w:val="32"/>
          <w:szCs w:val="32"/>
          <w:lang w:eastAsia="zh-CN"/>
        </w:rPr>
        <w:t>月</w:t>
      </w:r>
      <w:r>
        <w:rPr>
          <w:rFonts w:hint="eastAsia" w:ascii="仿宋_GB2312" w:eastAsia="仿宋_GB2312" w:cs="宋体"/>
          <w:sz w:val="32"/>
          <w:szCs w:val="32"/>
          <w:lang w:val="en-US" w:eastAsia="zh-CN"/>
        </w:rPr>
        <w:t>31</w:t>
      </w:r>
      <w:r>
        <w:rPr>
          <w:rFonts w:hint="eastAsia" w:ascii="仿宋_GB2312" w:hAnsi="宋体" w:eastAsia="仿宋_GB2312" w:cs="宋体"/>
          <w:sz w:val="32"/>
          <w:szCs w:val="32"/>
          <w:lang w:eastAsia="zh-CN"/>
        </w:rPr>
        <w:t>日—2025年</w:t>
      </w:r>
      <w:r>
        <w:rPr>
          <w:rFonts w:hint="eastAsia" w:ascii="仿宋_GB2312" w:hAnsi="宋体" w:eastAsia="仿宋_GB2312" w:cs="宋体"/>
          <w:sz w:val="32"/>
          <w:szCs w:val="32"/>
          <w:lang w:val="en-US" w:eastAsia="zh-CN"/>
        </w:rPr>
        <w:t>8</w:t>
      </w:r>
      <w:r>
        <w:rPr>
          <w:rFonts w:hint="eastAsia" w:ascii="仿宋_GB2312" w:hAnsi="宋体" w:eastAsia="仿宋_GB2312" w:cs="宋体"/>
          <w:sz w:val="32"/>
          <w:szCs w:val="32"/>
          <w:lang w:eastAsia="zh-CN"/>
        </w:rPr>
        <w:t>月</w:t>
      </w:r>
      <w:r>
        <w:rPr>
          <w:rFonts w:hint="eastAsia" w:ascii="仿宋_GB2312" w:hAnsi="宋体" w:eastAsia="仿宋_GB2312" w:cs="宋体"/>
          <w:sz w:val="32"/>
          <w:szCs w:val="32"/>
          <w:lang w:val="en-US" w:eastAsia="zh-CN"/>
        </w:rPr>
        <w:t>6</w:t>
      </w:r>
      <w:r>
        <w:rPr>
          <w:rFonts w:hint="eastAsia" w:ascii="仿宋_GB2312" w:hAnsi="宋体" w:eastAsia="仿宋_GB2312" w:cs="宋体"/>
          <w:sz w:val="32"/>
          <w:szCs w:val="32"/>
          <w:lang w:eastAsia="zh-CN"/>
        </w:rPr>
        <w:t>日）社工站配备工作人员</w:t>
      </w:r>
      <w:r>
        <w:rPr>
          <w:rFonts w:hint="eastAsia" w:ascii="仿宋_GB2312" w:hAnsi="宋体" w:eastAsia="仿宋_GB2312" w:cs="宋体"/>
          <w:sz w:val="32"/>
          <w:szCs w:val="32"/>
          <w:lang w:val="en-US" w:eastAsia="zh-CN"/>
        </w:rPr>
        <w:t>17</w:t>
      </w:r>
      <w:r>
        <w:rPr>
          <w:rFonts w:hint="eastAsia" w:ascii="仿宋_GB2312" w:hAnsi="宋体" w:eastAsia="仿宋_GB2312" w:cs="宋体"/>
          <w:sz w:val="32"/>
          <w:szCs w:val="32"/>
          <w:lang w:eastAsia="zh-CN"/>
        </w:rPr>
        <w:t>名，其中社工专业人员</w:t>
      </w:r>
      <w:r>
        <w:rPr>
          <w:rFonts w:hint="eastAsia" w:ascii="仿宋_GB2312" w:hAnsi="宋体" w:eastAsia="仿宋_GB2312" w:cs="宋体"/>
          <w:sz w:val="32"/>
          <w:szCs w:val="32"/>
          <w:lang w:val="en-US" w:eastAsia="zh-CN"/>
        </w:rPr>
        <w:t>11</w:t>
      </w:r>
      <w:r>
        <w:rPr>
          <w:rFonts w:hint="eastAsia" w:ascii="仿宋_GB2312" w:hAnsi="宋体" w:eastAsia="仿宋_GB2312" w:cs="宋体"/>
          <w:sz w:val="32"/>
          <w:szCs w:val="32"/>
          <w:lang w:eastAsia="zh-CN"/>
        </w:rPr>
        <w:t>名（社会工作师</w:t>
      </w:r>
      <w:r>
        <w:rPr>
          <w:rFonts w:hint="eastAsia" w:ascii="仿宋_GB2312" w:hAnsi="宋体" w:eastAsia="仿宋_GB2312" w:cs="宋体"/>
          <w:sz w:val="32"/>
          <w:szCs w:val="32"/>
          <w:lang w:val="en-US" w:eastAsia="zh-CN"/>
        </w:rPr>
        <w:t>7</w:t>
      </w:r>
      <w:r>
        <w:rPr>
          <w:rFonts w:hint="eastAsia" w:ascii="仿宋_GB2312" w:hAnsi="宋体" w:eastAsia="仿宋_GB2312" w:cs="宋体"/>
          <w:sz w:val="32"/>
          <w:szCs w:val="32"/>
          <w:lang w:eastAsia="zh-CN"/>
        </w:rPr>
        <w:t>人，助理社会工作师</w:t>
      </w:r>
      <w:r>
        <w:rPr>
          <w:rFonts w:hint="eastAsia" w:ascii="仿宋_GB2312" w:hAnsi="宋体" w:eastAsia="仿宋_GB2312" w:cs="宋体"/>
          <w:sz w:val="32"/>
          <w:szCs w:val="32"/>
          <w:lang w:val="en-US" w:eastAsia="zh-CN"/>
        </w:rPr>
        <w:t>4</w:t>
      </w:r>
      <w:r>
        <w:rPr>
          <w:rFonts w:hint="eastAsia" w:ascii="仿宋_GB2312" w:hAnsi="宋体" w:eastAsia="仿宋_GB2312" w:cs="宋体"/>
          <w:sz w:val="32"/>
          <w:szCs w:val="32"/>
          <w:lang w:eastAsia="zh-CN"/>
        </w:rPr>
        <w:t>人），</w:t>
      </w:r>
      <w:r>
        <w:rPr>
          <w:rFonts w:hint="eastAsia" w:ascii="仿宋_GB2312" w:hAnsi="宋体" w:eastAsia="仿宋_GB2312" w:cs="宋体"/>
          <w:sz w:val="32"/>
          <w:szCs w:val="32"/>
          <w:lang w:val="en-US" w:eastAsia="zh-CN"/>
        </w:rPr>
        <w:t>其他人员6人</w:t>
      </w:r>
      <w:r>
        <w:rPr>
          <w:rFonts w:hint="eastAsia" w:ascii="仿宋_GB2312" w:hAnsi="宋体" w:eastAsia="仿宋_GB2312" w:cs="宋体"/>
          <w:sz w:val="32"/>
          <w:szCs w:val="32"/>
          <w:lang w:eastAsia="zh-CN"/>
        </w:rPr>
        <w:t>。此外，社工站配备督导</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lang w:eastAsia="zh-CN"/>
        </w:rPr>
        <w:t>名，从事社会服务</w:t>
      </w:r>
      <w:r>
        <w:rPr>
          <w:rFonts w:hint="eastAsia" w:ascii="仿宋_GB2312" w:hAnsi="宋体" w:eastAsia="仿宋_GB2312" w:cs="宋体"/>
          <w:sz w:val="32"/>
          <w:szCs w:val="32"/>
          <w:lang w:val="en-US" w:eastAsia="zh-CN"/>
        </w:rPr>
        <w:t>9.5</w:t>
      </w:r>
      <w:r>
        <w:rPr>
          <w:rFonts w:hint="eastAsia" w:ascii="仿宋_GB2312" w:hAnsi="宋体" w:eastAsia="仿宋_GB2312" w:cs="宋体"/>
          <w:sz w:val="32"/>
          <w:szCs w:val="32"/>
          <w:lang w:eastAsia="zh-CN"/>
        </w:rPr>
        <w:t>年以上。</w:t>
      </w:r>
    </w:p>
    <w:p w14:paraId="73868F13">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本社工站</w:t>
      </w:r>
      <w:r>
        <w:rPr>
          <w:rFonts w:hint="eastAsia" w:ascii="仿宋_GB2312" w:eastAsia="仿宋_GB2312"/>
          <w:sz w:val="32"/>
          <w:szCs w:val="32"/>
          <w:lang w:val="en-US" w:eastAsia="zh-CN"/>
        </w:rPr>
        <w:t>评估期限内</w:t>
      </w:r>
      <w:r>
        <w:rPr>
          <w:rFonts w:hint="eastAsia" w:ascii="仿宋_GB2312" w:eastAsia="仿宋_GB2312"/>
          <w:sz w:val="32"/>
          <w:szCs w:val="32"/>
        </w:rPr>
        <w:t>服务经费为</w:t>
      </w:r>
      <w:r>
        <w:rPr>
          <w:rFonts w:hint="eastAsia" w:ascii="仿宋_GB2312" w:eastAsia="仿宋_GB2312"/>
          <w:sz w:val="32"/>
          <w:szCs w:val="32"/>
          <w:lang w:val="en-US" w:eastAsia="zh-CN"/>
        </w:rPr>
        <w:t>211.46</w:t>
      </w:r>
      <w:r>
        <w:rPr>
          <w:rFonts w:hint="eastAsia" w:ascii="仿宋_GB2312" w:eastAsia="仿宋_GB2312"/>
          <w:sz w:val="32"/>
          <w:szCs w:val="32"/>
        </w:rPr>
        <w:t>万元，</w:t>
      </w:r>
      <w:r>
        <w:rPr>
          <w:rFonts w:hint="eastAsia" w:ascii="仿宋_GB2312" w:eastAsia="仿宋_GB2312"/>
          <w:sz w:val="32"/>
          <w:szCs w:val="32"/>
          <w:lang w:val="en-US" w:eastAsia="zh-CN"/>
        </w:rPr>
        <w:t>评估</w:t>
      </w:r>
      <w:r>
        <w:rPr>
          <w:rFonts w:hint="eastAsia" w:ascii="仿宋_GB2312" w:eastAsia="仿宋_GB2312"/>
          <w:sz w:val="32"/>
          <w:szCs w:val="32"/>
        </w:rPr>
        <w:t>项目合同期为</w:t>
      </w:r>
      <w:r>
        <w:rPr>
          <w:rFonts w:hint="eastAsia" w:ascii="仿宋_GB2312" w:hAnsi="Times New Roman" w:eastAsia="仿宋_GB2312" w:cs="Times New Roman"/>
          <w:sz w:val="32"/>
          <w:szCs w:val="32"/>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月6日至202</w:t>
      </w:r>
      <w:r>
        <w:rPr>
          <w:rFonts w:hint="eastAsia" w:ascii="仿宋_GB2312" w:hAnsi="Times New Roman" w:eastAsia="仿宋_GB2312" w:cs="Times New Roman"/>
          <w:sz w:val="32"/>
          <w:szCs w:val="32"/>
          <w:lang w:val="en-US" w:eastAsia="zh-CN"/>
        </w:rPr>
        <w:t>6</w:t>
      </w:r>
      <w:r>
        <w:rPr>
          <w:rFonts w:hint="eastAsia" w:ascii="仿宋_GB2312" w:hAnsi="Times New Roman" w:eastAsia="仿宋_GB2312" w:cs="Times New Roman"/>
          <w:sz w:val="32"/>
          <w:szCs w:val="32"/>
        </w:rPr>
        <w:t>年</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月5日</w:t>
      </w:r>
      <w:r>
        <w:rPr>
          <w:rFonts w:hint="eastAsia" w:ascii="仿宋_GB2312" w:eastAsia="仿宋_GB2312"/>
          <w:sz w:val="32"/>
          <w:szCs w:val="32"/>
        </w:rPr>
        <w:t>。本次考核期为202</w:t>
      </w:r>
      <w:r>
        <w:rPr>
          <w:rFonts w:hint="eastAsia" w:ascii="仿宋_GB2312" w:eastAsia="仿宋_GB2312"/>
          <w:sz w:val="32"/>
          <w:szCs w:val="32"/>
          <w:lang w:val="en-US" w:eastAsia="zh-CN"/>
        </w:rPr>
        <w:t>5</w:t>
      </w:r>
      <w:r>
        <w:rPr>
          <w:rFonts w:hint="eastAsia" w:ascii="仿宋_GB2312" w:eastAsia="仿宋_GB2312"/>
          <w:sz w:val="32"/>
          <w:szCs w:val="32"/>
        </w:rPr>
        <w:t>年8月</w:t>
      </w:r>
      <w:r>
        <w:rPr>
          <w:rFonts w:hint="eastAsia" w:ascii="仿宋_GB2312" w:eastAsia="仿宋_GB2312"/>
          <w:sz w:val="32"/>
          <w:szCs w:val="32"/>
          <w:lang w:val="en-US" w:eastAsia="zh-CN"/>
        </w:rPr>
        <w:t>6</w:t>
      </w:r>
      <w:r>
        <w:rPr>
          <w:rFonts w:hint="eastAsia" w:ascii="仿宋_GB2312" w:eastAsia="仿宋_GB2312"/>
          <w:sz w:val="32"/>
          <w:szCs w:val="32"/>
        </w:rPr>
        <w:t>日</w:t>
      </w:r>
      <w:r>
        <w:rPr>
          <w:rFonts w:hint="eastAsia" w:ascii="仿宋_GB2312" w:eastAsia="仿宋_GB2312"/>
          <w:sz w:val="32"/>
          <w:szCs w:val="32"/>
          <w:lang w:eastAsia="zh-CN"/>
        </w:rPr>
        <w:t>至</w:t>
      </w: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val="en-US" w:eastAsia="zh-CN"/>
        </w:rPr>
        <w:t>7</w:t>
      </w:r>
      <w:r>
        <w:rPr>
          <w:rFonts w:hint="eastAsia" w:ascii="仿宋_GB2312" w:eastAsia="仿宋_GB2312"/>
          <w:sz w:val="32"/>
          <w:szCs w:val="32"/>
        </w:rPr>
        <w:t>月31日，考核</w:t>
      </w:r>
      <w:r>
        <w:rPr>
          <w:rFonts w:hint="eastAsia" w:ascii="仿宋_GB2312" w:eastAsia="仿宋_GB2312"/>
          <w:sz w:val="32"/>
          <w:szCs w:val="32"/>
          <w:lang w:val="en-US" w:eastAsia="zh-CN"/>
        </w:rPr>
        <w:t>12</w:t>
      </w:r>
      <w:r>
        <w:rPr>
          <w:rFonts w:hint="eastAsia" w:ascii="仿宋_GB2312" w:eastAsia="仿宋_GB2312"/>
          <w:sz w:val="32"/>
          <w:szCs w:val="32"/>
        </w:rPr>
        <w:t>个月。</w:t>
      </w:r>
    </w:p>
    <w:p w14:paraId="427F30B1">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（二）各项目服务进度情况</w:t>
      </w:r>
    </w:p>
    <w:p w14:paraId="5A61D501">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hAnsi="Times New Roman" w:eastAsia="仿宋_GB2312" w:cs="Times New Roman"/>
          <w:sz w:val="32"/>
          <w:szCs w:val="32"/>
          <w:lang w:val="en-US" w:eastAsia="zh-CN" w:bidi="zh-CN"/>
        </w:rPr>
      </w:pPr>
      <w:r>
        <w:rPr>
          <w:rFonts w:hint="eastAsia" w:ascii="仿宋_GB2312" w:eastAsia="仿宋_GB2312"/>
          <w:sz w:val="32"/>
          <w:szCs w:val="32"/>
        </w:rPr>
        <w:t>社工站共完成家访</w:t>
      </w:r>
      <w:r>
        <w:rPr>
          <w:rFonts w:hint="eastAsia" w:ascii="仿宋_GB2312" w:eastAsia="仿宋_GB2312"/>
          <w:sz w:val="32"/>
          <w:szCs w:val="32"/>
          <w:lang w:val="en-US" w:eastAsia="zh-CN"/>
        </w:rPr>
        <w:t>3099</w:t>
      </w:r>
      <w:r>
        <w:rPr>
          <w:rFonts w:hint="eastAsia" w:ascii="仿宋_GB2312" w:eastAsia="仿宋_GB2312"/>
          <w:sz w:val="32"/>
          <w:szCs w:val="32"/>
          <w:lang w:eastAsia="zh-CN"/>
        </w:rPr>
        <w:t>人次</w:t>
      </w:r>
      <w:r>
        <w:rPr>
          <w:rFonts w:hint="eastAsia" w:ascii="仿宋_GB2312" w:eastAsia="仿宋_GB2312"/>
          <w:sz w:val="32"/>
          <w:szCs w:val="32"/>
        </w:rPr>
        <w:t>，电访</w:t>
      </w:r>
      <w:r>
        <w:rPr>
          <w:rFonts w:hint="eastAsia" w:ascii="仿宋_GB2312" w:eastAsia="仿宋_GB2312"/>
          <w:sz w:val="32"/>
          <w:szCs w:val="32"/>
          <w:lang w:val="en-US" w:eastAsia="zh-CN"/>
        </w:rPr>
        <w:t>6482人次</w:t>
      </w:r>
      <w:r>
        <w:rPr>
          <w:rFonts w:hint="eastAsia" w:ascii="仿宋_GB2312" w:hAnsi="Times New Roman" w:eastAsia="仿宋_GB2312" w:cs="Times New Roman"/>
          <w:sz w:val="32"/>
          <w:szCs w:val="32"/>
          <w:lang w:eastAsia="zh-CN"/>
        </w:rPr>
        <w:t>；</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100.00%，分别超额完成协议指标量的106.60%、332.13%</w:t>
      </w:r>
      <w:r>
        <w:rPr>
          <w:rFonts w:hint="eastAsia" w:ascii="仿宋_GB2312" w:hAnsi="Times New Roman" w:eastAsia="仿宋_GB2312" w:cs="Times New Roman"/>
          <w:sz w:val="32"/>
          <w:szCs w:val="32"/>
          <w:lang w:eastAsia="zh-CN"/>
        </w:rPr>
        <w:t>；</w:t>
      </w:r>
      <w:r>
        <w:rPr>
          <w:rFonts w:hint="eastAsia" w:ascii="仿宋_GB2312" w:eastAsia="仿宋_GB2312"/>
          <w:sz w:val="32"/>
          <w:szCs w:val="32"/>
        </w:rPr>
        <w:t>个案接案</w:t>
      </w:r>
      <w:r>
        <w:rPr>
          <w:rFonts w:hint="eastAsia" w:ascii="仿宋_GB2312" w:eastAsia="仿宋_GB2312"/>
          <w:sz w:val="32"/>
          <w:szCs w:val="32"/>
          <w:lang w:val="en-US" w:eastAsia="zh-CN"/>
        </w:rPr>
        <w:t>43</w:t>
      </w:r>
      <w:r>
        <w:rPr>
          <w:rFonts w:hint="eastAsia" w:ascii="仿宋_GB2312" w:eastAsia="仿宋_GB2312"/>
          <w:sz w:val="32"/>
          <w:szCs w:val="32"/>
        </w:rPr>
        <w:t>个，</w:t>
      </w:r>
      <w:r>
        <w:rPr>
          <w:rFonts w:hint="eastAsia" w:ascii="仿宋_GB2312" w:eastAsia="仿宋_GB2312"/>
          <w:sz w:val="32"/>
          <w:szCs w:val="32"/>
          <w:lang w:val="en-US" w:eastAsia="zh-CN"/>
        </w:rPr>
        <w:t>234节，</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100.00%，个案服务节数超额完成协议指标量的8.84%</w:t>
      </w:r>
      <w:r>
        <w:rPr>
          <w:rFonts w:hint="eastAsia" w:ascii="仿宋_GB2312" w:hAnsi="Times New Roman" w:eastAsia="仿宋_GB2312" w:cs="Times New Roman"/>
          <w:sz w:val="32"/>
          <w:szCs w:val="32"/>
          <w:lang w:eastAsia="zh-CN"/>
        </w:rPr>
        <w:t>；</w:t>
      </w:r>
      <w:r>
        <w:rPr>
          <w:rFonts w:hint="eastAsia" w:ascii="仿宋_GB2312" w:eastAsia="仿宋_GB2312"/>
          <w:sz w:val="32"/>
          <w:szCs w:val="32"/>
        </w:rPr>
        <w:t>完成小组</w:t>
      </w:r>
      <w:r>
        <w:rPr>
          <w:rFonts w:hint="eastAsia" w:ascii="仿宋_GB2312" w:eastAsia="仿宋_GB2312"/>
          <w:sz w:val="32"/>
          <w:szCs w:val="32"/>
          <w:lang w:val="en-US" w:eastAsia="zh-CN"/>
        </w:rPr>
        <w:t>15</w:t>
      </w:r>
      <w:r>
        <w:rPr>
          <w:rFonts w:hint="eastAsia" w:ascii="仿宋_GB2312" w:eastAsia="仿宋_GB2312"/>
          <w:sz w:val="32"/>
          <w:szCs w:val="32"/>
        </w:rPr>
        <w:t>个，</w:t>
      </w:r>
      <w:r>
        <w:rPr>
          <w:rFonts w:hint="eastAsia" w:ascii="仿宋_GB2312" w:eastAsia="仿宋_GB2312"/>
          <w:sz w:val="32"/>
          <w:szCs w:val="32"/>
          <w:lang w:val="en-US" w:eastAsia="zh-CN"/>
        </w:rPr>
        <w:t>75节，服务544人次，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100.00%，分别超额完成协议指标量的7.14%、7.14%、28.00%</w:t>
      </w:r>
      <w:r>
        <w:rPr>
          <w:rFonts w:hint="eastAsia" w:ascii="仿宋_GB2312" w:hAnsi="Times New Roman" w:eastAsia="仿宋_GB2312" w:cs="Times New Roman"/>
          <w:sz w:val="32"/>
          <w:szCs w:val="32"/>
        </w:rPr>
        <w:t xml:space="preserve">; </w:t>
      </w:r>
      <w:r>
        <w:rPr>
          <w:rFonts w:hint="eastAsia" w:ascii="仿宋_GB2312" w:eastAsia="仿宋_GB2312"/>
          <w:sz w:val="32"/>
          <w:szCs w:val="32"/>
        </w:rPr>
        <w:t>完成社区活动</w:t>
      </w:r>
      <w:r>
        <w:rPr>
          <w:rFonts w:hint="eastAsia" w:ascii="仿宋_GB2312" w:eastAsia="仿宋_GB2312"/>
          <w:sz w:val="32"/>
          <w:szCs w:val="32"/>
          <w:lang w:val="en-US" w:eastAsia="zh-CN"/>
        </w:rPr>
        <w:t>121</w:t>
      </w:r>
      <w:r>
        <w:rPr>
          <w:rFonts w:hint="eastAsia" w:ascii="仿宋_GB2312" w:eastAsia="仿宋_GB2312"/>
          <w:sz w:val="32"/>
          <w:szCs w:val="32"/>
        </w:rPr>
        <w:t>次，</w:t>
      </w:r>
      <w:r>
        <w:rPr>
          <w:rFonts w:hint="eastAsia" w:ascii="仿宋_GB2312" w:eastAsia="仿宋_GB2312"/>
          <w:sz w:val="32"/>
          <w:szCs w:val="32"/>
          <w:lang w:eastAsia="zh-CN"/>
        </w:rPr>
        <w:t>服务</w:t>
      </w:r>
      <w:r>
        <w:rPr>
          <w:rFonts w:hint="eastAsia" w:ascii="仿宋_GB2312" w:eastAsia="仿宋_GB2312"/>
          <w:sz w:val="32"/>
          <w:szCs w:val="32"/>
          <w:lang w:val="en-US" w:eastAsia="zh-CN"/>
        </w:rPr>
        <w:t>28669人次</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100.00%，分别超额完成协议指标量的63.51%、1319.26%；</w:t>
      </w:r>
      <w:r>
        <w:rPr>
          <w:rFonts w:hint="eastAsia" w:ascii="仿宋_GB2312" w:hAnsi="Times New Roman" w:eastAsia="仿宋_GB2312" w:cs="Times New Roman"/>
          <w:sz w:val="32"/>
          <w:szCs w:val="32"/>
          <w:lang w:val="en-US" w:eastAsia="zh-CN" w:bidi="zh-CN"/>
        </w:rPr>
        <w:t>培育老年志愿者队伍3支，</w:t>
      </w:r>
      <w:r>
        <w:rPr>
          <w:rFonts w:hint="eastAsia" w:ascii="仿宋_GB2312" w:eastAsia="仿宋_GB2312"/>
          <w:sz w:val="32"/>
          <w:szCs w:val="32"/>
        </w:rPr>
        <w:t>完成协议指标量</w:t>
      </w:r>
      <w:r>
        <w:rPr>
          <w:rFonts w:hint="eastAsia" w:ascii="仿宋_GB2312" w:eastAsia="仿宋_GB2312"/>
          <w:sz w:val="32"/>
          <w:szCs w:val="32"/>
          <w:lang w:val="en-US"/>
        </w:rPr>
        <w:t>的</w:t>
      </w:r>
      <w:r>
        <w:rPr>
          <w:rFonts w:hint="eastAsia" w:ascii="仿宋_GB2312" w:eastAsia="仿宋_GB2312"/>
          <w:sz w:val="32"/>
          <w:szCs w:val="32"/>
          <w:lang w:val="en-US" w:eastAsia="zh-CN"/>
        </w:rPr>
        <w:t>100.00%，超额完成协议指标量的50.00%</w:t>
      </w:r>
      <w:r>
        <w:rPr>
          <w:rFonts w:hint="eastAsia" w:ascii="仿宋_GB2312" w:hAnsi="Times New Roman" w:eastAsia="仿宋_GB2312" w:cs="Times New Roman"/>
          <w:sz w:val="32"/>
          <w:szCs w:val="32"/>
          <w:lang w:val="en-US" w:eastAsia="zh-CN" w:bidi="zh-CN"/>
        </w:rPr>
        <w:t>。（以上数据由社工站提供，各项目指标完成情况见附件1）。</w:t>
      </w:r>
    </w:p>
    <w:p w14:paraId="3AE0E6F6">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从以上数据可知，</w:t>
      </w:r>
      <w:r>
        <w:rPr>
          <w:rFonts w:hint="eastAsia" w:ascii="仿宋_GB2312" w:eastAsia="仿宋_GB2312"/>
          <w:sz w:val="32"/>
          <w:szCs w:val="32"/>
          <w:lang w:eastAsia="zh-CN"/>
        </w:rPr>
        <w:t>洛浦街</w:t>
      </w:r>
      <w:r>
        <w:rPr>
          <w:rFonts w:hint="eastAsia" w:ascii="仿宋_GB2312" w:eastAsia="仿宋_GB2312"/>
          <w:sz w:val="32"/>
          <w:szCs w:val="32"/>
        </w:rPr>
        <w:t>社工站服务指标完成情况良好，在服务进度方面整体把握到位。</w:t>
      </w:r>
    </w:p>
    <w:p w14:paraId="3A25FDFA">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lang w:eastAsia="zh-CN"/>
        </w:rPr>
        <w:t>（三）</w:t>
      </w:r>
      <w:r>
        <w:rPr>
          <w:rFonts w:hint="eastAsia" w:ascii="仿宋_GB2312" w:eastAsia="仿宋_GB2312"/>
          <w:b/>
          <w:sz w:val="32"/>
          <w:szCs w:val="32"/>
        </w:rPr>
        <w:t>项目运营管理</w:t>
      </w:r>
    </w:p>
    <w:p w14:paraId="16D34A8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通过与社工站主任、相关行政人员访谈，查阅相关资料等方式了解社工站运营管理情况，汇总成以下几点：</w:t>
      </w:r>
    </w:p>
    <w:p w14:paraId="1F2803C3">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b/>
          <w:sz w:val="32"/>
          <w:szCs w:val="32"/>
        </w:rPr>
      </w:pPr>
      <w:r>
        <w:rPr>
          <w:rFonts w:hint="eastAsia" w:ascii="仿宋_GB2312" w:eastAsia="仿宋_GB2312"/>
          <w:b/>
          <w:sz w:val="32"/>
          <w:szCs w:val="32"/>
        </w:rPr>
        <w:t>1.值得肯定的地方</w:t>
      </w:r>
    </w:p>
    <w:p w14:paraId="018AD35B">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bookmarkStart w:id="26" w:name="bookmark31"/>
      <w:bookmarkEnd w:id="26"/>
      <w:r>
        <w:rPr>
          <w:rFonts w:hint="eastAsia" w:ascii="仿宋_GB2312" w:eastAsia="仿宋_GB2312"/>
          <w:sz w:val="32"/>
          <w:szCs w:val="32"/>
          <w:lang w:val="en-US" w:eastAsia="zh-CN"/>
        </w:rPr>
        <w:t>（1）能按协议要求配备充足的社工。截至2026年7月31日，社工站项目共配备社工16人。社工应到192人次，实到202人次。持证社工应到96人次，实到130人次。从业三年以上社工16人，占协议社工总人数的100%。持续在岗16人，稳岗率100%。社工继续教育总时数达标。社工站副站长稳定在岗，自2010年开始至今一直从事社会服务，2012年取得中级社会工作职业水平证书，资质和资历符合要求。</w:t>
      </w:r>
    </w:p>
    <w:p w14:paraId="2069065C">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能及时优化服务管理制度，保障社工站日常运营管理。定期召开工作会议，推进社工站各项工作的落实；整理工作简报，定期向购买方汇报社工站工作，保持良好的沟通；按要求开展专业伦理价值规范和服务对象权益保障的学习、考核及评价；细化了服务质量内控制度，按制度落实服务内评，把握服务质量，针对中期评估建议优化了服务持续改进的制度内容并加以落实。</w:t>
      </w:r>
    </w:p>
    <w:p w14:paraId="45DA656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宣传效果较好。能按宣传计划落实相关工作，制作了宣传册、文创产品进行传播，产生较好的服务效应；能落点社区阵地进行外展宣传；定期更新服务公众号，发布服务资讯；曾多次获得省、市、区各级媒体的报道，宣传范围比较广；社工站代表曾在行业论坛分享项目经验，建立行业影响力。</w:t>
      </w:r>
    </w:p>
    <w:p w14:paraId="6B520FC7">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PMingLiU"/>
          <w:sz w:val="32"/>
          <w:szCs w:val="32"/>
        </w:rPr>
      </w:pPr>
      <w:r>
        <w:rPr>
          <w:rFonts w:hint="eastAsia" w:ascii="仿宋_GB2312" w:hAnsi="Times New Roman" w:eastAsia="仿宋_GB2312" w:cs="Times New Roman"/>
          <w:b/>
          <w:bCs/>
          <w:sz w:val="32"/>
          <w:szCs w:val="32"/>
        </w:rPr>
        <w:t>2</w:t>
      </w:r>
      <w:r>
        <w:rPr>
          <w:rFonts w:hint="eastAsia" w:ascii="仿宋_GB2312" w:eastAsia="仿宋_GB2312"/>
          <w:b/>
          <w:bCs/>
          <w:sz w:val="32"/>
          <w:szCs w:val="32"/>
        </w:rPr>
        <w:t>.需要关注的地方</w:t>
      </w:r>
      <w:bookmarkStart w:id="27" w:name="bookmark36"/>
      <w:bookmarkEnd w:id="27"/>
    </w:p>
    <w:p w14:paraId="45D116EF">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（1）持证社工10人，持证社工占比62.5%，未达到85%以上的要求。建议加强未持证社工的培养，从持证率及服务能力方面持续提升。</w:t>
      </w:r>
    </w:p>
    <w:p w14:paraId="1AFC0798">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服务规范内控仍需加强。尤其要重视智慧系统平台录入，查看系统发现，个案服务知情同意书和家庭结构图未上传；小组签到采用组员印章签到不够规范，小组开展情况未有组员表现记录；部分服务审批滞后；已经结束的服务仍显示“跟进中”，服务状态与实际情况不符；社工继续教育的记录出现集中录入的情况，培训记录过于简单，例如针对五十多学时的集中录入的继续教育培训记录的内容是“已完成学习”。建议根据要求撰写录入智慧系统平台服务记录，做到及时、准确、完整地规范记录。</w:t>
      </w:r>
    </w:p>
    <w:p w14:paraId="5D38CC35">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b/>
          <w:sz w:val="32"/>
          <w:szCs w:val="32"/>
          <w:highlight w:val="none"/>
        </w:rPr>
      </w:pPr>
      <w:r>
        <w:rPr>
          <w:rFonts w:hint="eastAsia" w:ascii="仿宋_GB2312" w:eastAsia="仿宋_GB2312"/>
          <w:b/>
          <w:sz w:val="32"/>
          <w:szCs w:val="32"/>
          <w:highlight w:val="none"/>
          <w:lang w:eastAsia="zh-CN"/>
        </w:rPr>
        <w:t>（四）</w:t>
      </w:r>
      <w:r>
        <w:rPr>
          <w:rFonts w:hint="eastAsia" w:ascii="仿宋_GB2312" w:eastAsia="仿宋_GB2312"/>
          <w:b/>
          <w:sz w:val="32"/>
          <w:szCs w:val="32"/>
          <w:highlight w:val="none"/>
        </w:rPr>
        <w:t>服务成效和服务监测情况</w:t>
      </w:r>
    </w:p>
    <w:p w14:paraId="1C793073">
      <w:pPr>
        <w:pStyle w:val="12"/>
        <w:keepNext w:val="0"/>
        <w:keepLines w:val="0"/>
        <w:pageBreakBefore w:val="0"/>
        <w:widowControl w:val="0"/>
        <w:kinsoku/>
        <w:wordWrap/>
        <w:overflowPunct/>
        <w:topLinePunct w:val="0"/>
        <w:autoSpaceDE/>
        <w:autoSpaceDN/>
        <w:bidi w:val="0"/>
        <w:adjustRightInd/>
        <w:snapToGrid/>
        <w:spacing w:after="8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153CA4A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经评委评估分析访谈情况和查阅项目调研、服务方案等各类服务工作痕迹记录资料，项目执行和成效总体情况有以下几方面值得肯定：</w:t>
      </w:r>
      <w:bookmarkStart w:id="28" w:name="bookmark40"/>
      <w:bookmarkEnd w:id="28"/>
    </w:p>
    <w:p w14:paraId="5F8EC44D">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服务整改基本到位。社工站通过检视服务整改机制，召开中期评估整改总结会议，确定整改完成时限等方式，落实整改计划。优化了服务框架，把站、片、点的定位和任务进行区分；针对“养老规划委托”项目，在介入视角、服务边界、项目名称等方面，强化了其在公益平台搭建，社区照顾模式创新，养老规划服务等方面的核心价值，严把公益服务与商业边界；完善了龙舟善行项目逻辑，将文创产品、绘梦之翼残疾人故事与洛浦IP打造等结合，值得肯定。</w:t>
      </w:r>
    </w:p>
    <w:p w14:paraId="127503B9">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党建引领兜底服务。全面贯彻“党建引领下加强多元化主体参与，整合社区资源，扩大困难群体的社会支持网络，协助困难群众和特殊群体解决急难愁盼问题”年度总目标，通过“红帆起航”计划，协助镇街开展党建服务18次、“1号”党建服务日10余场，组织党员志愿者服务困难群众和特殊群体，通过党支部合作开展微心愿活动9场，圆梦微心愿385个，满足困难群众和特殊群体需求。积极发挥“五社联动”模式，联动68个资源主体，执行“耆星照顾、童暖家助、爱星导航、全星港湾、龙舟善行”五大计划，聚焦“残疾人、困境长者、困境儿童”等兜底占比较高的人群服务，增强五社主体合作深度，夯实“一老一小一残”民生兜底保障。</w:t>
      </w:r>
    </w:p>
    <w:p w14:paraId="49929802">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项目推进多点开花。社工站项目围绕“养老和慈善”两条主线，持续深化“社区养老委托”项目，着力打造社区照顾典范，丰富“龙舟善行”内涵，厚植文化共融与公益同行成效。评估期内项目有52名独居或空巢老人使用养老规划委托服务资源，项目社工以“资源管家”的角色，整合形成了一个包括九大类51家服务资源全方位、多层次的养老资源库，实现全方位生活照顾和健康管理、10分钟内紧急救助，长者认可度高；依托龙舟文化“同舟共济”精神，借端午节庆契机，不断丰富“龙舟善行”项目内涵，由传统技艺能人+残疾人技艺骨干组成的专才志愿者队伍共同设计制作的一款龙舟文化周边产品义卖，共筹得善款552笔，金额18519.62元，“文化+慈善”创新服务项目成效初显，有数据支撑。与此同时，全年社区基金筹款完成超过306万元，成绩显著。</w:t>
      </w:r>
    </w:p>
    <w:p w14:paraId="00C4E929">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社区培育方面，社工站本年度联动了9个社区社会组织、11支志愿者队伍，培育了3支老年志愿者队伍，持续开展困难群众和特殊群体服务35场次，服务2078人次；服务评价方面，经问卷调查、电访等方式调查服务对象满意度共有102人参与，其中，71人满意度达95%以上，综合满意度较高。</w:t>
      </w:r>
    </w:p>
    <w:p w14:paraId="6AFAF128">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2</w:t>
      </w:r>
      <w:r>
        <w:rPr>
          <w:rFonts w:hint="eastAsia" w:ascii="仿宋_GB2312" w:eastAsia="仿宋_GB2312"/>
          <w:b/>
          <w:bCs/>
          <w:sz w:val="32"/>
          <w:szCs w:val="32"/>
        </w:rPr>
        <w:t>.需要关注的地方</w:t>
      </w:r>
    </w:p>
    <w:p w14:paraId="3A5D45BC">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经评委评估分析访谈情况和查阅项目调研、服务方案等各类服务工作痕迹记录资料，项目执行和成效总体情况有以下方面需关注：</w:t>
      </w:r>
      <w:bookmarkStart w:id="29" w:name="bookmark43"/>
      <w:bookmarkEnd w:id="29"/>
      <w:bookmarkStart w:id="30" w:name="bookmark45"/>
      <w:bookmarkEnd w:id="30"/>
      <w:bookmarkStart w:id="31" w:name="bookmark44"/>
      <w:bookmarkEnd w:id="31"/>
    </w:p>
    <w:p w14:paraId="55BB6366">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兼顾困难群众和特殊群体的个体服务。当前社工站项目在站、片两个层面都做了丰富的项目化打造，站层面“红帆起航、社区养老委托、龙舟善行、童暖家助”四大项目计划齐头并进，片层面“耆星照顾、爱星导航、全星港湾”三个人群服务各有特色，服务项目化势必造成稀缺服务资源的相对聚合，在一定程度上弱化了辖区庞大的困难群众和特殊群体个别化服务，建议适当整合站层面的项目，优化片层面向，聚焦困难群众和特殊群体的共性需求，开展基于问题解决的专项服务，在策略上可以打通专项服务计划片区之间界限，进一步平衡资源力量，夯实点层面困难群众和特殊群体个别化服务的覆盖面和受益面。</w:t>
      </w:r>
    </w:p>
    <w:p w14:paraId="0314871C">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优化特色亮点的介入视角。社工站策划开展的“养老规划委托”特色亮点项目，虽然在服务辖区广碧等社区空巢、独居、高龄长者养老需求方面做了工作，搭建“公益合伙人”平台，打造“4+3”社区照顾新范式，在提升社区养老服务的协同深度与整体效能方面做了积极探索与实践，同时也要思考稀缺公共资源投入的紧迫性、覆盖面和受益面，清晰社工介入养老服务的视角，以及与专项长者服务的边界。建议从社工视角做项目优化，从洛浦街道18个村居兜底长者综合考量服务对象的生存状况和需求，通过可复制的场景化服务，进一步拓宽兜底长者服务覆盖区域，满足多元化需求。</w:t>
      </w:r>
    </w:p>
    <w:p w14:paraId="500F8490">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强化项目之间的逻辑关联。从总体服务呈现方面来看，特色亮点、慈善创新和五社联动项目之间尚未形成相互支撑的融合关系，在一定程度上降低了社工站服务资源的整合效率。建议重新梳理三个项目之间的内在逻辑，积极建立项目关联，提高项目资源利用效率。策略上应该围绕“龙舟文化”与“公益慈善”热点，打造辖区热点IP，值得期待。此外，社区慈善资源链接在社区基金筹款效果和社会物资资源折合价值反差过大，希望引起重视。持续完善广州社工“红棉守护”热线后台服务记录。</w:t>
      </w:r>
    </w:p>
    <w:p w14:paraId="3534D74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eastAsia="仿宋_GB2312"/>
          <w:b/>
          <w:sz w:val="32"/>
          <w:szCs w:val="32"/>
        </w:rPr>
      </w:pPr>
      <w:r>
        <w:rPr>
          <w:rFonts w:hint="eastAsia" w:ascii="仿宋_GB2312" w:eastAsia="仿宋_GB2312"/>
          <w:b/>
          <w:sz w:val="32"/>
          <w:szCs w:val="32"/>
          <w:lang w:eastAsia="zh-CN"/>
        </w:rPr>
        <w:t>（五）</w:t>
      </w:r>
      <w:r>
        <w:rPr>
          <w:rFonts w:hint="eastAsia" w:ascii="仿宋_GB2312" w:eastAsia="仿宋_GB2312"/>
          <w:b/>
          <w:sz w:val="32"/>
          <w:szCs w:val="32"/>
        </w:rPr>
        <w:t>服务质量情况</w:t>
      </w:r>
    </w:p>
    <w:p w14:paraId="33DE33F0">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b/>
          <w:sz w:val="32"/>
          <w:szCs w:val="32"/>
          <w:lang w:val="en-US" w:eastAsia="zh-CN"/>
        </w:rPr>
      </w:pPr>
      <w:r>
        <w:rPr>
          <w:rFonts w:hint="eastAsia" w:ascii="仿宋_GB2312" w:eastAsia="仿宋_GB2312"/>
          <w:b/>
          <w:sz w:val="32"/>
          <w:szCs w:val="32"/>
          <w:lang w:val="en-US" w:eastAsia="zh-CN"/>
        </w:rPr>
        <w:t>东西片区：沙溪村、厦滘村、上漖村、洛溪村、东乡村、西一村、西二村、西三村</w:t>
      </w:r>
    </w:p>
    <w:p w14:paraId="4E641B43">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2C9DA66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经评委评估分析访谈情况和查阅项目调研、服务方案等各类服务工作痕迹记录资料，项目执行和成效总体情况有以下几方面值得肯定：</w:t>
      </w:r>
    </w:p>
    <w:p w14:paraId="64B75A67">
      <w:pPr>
        <w:pStyle w:val="12"/>
        <w:keepNext w:val="0"/>
        <w:keepLines w:val="0"/>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eastAsia="zh-CN"/>
        </w:rPr>
      </w:pPr>
      <w:bookmarkStart w:id="32" w:name="bookmark47"/>
      <w:bookmarkEnd w:id="32"/>
      <w:bookmarkStart w:id="33" w:name="bookmark48"/>
      <w:bookmarkEnd w:id="33"/>
      <w:bookmarkStart w:id="34" w:name="bookmark46"/>
      <w:bookmarkEnd w:id="34"/>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）东西</w:t>
      </w:r>
      <w:r>
        <w:rPr>
          <w:rFonts w:hint="eastAsia" w:ascii="仿宋_GB2312" w:eastAsia="仿宋_GB2312"/>
          <w:sz w:val="32"/>
          <w:szCs w:val="32"/>
          <w:lang w:val="en-US" w:eastAsia="zh-CN"/>
        </w:rPr>
        <w:t>片区</w:t>
      </w:r>
      <w:r>
        <w:rPr>
          <w:rFonts w:hint="eastAsia" w:ascii="仿宋_GB2312" w:eastAsia="仿宋_GB2312"/>
          <w:sz w:val="32"/>
          <w:szCs w:val="32"/>
          <w:lang w:eastAsia="zh-CN"/>
        </w:rPr>
        <w:t>社工本年度指标完成情况良好，所有指标均100%完成。片区应建档579户640人，实际建档579户640人，建档覆盖率达100%，各级服务对象的服务频次能按评估要求完成。开启个案21个，小组7个，社区活动26个，各项专业服务能按照专业流程开展，服务资料比较完整齐全。另外，片区社工有跟进中期评估意见进行整改，进一步明确年度计划中不同板块服务的具体产出。</w:t>
      </w:r>
    </w:p>
    <w:p w14:paraId="46C1B80E">
      <w:pPr>
        <w:pStyle w:val="12"/>
        <w:keepNext w:val="0"/>
        <w:keepLines w:val="0"/>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）东西</w:t>
      </w:r>
      <w:r>
        <w:rPr>
          <w:rFonts w:hint="eastAsia" w:ascii="仿宋_GB2312" w:eastAsia="仿宋_GB2312"/>
          <w:sz w:val="32"/>
          <w:szCs w:val="32"/>
          <w:lang w:val="en-US" w:eastAsia="zh-CN"/>
        </w:rPr>
        <w:t>片区</w:t>
      </w:r>
      <w:r>
        <w:rPr>
          <w:rFonts w:hint="eastAsia" w:ascii="仿宋_GB2312" w:eastAsia="仿宋_GB2312"/>
          <w:sz w:val="32"/>
          <w:szCs w:val="32"/>
          <w:lang w:eastAsia="zh-CN"/>
        </w:rPr>
        <w:t>社工本年度联动村委、社区慈善基金及志愿者，系统实施“龙舟善行”龙舟文化+慈善计划，覆盖6个村开展义卖，全年筹款近2万元，其中下半年逾1.85万元，善款募集成效良好。片区初步试行“龙舟善行”与“微愿望计划”联动，规划将善款反哺于龙舟文化推广、项目可持续发展及兜底对象微愿望实现，尝试建构“文化传承+公益慈善+精准帮扶”的融合模式，为社区公益与专业服务深度结合提供有益探索。</w:t>
      </w:r>
    </w:p>
    <w:p w14:paraId="32F71255">
      <w:pPr>
        <w:pStyle w:val="12"/>
        <w:keepNext w:val="0"/>
        <w:keepLines w:val="0"/>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东西片社工在聋哑孤寡老人危房修缮个案中展现出良好的专业素养。面对沟通障碍与服务对象长期抵触的情况，社工通过耐心的陪伴实现与服务对象关系破冰，用非语言行动建立信任，并坚守自决原则通过具象化风险沟通促成服务对象自主决策。</w:t>
      </w:r>
      <w:r>
        <w:rPr>
          <w:rFonts w:hint="eastAsia" w:ascii="仿宋_GB2312" w:eastAsia="仿宋_GB2312"/>
          <w:sz w:val="32"/>
          <w:szCs w:val="32"/>
          <w:lang w:val="en-US" w:eastAsia="zh-CN"/>
        </w:rPr>
        <w:t>针对</w:t>
      </w:r>
      <w:r>
        <w:rPr>
          <w:rFonts w:hint="eastAsia" w:ascii="仿宋_GB2312" w:eastAsia="仿宋_GB2312"/>
          <w:sz w:val="32"/>
          <w:szCs w:val="32"/>
          <w:lang w:eastAsia="zh-CN"/>
        </w:rPr>
        <w:t>资金梗阻</w:t>
      </w:r>
      <w:r>
        <w:rPr>
          <w:rFonts w:hint="eastAsia" w:ascii="仿宋_GB2312" w:eastAsia="仿宋_GB2312"/>
          <w:sz w:val="32"/>
          <w:szCs w:val="32"/>
          <w:lang w:val="en-US" w:eastAsia="zh-CN"/>
        </w:rPr>
        <w:t>问题</w:t>
      </w:r>
      <w:r>
        <w:rPr>
          <w:rFonts w:hint="eastAsia" w:ascii="仿宋_GB2312" w:eastAsia="仿宋_GB2312"/>
          <w:sz w:val="32"/>
          <w:szCs w:val="32"/>
          <w:lang w:eastAsia="zh-CN"/>
        </w:rPr>
        <w:t>，社工联动住建、法律、村委多方力量，厘清权责边界，有效纠正亲属认知偏差，推动资金回归保障本位。服务有效化解房屋坍塌危机，更加注重生活适应与长效机制建设，服务成效良好。</w:t>
      </w:r>
    </w:p>
    <w:p w14:paraId="532B294B">
      <w:pPr>
        <w:pStyle w:val="12"/>
        <w:keepNext w:val="0"/>
        <w:keepLines w:val="0"/>
        <w:pageBreakBefore w:val="0"/>
        <w:widowControl w:val="0"/>
        <w:kinsoku/>
        <w:wordWrap/>
        <w:overflowPunct/>
        <w:topLinePunct w:val="0"/>
        <w:autoSpaceDE/>
        <w:autoSpaceDN/>
        <w:bidi w:val="0"/>
        <w:adjustRightInd/>
        <w:snapToGrid/>
        <w:spacing w:after="8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lang w:val="zh-CN" w:eastAsia="zh-CN" w:bidi="zh-CN"/>
        </w:rPr>
        <w:t>2</w:t>
      </w:r>
      <w:r>
        <w:rPr>
          <w:rFonts w:hint="eastAsia" w:ascii="仿宋_GB2312" w:eastAsia="仿宋_GB2312"/>
          <w:b/>
          <w:bCs/>
          <w:sz w:val="32"/>
          <w:szCs w:val="32"/>
        </w:rPr>
        <w:t>.需要关注的地方</w:t>
      </w:r>
    </w:p>
    <w:p w14:paraId="6DF88B9B">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PMingLiU"/>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经评委评估分析访谈情况和查阅项目调研、服务方案等各类服务工作痕迹记录资料，项目执行和成效总体情况有以下几方面需关注：</w:t>
      </w:r>
    </w:p>
    <w:p w14:paraId="3B8FBADF">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东西片的三图绘制需进一步优化表达，以更好发挥其对社区情况反映的动态性功能。目前各社工点三图画法与格式存在差异，建议统一绘制标准，规范图例和标注方式，并重点标记社区问题及发生所在地，增强可视化与实用性。</w:t>
      </w:r>
    </w:p>
    <w:p w14:paraId="6F6640FD">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在专业服务开展方面，需要注意：一是社工需提升对困难群众和特殊群体在专业服务中的观察与关注，具体描述其参与和互动情况，改变现在记录空白或者记录笼统的情况。如在“舟承匠心，向阳而生”小组中，社工在某个小组有提及2名组员学习较慢、1名较快，但未明确是哪名组员因何原因进展缓慢，不利于梳理个体在组内的成长轨迹与服务成效提炼。建议在过程记录中补充个别化的组员表现，为后续精准跟进和成效评估提供依据。二是部分社区活动显示困难群众和特殊群体参与偏少，社工需要强化社区活动设计与民政服务对象需求的适配性，注重邀约组织，实现困境群体的社区融入，社工还需要注意做好困难群众和特殊群体的参与关联与记录工作。</w:t>
      </w:r>
    </w:p>
    <w:p w14:paraId="014080AB">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3）档案记录规范性有待提升。抽查发现部分服务需求描述与分析过于笼统，虽有社工表示个案跟进中有详细记录，但建档资料仍建议同步完善，避免信息断层；另存在需求、目标栏空白漏填的情况，独居孤寡长者紧急联系人及联系方式空缺，电访记录仅注明“无人接听”而无后续跟进说明。建议社工站加强档案填写审核。     </w:t>
      </w:r>
    </w:p>
    <w:p w14:paraId="48ED46DE">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发展性建议：东西片本年度民生政策宣传全年开展34次、服务2582人次，虽有图文简报与年度总结，但因执行社工、服务形式及覆盖群体各异，实际成效与经验反馈各有不同。建议社工优化台账管理，强化过程记录，尤其注重收集服务对象对政策条款的理解难点、申请过程中的疑惑与障碍，并按群体或政策类型进行归纳分析，从而为后续精准宣传、内容优化提供依据，切实提升政策宣传的针对性与转化实效。</w:t>
      </w:r>
    </w:p>
    <w:p w14:paraId="464FFA4F">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六社片区：珠江社区、广奥社区、和悦社区、洛湖社区、洛涛南社区、洛城社区</w:t>
      </w:r>
    </w:p>
    <w:p w14:paraId="0BEB5FC7">
      <w:pPr>
        <w:pStyle w:val="1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768F2E92">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经评委评估分析访谈情况和查阅项目调研、服务方案等各类服务工作痕迹记录资料，项目执行和成效总体情况有以下几方面值得肯定：</w:t>
      </w:r>
    </w:p>
    <w:p w14:paraId="47C2848B">
      <w:pPr>
        <w:pStyle w:val="12"/>
        <w:keepNext w:val="0"/>
        <w:keepLines w:val="0"/>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1）片区社工团队完成困难群众和特殊群体100%建档工作（应建已建351户385人），能够按照社工站相关服务规范与指引完成各项规定的服务指标：本项目年度共计探访622人次，电访/微信等其他形式服务2144人次。共完成个案接案12个，跟进69个，结案12个，指标完成量为100％。完成小组4个，共20节，共服务235人次，指标完成量为188%。完成社区活动45场，完成6场民生政策宣传活动，共服务15900人次。根据相关机制较好地做好跟踪回访等工作。</w:t>
      </w:r>
    </w:p>
    <w:p w14:paraId="54218CBA">
      <w:pPr>
        <w:pStyle w:val="12"/>
        <w:keepNext w:val="0"/>
        <w:keepLines w:val="0"/>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片区综合采用文献资料法、个别访谈法、问卷调查法，从政策宣传、资源链接、社交、情感支持等主要维度分析困难群众和特殊群体需求的轻重缓急情况，同时也对党建工作和社区慈善需求进行了调研，为年度服务计划的制定奠定了扎实的需求基础。年度计划与需求分析报告能够较好地对应，具有一定逻辑性、可行性。</w:t>
      </w:r>
    </w:p>
    <w:p w14:paraId="4BAAD405">
      <w:pPr>
        <w:pStyle w:val="12"/>
        <w:keepNext w:val="0"/>
        <w:keepLines w:val="0"/>
        <w:pageBreakBefore w:val="0"/>
        <w:widowControl w:val="0"/>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片区社工在党建引领下，联动各类资源主体，链接资源折合价值约37414.92元，共实现43个微心愿。片区的专业服务具有一定的专业性，取得了不错的成效，如围绕事实无人抚养儿童谢某心理疏导和学业赋能进行介入，使其焦虑情绪得到舒缓，学习状态得到提升。有个别个案还写成了案例，如《从黑暗到曙光：家暴危机与重生》。</w:t>
      </w:r>
    </w:p>
    <w:p w14:paraId="454E3F79">
      <w:pPr>
        <w:pStyle w:val="12"/>
        <w:keepNext w:val="0"/>
        <w:keepLines w:val="0"/>
        <w:pageBreakBefore w:val="0"/>
        <w:widowControl w:val="0"/>
        <w:kinsoku/>
        <w:wordWrap/>
        <w:overflowPunct/>
        <w:topLinePunct w:val="0"/>
        <w:autoSpaceDE/>
        <w:autoSpaceDN/>
        <w:bidi w:val="0"/>
        <w:adjustRightInd/>
        <w:snapToGrid/>
        <w:spacing w:after="80" w:line="560" w:lineRule="exact"/>
        <w:ind w:firstLine="643" w:firstLineChars="200"/>
        <w:jc w:val="both"/>
        <w:textAlignment w:val="auto"/>
        <w:rPr>
          <w:rFonts w:ascii="仿宋_GB2312" w:eastAsia="仿宋_GB2312"/>
          <w:sz w:val="32"/>
          <w:szCs w:val="32"/>
        </w:rPr>
      </w:pPr>
      <w:r>
        <w:rPr>
          <w:rFonts w:hint="eastAsia" w:ascii="仿宋_GB2312" w:hAnsi="Times New Roman" w:eastAsia="仿宋_GB2312" w:cs="Times New Roman"/>
          <w:b/>
          <w:bCs/>
          <w:sz w:val="32"/>
          <w:szCs w:val="32"/>
          <w:lang w:val="zh-CN" w:eastAsia="zh-CN" w:bidi="zh-CN"/>
        </w:rPr>
        <w:t>2</w:t>
      </w:r>
      <w:r>
        <w:rPr>
          <w:rFonts w:hint="eastAsia" w:ascii="仿宋_GB2312" w:eastAsia="仿宋_GB2312"/>
          <w:b/>
          <w:bCs/>
          <w:sz w:val="32"/>
          <w:szCs w:val="32"/>
        </w:rPr>
        <w:t>.需要关注的地方</w:t>
      </w:r>
    </w:p>
    <w:p w14:paraId="064ABBF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PMingLiU"/>
          <w:sz w:val="32"/>
          <w:szCs w:val="32"/>
        </w:rPr>
      </w:pPr>
      <w:r>
        <w:rPr>
          <w:rFonts w:hint="eastAsia" w:ascii="仿宋_GB2312" w:eastAsia="仿宋_GB2312"/>
          <w:sz w:val="32"/>
          <w:szCs w:val="32"/>
        </w:rPr>
        <w:t>经评委评估分析访谈情况和查阅项目调研、服务方案等各类服务工作痕迹记录资料，项目执行和成效总体情况有以下几方面需关注：</w:t>
      </w:r>
    </w:p>
    <w:p w14:paraId="17C38442">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val="en-US" w:eastAsia="zh-CN"/>
        </w:rPr>
      </w:pPr>
      <w:bookmarkStart w:id="35" w:name="bookmark57"/>
      <w:bookmarkEnd w:id="35"/>
      <w:r>
        <w:rPr>
          <w:rFonts w:hint="eastAsia" w:ascii="仿宋_GB2312" w:eastAsia="仿宋_GB2312"/>
          <w:sz w:val="32"/>
          <w:szCs w:val="32"/>
          <w:lang w:val="en-US" w:eastAsia="zh-CN"/>
        </w:rPr>
        <w:t>（1）文书记录的规范性、严谨性、专业性需要加强。在家庭信息汇总表的服务需求的内容填写上，服务需求一栏的内容只写了需求关键词（“社交类需求”“社会融入需求”“资源链接需求”“综合服务需求”“能力提升”“社会支持”等），没有具体的内容阐述。建议服务需求分析的需求关键词要加具体情况说明；探访记录的过程描述比较简单，建议更细致地描述下探访的过程和结果，如探访的情境、观察、互动、介入和结果；活动记录部分内容同质化：如2026年6月13日“和悦社区开展关爱困境儿童志愿活动”12名服务对象的参与情况都写着：“社工组织志愿者上门探访，送上端午节慰问物资。同时咨询服务对象有什么困难需要帮忙，服务对象表示没有，感谢社工和居委的关心。你们能来探望我就很满足了”。建议参与情况内容体现差异性；小组工作记录需要突出组员的参与情况及成长：如银龄志愿者培训小组的工作报告没有呈现10位志愿者组员的参与和成长情况。</w:t>
      </w:r>
    </w:p>
    <w:p w14:paraId="29FD5F72">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探访服务的质量还有待加强，探访过程要更加注重针对性和专业性元素。目前的探访内容比较简单、浅层，主要为日常生活的嘘寒问暖和温馨提醒类的谈话，或生活协助类的帮助，如2026年7月28日针对三级服务对象、独居老人夏某的一次入户探访，记录只写了：“社工探访访问对象了解服务对象情况，服务对象情况良好但是慢性病药物已快没了委托社工协助开药社工随后为服务对象到社区医院领取药物”。建议加强探访工作“一人一案”专业介入的意识及针对性。</w:t>
      </w:r>
    </w:p>
    <w:p w14:paraId="039AEFBF">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（3）问题需求分析缺乏成因分析。目前调研报告呈现的需求只是将需求的表现和要点进行了选项统计式的归纳，并没有分析导致每个问题需求的成因，建议下一步完善。</w:t>
      </w:r>
    </w:p>
    <w:p w14:paraId="12E22D58">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3" w:firstLineChars="200"/>
        <w:jc w:val="both"/>
        <w:textAlignment w:val="auto"/>
        <w:rPr>
          <w:rFonts w:hint="eastAsia" w:ascii="仿宋_GB2312" w:eastAsia="仿宋_GB2312"/>
          <w:b/>
          <w:sz w:val="32"/>
          <w:szCs w:val="32"/>
          <w:lang w:eastAsia="zh-CN"/>
        </w:rPr>
      </w:pPr>
      <w:r>
        <w:rPr>
          <w:rFonts w:hint="eastAsia" w:ascii="仿宋_GB2312" w:eastAsia="仿宋_GB2312"/>
          <w:b/>
          <w:sz w:val="32"/>
          <w:szCs w:val="32"/>
          <w:lang w:eastAsia="zh-CN"/>
        </w:rPr>
        <w:t>丽锦片区：丽江社区、广碧社区、锦绣半岛社区、桔树村</w:t>
      </w:r>
    </w:p>
    <w:p w14:paraId="3F24D22A">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3" w:firstLineChars="200"/>
        <w:jc w:val="both"/>
        <w:textAlignment w:val="auto"/>
        <w:rPr>
          <w:rFonts w:ascii="仿宋_GB2312" w:eastAsia="仿宋_GB2312"/>
          <w:sz w:val="32"/>
          <w:szCs w:val="32"/>
        </w:rPr>
      </w:pPr>
      <w:r>
        <w:rPr>
          <w:rFonts w:hint="eastAsia" w:ascii="仿宋_GB2312" w:eastAsia="仿宋_GB2312"/>
          <w:b/>
          <w:bCs/>
          <w:sz w:val="32"/>
          <w:szCs w:val="32"/>
          <w:lang w:val="en-US" w:eastAsia="zh-CN"/>
        </w:rPr>
        <w:t>1.</w:t>
      </w:r>
      <w:r>
        <w:rPr>
          <w:rFonts w:hint="eastAsia" w:ascii="仿宋_GB2312" w:eastAsia="仿宋_GB2312"/>
          <w:b/>
          <w:bCs/>
          <w:sz w:val="32"/>
          <w:szCs w:val="32"/>
        </w:rPr>
        <w:t>值得肯定的地方</w:t>
      </w:r>
    </w:p>
    <w:p w14:paraId="57B111FD">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w:t>
      </w:r>
      <w:r>
        <w:rPr>
          <w:rFonts w:hint="eastAsia" w:ascii="仿宋_GB2312" w:eastAsia="仿宋_GB2312"/>
          <w:sz w:val="32"/>
          <w:szCs w:val="32"/>
          <w:lang w:eastAsia="zh-CN"/>
        </w:rPr>
        <w:t>服务方案</w:t>
      </w:r>
      <w:r>
        <w:rPr>
          <w:rFonts w:hint="eastAsia" w:ascii="仿宋_GB2312" w:eastAsia="仿宋_GB2312"/>
          <w:sz w:val="32"/>
          <w:szCs w:val="32"/>
        </w:rPr>
        <w:t>等各类服务工作痕迹记录资料，该项</w:t>
      </w:r>
      <w:r>
        <w:rPr>
          <w:rFonts w:hint="eastAsia" w:ascii="仿宋_GB2312" w:eastAsia="仿宋_GB2312"/>
          <w:sz w:val="32"/>
          <w:szCs w:val="32"/>
          <w:lang w:eastAsia="zh-CN"/>
        </w:rPr>
        <w:t>目在</w:t>
      </w:r>
      <w:r>
        <w:rPr>
          <w:rFonts w:hint="eastAsia" w:ascii="仿宋_GB2312" w:eastAsia="仿宋_GB2312"/>
          <w:sz w:val="32"/>
          <w:szCs w:val="32"/>
        </w:rPr>
        <w:t>以下几方面值得肯定：</w:t>
      </w:r>
      <w:bookmarkStart w:id="36" w:name="bookmark58"/>
      <w:bookmarkEnd w:id="36"/>
      <w:bookmarkStart w:id="37" w:name="bookmark59"/>
      <w:bookmarkEnd w:id="37"/>
    </w:p>
    <w:p w14:paraId="3B751765">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eastAsia="zh-CN"/>
        </w:rPr>
      </w:pPr>
      <w:bookmarkStart w:id="38" w:name="bookmark60"/>
      <w:bookmarkEnd w:id="38"/>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片区社工团队完成困难群众和特殊群体百分百建档工作（应建已建建档240户265人），能够按照社工站相关服务规范与指引完成各项规定的服务指标：本项目年度共计探访服务792人次，电访1464人次。共完成个案接案10个，跟进52节，结案10个，指标完成量为 111.11 %；完成小组4个，20节，共服务163人次，指标完成量为133.33%；完成社区活动50场，共服务5058人次，指标完成量为333.33%。根据相关机制较好地做好跟踪回访等工作。个案、小组、社区等各类专业文书书写规范、详细、专业。</w:t>
      </w:r>
    </w:p>
    <w:p w14:paraId="43DEBF8A">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片区综合定性和定量研究方法，通过个别访谈法、资料查阅法、问卷调查等方式开展片区的服务需求调研，从兜底性、基础性和普惠性三个层次归纳民生服务需求，为年度服务计划的制定奠定了扎实的需求基础。年度计划与需求分析报告能够较好地对应，具有一定逻辑性、可行性。</w:t>
      </w:r>
    </w:p>
    <w:p w14:paraId="19E53CBD">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）片区社工在党建引领下，积极联动各类资源主体，链接资源折合价值约48859.38 元。共收集并成功实现微心愿34个，10场民生兜底政策宣传活动，协助10户困难家庭申报落实残疾补贴、医疗救助、慈善助学金等各类惠民福利。片区的专业服务具有一定的专业性，取得了不错的成效，如围绕重度残疾人烫伤及家人指责导致的焦虑进行介入，使其焦虑情绪得到缓解，伤口得到适当的护理；有针对ADHD孩子情绪及教育问题、亲子及家校关系调适等问题的介入，取得较好成效。有个别个案还写成了案例，如《多方协同化解ADHD儿童就学危机家庭个案》</w:t>
      </w:r>
      <w:r>
        <w:rPr>
          <w:rFonts w:hint="eastAsia" w:ascii="仿宋_GB2312" w:eastAsia="仿宋_GB2312"/>
          <w:sz w:val="32"/>
          <w:szCs w:val="32"/>
          <w:lang w:val="en-US" w:eastAsia="zh-CN"/>
        </w:rPr>
        <w:t>等</w:t>
      </w:r>
      <w:r>
        <w:rPr>
          <w:rFonts w:hint="eastAsia" w:ascii="仿宋_GB2312" w:eastAsia="仿宋_GB2312"/>
          <w:sz w:val="32"/>
          <w:szCs w:val="32"/>
          <w:lang w:eastAsia="zh-CN"/>
        </w:rPr>
        <w:t>。</w:t>
      </w:r>
    </w:p>
    <w:p w14:paraId="1DCCFE24">
      <w:pPr>
        <w:pStyle w:val="12"/>
        <w:keepNext w:val="0"/>
        <w:keepLines w:val="0"/>
        <w:pageBreakBefore w:val="0"/>
        <w:widowControl w:val="0"/>
        <w:tabs>
          <w:tab w:val="left" w:pos="972"/>
        </w:tabs>
        <w:kinsoku/>
        <w:wordWrap/>
        <w:overflowPunct/>
        <w:topLinePunct w:val="0"/>
        <w:autoSpaceDE/>
        <w:autoSpaceDN/>
        <w:bidi w:val="0"/>
        <w:adjustRightInd/>
        <w:snapToGrid/>
        <w:spacing w:after="80" w:line="560" w:lineRule="exact"/>
        <w:ind w:firstLine="643" w:firstLineChars="200"/>
        <w:jc w:val="both"/>
        <w:textAlignment w:val="auto"/>
        <w:rPr>
          <w:rFonts w:ascii="仿宋_GB2312" w:eastAsia="仿宋_GB2312"/>
          <w:b/>
          <w:bCs/>
          <w:sz w:val="32"/>
          <w:szCs w:val="32"/>
        </w:rPr>
      </w:pPr>
      <w:r>
        <w:rPr>
          <w:rFonts w:hint="eastAsia" w:ascii="仿宋_GB2312" w:eastAsia="仿宋_GB2312"/>
          <w:b/>
          <w:bCs/>
          <w:sz w:val="32"/>
          <w:szCs w:val="32"/>
          <w:lang w:val="en-US" w:eastAsia="zh-CN"/>
        </w:rPr>
        <w:t>2.</w:t>
      </w:r>
      <w:r>
        <w:rPr>
          <w:rFonts w:hint="eastAsia" w:ascii="仿宋_GB2312" w:eastAsia="仿宋_GB2312"/>
          <w:b/>
          <w:bCs/>
          <w:sz w:val="32"/>
          <w:szCs w:val="32"/>
        </w:rPr>
        <w:t>需要关注的地方</w:t>
      </w:r>
    </w:p>
    <w:p w14:paraId="1CD89642">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经评委评估分析访谈情况和查阅项目调研、</w:t>
      </w:r>
      <w:r>
        <w:rPr>
          <w:rFonts w:hint="eastAsia" w:ascii="仿宋_GB2312" w:eastAsia="仿宋_GB2312"/>
          <w:sz w:val="32"/>
          <w:szCs w:val="32"/>
          <w:lang w:eastAsia="zh-CN"/>
        </w:rPr>
        <w:t>服务方案</w:t>
      </w:r>
      <w:r>
        <w:rPr>
          <w:rFonts w:hint="eastAsia" w:ascii="仿宋_GB2312" w:eastAsia="仿宋_GB2312"/>
          <w:sz w:val="32"/>
          <w:szCs w:val="32"/>
        </w:rPr>
        <w:t>等各类服务工作痕迹记录资料，该项目以下几方面需关注：</w:t>
      </w:r>
    </w:p>
    <w:p w14:paraId="45DD292D">
      <w:pPr>
        <w:pStyle w:val="12"/>
        <w:keepNext w:val="0"/>
        <w:keepLines w:val="0"/>
        <w:pageBreakBefore w:val="0"/>
        <w:widowControl w:val="0"/>
        <w:numPr>
          <w:ilvl w:val="0"/>
          <w:numId w:val="0"/>
        </w:numPr>
        <w:kinsoku/>
        <w:wordWrap/>
        <w:overflowPunct/>
        <w:topLinePunct w:val="0"/>
        <w:autoSpaceDE/>
        <w:autoSpaceDN/>
        <w:bidi w:val="0"/>
        <w:adjustRightInd/>
        <w:snapToGrid/>
        <w:spacing w:after="60" w:line="560" w:lineRule="exact"/>
        <w:ind w:firstLine="640" w:firstLineChars="200"/>
        <w:jc w:val="both"/>
        <w:textAlignment w:val="auto"/>
        <w:rPr>
          <w:rFonts w:hint="eastAsia" w:ascii="仿宋_GB2312" w:eastAsia="仿宋_GB2312"/>
          <w:sz w:val="32"/>
          <w:szCs w:val="32"/>
          <w:lang w:eastAsia="zh-CN"/>
        </w:rPr>
      </w:pPr>
      <w:bookmarkStart w:id="39" w:name="bookmark62"/>
      <w:bookmarkEnd w:id="39"/>
      <w:bookmarkStart w:id="40" w:name="bookmark61"/>
      <w:bookmarkEnd w:id="40"/>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问题需求分析缺乏成因分析。目前调研报告呈现的需求只是将需求的表现和要点进行了选项统计式的归纳，并没有分析导致每个问题需求的成因，建议下一步完善。社区资源地图和社区问题地图需要进一步精细化。资源地图标注的资源类型单一（多为建筑物或单位），缺乏“人、文”类可利用性更高的资源发掘和呈现，例如社区社会组织、文化达人、热心公益人士、乡贤、社区骨干、优秀传统文化及习俗等。社区问题地图的问题不够明确具体。建议在社区问题界定时要区分社区现象、社区问题、社区需求和社区问题成因，同时需要注意区分哪些问题是跟社工站的主责主业相关的社区问题，社区问题的界定要围绕困难群众和特殊群体在社区里所碰到的“急、难、愁、盼”的共性情形来进行。在地图上标注资源和问题所在的位置要清晰。</w:t>
      </w:r>
    </w:p>
    <w:p w14:paraId="4BDECBAB">
      <w:pPr>
        <w:pStyle w:val="12"/>
        <w:keepNext w:val="0"/>
        <w:keepLines w:val="0"/>
        <w:pageBreakBefore w:val="0"/>
        <w:widowControl w:val="0"/>
        <w:numPr>
          <w:ilvl w:val="0"/>
          <w:numId w:val="0"/>
        </w:numPr>
        <w:kinsoku/>
        <w:wordWrap/>
        <w:overflowPunct/>
        <w:topLinePunct w:val="0"/>
        <w:autoSpaceDE/>
        <w:autoSpaceDN/>
        <w:bidi w:val="0"/>
        <w:adjustRightInd/>
        <w:snapToGrid/>
        <w:spacing w:after="6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家庭信息汇总表的撰写规范：在家庭信息汇总表的服务需求的内容填写上，服务需求一栏的内容只写了需求关键词（“健康维护”“经济需求”“物资帮扶”“情感支持”“情感陪伴”“精神慰藉”“社会支持”“社区融入”等），没有具体的情况阐述。建议服务需求分析的需求关键词要加具体情况说明。</w:t>
      </w:r>
    </w:p>
    <w:p w14:paraId="17F714CC">
      <w:pPr>
        <w:pStyle w:val="12"/>
        <w:keepNext w:val="0"/>
        <w:keepLines w:val="0"/>
        <w:pageBreakBefore w:val="0"/>
        <w:widowControl w:val="0"/>
        <w:numPr>
          <w:ilvl w:val="0"/>
          <w:numId w:val="0"/>
        </w:numPr>
        <w:kinsoku/>
        <w:wordWrap/>
        <w:overflowPunct/>
        <w:topLinePunct w:val="0"/>
        <w:autoSpaceDE/>
        <w:autoSpaceDN/>
        <w:bidi w:val="0"/>
        <w:adjustRightInd/>
        <w:snapToGrid/>
        <w:spacing w:after="6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）探访服务的质量还有待加强，探访过程记录需要更细致地描述探访的过程和结果，如探访的情境、观察、互动、介入和结果。</w:t>
      </w:r>
    </w:p>
    <w:p w14:paraId="0D990B94">
      <w:pPr>
        <w:pStyle w:val="12"/>
        <w:keepNext w:val="0"/>
        <w:keepLines w:val="0"/>
        <w:pageBreakBefore w:val="0"/>
        <w:widowControl w:val="0"/>
        <w:numPr>
          <w:ilvl w:val="0"/>
          <w:numId w:val="0"/>
        </w:numPr>
        <w:kinsoku/>
        <w:wordWrap/>
        <w:overflowPunct/>
        <w:topLinePunct w:val="0"/>
        <w:autoSpaceDE/>
        <w:autoSpaceDN/>
        <w:bidi w:val="0"/>
        <w:adjustRightInd/>
        <w:snapToGrid/>
        <w:spacing w:after="60" w:line="560" w:lineRule="exact"/>
        <w:ind w:leftChars="200"/>
        <w:jc w:val="both"/>
        <w:textAlignment w:val="auto"/>
        <w:rPr>
          <w:rFonts w:hint="eastAsia" w:ascii="仿宋_GB2312" w:eastAsia="仿宋_GB2312"/>
          <w:b/>
          <w:color w:val="auto"/>
          <w:sz w:val="32"/>
          <w:szCs w:val="32"/>
        </w:rPr>
      </w:pPr>
      <w:r>
        <w:rPr>
          <w:rFonts w:hint="eastAsia" w:ascii="仿宋_GB2312" w:eastAsia="仿宋_GB2312"/>
          <w:b/>
          <w:color w:val="auto"/>
          <w:sz w:val="32"/>
          <w:szCs w:val="32"/>
        </w:rPr>
        <w:t>（六）购买方反馈情况</w:t>
      </w:r>
    </w:p>
    <w:p w14:paraId="08CD42AA">
      <w:pPr>
        <w:pStyle w:val="12"/>
        <w:keepNext w:val="0"/>
        <w:keepLines w:val="0"/>
        <w:pageBreakBefore w:val="0"/>
        <w:widowControl w:val="0"/>
        <w:kinsoku/>
        <w:wordWrap/>
        <w:overflowPunct/>
        <w:topLinePunct w:val="0"/>
        <w:autoSpaceDE/>
        <w:autoSpaceDN/>
        <w:bidi w:val="0"/>
        <w:adjustRightInd/>
        <w:snapToGrid/>
        <w:spacing w:after="60" w:line="560" w:lineRule="exact"/>
        <w:ind w:firstLine="643" w:firstLineChars="200"/>
        <w:jc w:val="both"/>
        <w:textAlignment w:val="auto"/>
        <w:rPr>
          <w:rFonts w:ascii="仿宋_GB2312" w:hAnsi="Times New Roman" w:eastAsia="仿宋_GB2312" w:cs="Times New Roman"/>
          <w:b/>
          <w:bCs/>
          <w:sz w:val="32"/>
          <w:szCs w:val="32"/>
        </w:rPr>
      </w:pPr>
      <w:r>
        <w:rPr>
          <w:rFonts w:ascii="仿宋_GB2312" w:hAnsi="Times New Roman" w:eastAsia="仿宋_GB2312" w:cs="Times New Roman"/>
          <w:b/>
          <w:bCs/>
          <w:sz w:val="32"/>
          <w:szCs w:val="32"/>
        </w:rPr>
        <w:t>1.值得肯定的地方</w:t>
      </w:r>
    </w:p>
    <w:p w14:paraId="094DFBB3">
      <w:pPr>
        <w:pStyle w:val="12"/>
        <w:keepNext w:val="0"/>
        <w:keepLines w:val="0"/>
        <w:pageBreakBefore w:val="0"/>
        <w:widowControl w:val="0"/>
        <w:kinsoku/>
        <w:wordWrap/>
        <w:overflowPunct/>
        <w:topLinePunct w:val="0"/>
        <w:autoSpaceDE/>
        <w:autoSpaceDN/>
        <w:bidi w:val="0"/>
        <w:adjustRightInd/>
        <w:snapToGrid/>
        <w:spacing w:after="6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购买方（</w:t>
      </w:r>
      <w:r>
        <w:rPr>
          <w:rFonts w:hint="eastAsia" w:ascii="仿宋_GB2312" w:eastAsia="仿宋_GB2312"/>
          <w:sz w:val="32"/>
          <w:szCs w:val="32"/>
          <w:lang w:eastAsia="zh-CN"/>
        </w:rPr>
        <w:t>洛浦街道办事处</w:t>
      </w:r>
      <w:r>
        <w:rPr>
          <w:rFonts w:hint="eastAsia" w:ascii="仿宋_GB2312" w:eastAsia="仿宋_GB2312"/>
          <w:sz w:val="32"/>
          <w:szCs w:val="32"/>
        </w:rPr>
        <w:t>）代表认为，</w:t>
      </w:r>
      <w:r>
        <w:rPr>
          <w:rFonts w:hint="eastAsia" w:ascii="仿宋_GB2312" w:eastAsia="仿宋_GB2312"/>
          <w:sz w:val="32"/>
          <w:szCs w:val="32"/>
          <w:lang w:eastAsia="zh-CN"/>
        </w:rPr>
        <w:t>社工站党建引领方向明确，政治建设与组织建设融入日常服务，党的方针政策得到有效贯彻落实；服务开展与街道中心工作紧密结合，在民政服务、社区治理、应急响应等方面配合有力，联动机制运行顺畅；在服务规范化、项目推进和社区慈善发展等方面积极作为，群众认可度较高，初步形成品牌服务效应。</w:t>
      </w:r>
    </w:p>
    <w:p w14:paraId="12596D81">
      <w:pPr>
        <w:pStyle w:val="12"/>
        <w:keepNext w:val="0"/>
        <w:keepLines w:val="0"/>
        <w:pageBreakBefore w:val="0"/>
        <w:widowControl w:val="0"/>
        <w:kinsoku/>
        <w:wordWrap/>
        <w:overflowPunct/>
        <w:topLinePunct w:val="0"/>
        <w:autoSpaceDE/>
        <w:autoSpaceDN/>
        <w:bidi w:val="0"/>
        <w:adjustRightInd/>
        <w:snapToGrid/>
        <w:spacing w:after="60" w:line="560" w:lineRule="exact"/>
        <w:ind w:firstLine="643" w:firstLineChars="200"/>
        <w:jc w:val="both"/>
        <w:textAlignment w:val="auto"/>
        <w:rPr>
          <w:rFonts w:ascii="仿宋_GB2312" w:hAnsi="Times New Roman" w:eastAsia="仿宋_GB2312" w:cs="Times New Roman"/>
          <w:b/>
          <w:bCs/>
          <w:sz w:val="32"/>
          <w:szCs w:val="32"/>
        </w:rPr>
      </w:pPr>
      <w:r>
        <w:rPr>
          <w:rFonts w:ascii="仿宋_GB2312" w:hAnsi="Times New Roman" w:eastAsia="仿宋_GB2312" w:cs="Times New Roman"/>
          <w:b/>
          <w:bCs/>
          <w:sz w:val="32"/>
          <w:szCs w:val="32"/>
        </w:rPr>
        <w:t>2.需要关注的地方</w:t>
      </w:r>
    </w:p>
    <w:p w14:paraId="4EBB5EA6">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购买方（</w:t>
      </w:r>
      <w:r>
        <w:rPr>
          <w:rFonts w:hint="eastAsia" w:ascii="仿宋_GB2312" w:eastAsia="仿宋_GB2312"/>
          <w:sz w:val="32"/>
          <w:szCs w:val="32"/>
          <w:lang w:eastAsia="zh-CN"/>
        </w:rPr>
        <w:t>洛浦街道办事处</w:t>
      </w:r>
      <w:r>
        <w:rPr>
          <w:rFonts w:hint="eastAsia" w:ascii="仿宋_GB2312" w:eastAsia="仿宋_GB2312"/>
          <w:sz w:val="32"/>
          <w:szCs w:val="32"/>
        </w:rPr>
        <w:t>）代表认为，</w:t>
      </w:r>
      <w:r>
        <w:rPr>
          <w:rFonts w:hint="eastAsia" w:ascii="仿宋_GB2312" w:eastAsia="仿宋_GB2312"/>
          <w:sz w:val="32"/>
          <w:szCs w:val="32"/>
          <w:lang w:eastAsia="zh-CN"/>
        </w:rPr>
        <w:t>社工站安全管理和日常检查制度执行不够严格，消防设备检查记录不完整，需进一步压实责任，确保定期检查、登记和整改形成闭环管理；志愿者队伍组织动员和使用管理有待加强，需健全培训、激励和调度机制，切实发挥志愿服务在社区服务中的辅助支撑作用；活动策划与信息报送的统筹协同意识需进一步增强，应提前与街道沟通报备，强化多部门资源整合联动，活动资讯同步推送街道，提升宣传覆盖面和社区影响力。</w:t>
      </w:r>
    </w:p>
    <w:p w14:paraId="2110A0C8">
      <w:pPr>
        <w:pStyle w:val="12"/>
        <w:keepNext w:val="0"/>
        <w:keepLines w:val="0"/>
        <w:pageBreakBefore w:val="0"/>
        <w:widowControl w:val="0"/>
        <w:numPr>
          <w:ilvl w:val="0"/>
          <w:numId w:val="1"/>
        </w:numPr>
        <w:kinsoku/>
        <w:wordWrap/>
        <w:overflowPunct/>
        <w:topLinePunct w:val="0"/>
        <w:autoSpaceDE/>
        <w:autoSpaceDN/>
        <w:bidi w:val="0"/>
        <w:adjustRightInd/>
        <w:snapToGrid/>
        <w:spacing w:after="120" w:line="560" w:lineRule="exact"/>
        <w:ind w:firstLine="643" w:firstLineChars="200"/>
        <w:jc w:val="both"/>
        <w:textAlignment w:val="auto"/>
        <w:rPr>
          <w:rFonts w:hint="eastAsia" w:ascii="仿宋_GB2312" w:eastAsia="仿宋_GB2312"/>
          <w:b/>
          <w:bCs/>
          <w:sz w:val="32"/>
          <w:szCs w:val="32"/>
          <w:highlight w:val="none"/>
        </w:rPr>
      </w:pPr>
      <w:r>
        <w:rPr>
          <w:rFonts w:hint="eastAsia" w:ascii="仿宋_GB2312" w:eastAsia="仿宋_GB2312"/>
          <w:b/>
          <w:bCs/>
          <w:sz w:val="32"/>
          <w:szCs w:val="32"/>
          <w:highlight w:val="none"/>
        </w:rPr>
        <w:t>市督导中心反馈</w:t>
      </w:r>
    </w:p>
    <w:p w14:paraId="3C58A091">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rPr>
      </w:pPr>
      <w:r>
        <w:rPr>
          <w:rFonts w:hint="eastAsia" w:ascii="仿宋_GB2312" w:hAnsi="Times New Roman" w:eastAsia="仿宋_GB2312" w:cs="Times New Roman"/>
          <w:b/>
          <w:bCs/>
          <w:sz w:val="32"/>
          <w:szCs w:val="32"/>
        </w:rPr>
        <w:t>1</w:t>
      </w:r>
      <w:r>
        <w:rPr>
          <w:rFonts w:hint="eastAsia" w:ascii="仿宋_GB2312" w:eastAsia="仿宋_GB2312"/>
          <w:b/>
          <w:bCs/>
          <w:sz w:val="32"/>
          <w:szCs w:val="32"/>
        </w:rPr>
        <w:t>.值得肯定的地方</w:t>
      </w:r>
    </w:p>
    <w:p w14:paraId="3151D347">
      <w:pPr>
        <w:pStyle w:val="12"/>
        <w:keepNext w:val="0"/>
        <w:keepLines w:val="0"/>
        <w:pageBreakBefore w:val="0"/>
        <w:widowControl w:val="0"/>
        <w:numPr>
          <w:ilvl w:val="0"/>
          <w:numId w:val="0"/>
        </w:numPr>
        <w:kinsoku/>
        <w:wordWrap/>
        <w:overflowPunct/>
        <w:topLinePunct w:val="0"/>
        <w:autoSpaceDE/>
        <w:autoSpaceDN/>
        <w:bidi w:val="0"/>
        <w:adjustRightInd/>
        <w:snapToGrid/>
        <w:spacing w:after="12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经评委评估分析访谈情况和查阅项目调研、</w:t>
      </w:r>
      <w:r>
        <w:rPr>
          <w:rFonts w:hint="eastAsia" w:ascii="仿宋_GB2312" w:eastAsia="仿宋_GB2312"/>
          <w:sz w:val="32"/>
          <w:szCs w:val="32"/>
          <w:lang w:eastAsia="zh-CN"/>
        </w:rPr>
        <w:t>服务方案</w:t>
      </w:r>
      <w:r>
        <w:rPr>
          <w:rFonts w:hint="eastAsia" w:ascii="仿宋_GB2312" w:eastAsia="仿宋_GB2312"/>
          <w:sz w:val="32"/>
          <w:szCs w:val="32"/>
        </w:rPr>
        <w:t>等各类服务工作痕迹记录资料，该项</w:t>
      </w:r>
      <w:r>
        <w:rPr>
          <w:rFonts w:hint="eastAsia" w:ascii="仿宋_GB2312" w:eastAsia="仿宋_GB2312"/>
          <w:sz w:val="32"/>
          <w:szCs w:val="32"/>
          <w:lang w:eastAsia="zh-CN"/>
        </w:rPr>
        <w:t>目在</w:t>
      </w:r>
      <w:r>
        <w:rPr>
          <w:rFonts w:hint="eastAsia" w:ascii="仿宋_GB2312" w:eastAsia="仿宋_GB2312"/>
          <w:sz w:val="32"/>
          <w:szCs w:val="32"/>
        </w:rPr>
        <w:t>以下几方面值得肯定：</w:t>
      </w:r>
    </w:p>
    <w:p w14:paraId="69F082B4">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项目专业能力提升有成效。项目重视社工人才队伍建设，搭建了较为系统的成长培育体系。制定了专业能力提升规划、内部督导制度及共学制度等，结合全员个人成长计划与阶段性复盘总结，各环节衔接相对紧密，较好地贴合了社工实务成长需求，整体人才培育成效较为明显。本年度，3名社工通过助理社工师职业水平考试，1名社工通过社会工作师职业水平考试。</w:t>
      </w:r>
    </w:p>
    <w:p w14:paraId="26552AAE">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项目人员协同联动较扎实。项目实行驻村（居）服务模式，基本实现辖区18个村（居）全覆盖驻点服务，建立常态化沟通联络机制，并有相应对接工作记录。项目社工与村（居）两委保持高频联动、深度协作，扎实推进居家安全改造、微心愿帮扶、社区慈善基金运营、节假日关爱慰问等兜底民生服务。</w:t>
      </w:r>
    </w:p>
    <w:p w14:paraId="5E046CAB">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项目实务研究有产出。项目注重实务成果转化与对外专业交流，积极参与省、市级社会工作学术论坛及专业沙龙，主动输出本土服务经验。前期，社工参与撰写的论文获广东省社会工作教育与实务协会2025年学术年会优秀奖。中期评估后，项目副主任于2026年3月受邀担任“广州社工周”逆境青少年心理支持沙龙特邀嘉宾，分享专业经验；同年6月，在广东社会公益创新发展论坛上分享“社区养老规划委托”项目经验，持续输出本土服务成果，有效提升了项目的行业能见度。</w:t>
      </w:r>
    </w:p>
    <w:p w14:paraId="7D77DA98">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2.</w:t>
      </w:r>
      <w:r>
        <w:rPr>
          <w:rFonts w:hint="eastAsia" w:ascii="仿宋_GB2312" w:eastAsia="仿宋_GB2312"/>
          <w:b/>
          <w:bCs/>
          <w:sz w:val="32"/>
          <w:szCs w:val="32"/>
          <w:lang w:eastAsia="zh-CN"/>
        </w:rPr>
        <w:t>需要关注的地</w:t>
      </w:r>
      <w:r>
        <w:rPr>
          <w:rFonts w:hint="eastAsia" w:ascii="仿宋_GB2312" w:eastAsia="仿宋_GB2312"/>
          <w:b/>
          <w:bCs/>
          <w:sz w:val="32"/>
          <w:szCs w:val="32"/>
          <w:lang w:val="en-US" w:eastAsia="zh-CN"/>
        </w:rPr>
        <w:t>方</w:t>
      </w:r>
    </w:p>
    <w:p w14:paraId="0E562FA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经评委评估分析访谈情况和查阅项目调研、服务方案等各类服务工作痕迹记录资料，该项目情况有以下方面需要关注：</w:t>
      </w:r>
    </w:p>
    <w:p w14:paraId="205978DF">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bookmarkStart w:id="41" w:name="bookmark86"/>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项目人才培养体系可进一步优化。建议结合前期探索经验，制定清晰具体、可量化的能力提升目标，完善内容规划和评价方式，突显体系中的成长需求内容，并围绕成长需求规划聚焦、具有主线的专业能力提升体系。</w:t>
      </w:r>
    </w:p>
    <w:p w14:paraId="21A66E81">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项目平台工作管理水平需进一步提升。当前社工站综合管理平台的使用中，存在基本信息、服务记录未及时更新和审核的情况，评估期间，部分社工触发“社工15天及以上未更新服务记录”系统预警。建议强化对社工站综合管理平台的运营管理工作，明确各板块的具体要求，做好管理工作分工，将责任划分到个人，将更新情况纳入内部自查与考核，确保同类问题不再重复发生，做到服务记录及时、完整、规范录入，保障服务监控的规范到位。同时，需完善人员异动管理流程，确保离职员工账号及时停用，避免因账号权限未回收带来的数据安全风险与管理混乱。</w:t>
      </w:r>
    </w:p>
    <w:p w14:paraId="453B2DF2">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）建议项目社工进一步加强社工宣传骨干力量的培育，拓宽宣传渠道，加强对项目特色服务、典型案例、服务成效的深度挖掘与专题打造，提升宣传质量与品牌塑造力度。</w:t>
      </w:r>
    </w:p>
    <w:p w14:paraId="3B687FDF">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三、评估反馈</w:t>
      </w:r>
    </w:p>
    <w:p w14:paraId="65C9A0C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评估反馈主要分为两大环节，一是现场反馈环节，二是对评估报告初稿的意见反馈环节。本次洛浦街社工站的反馈如下：</w:t>
      </w:r>
    </w:p>
    <w:p w14:paraId="0A03E751">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1.现场反馈</w:t>
      </w:r>
      <w:r>
        <w:rPr>
          <w:rFonts w:hint="eastAsia" w:ascii="仿宋_GB2312" w:eastAsia="仿宋_GB2312"/>
          <w:sz w:val="32"/>
          <w:szCs w:val="32"/>
          <w:lang w:val="en-US" w:eastAsia="zh-CN"/>
        </w:rPr>
        <w:t>：经过为期一天的评估，评委针对洛浦街社工站的情况，进行了现场总结反馈，在总结反馈环节，洛浦街社工站表示对评委们提出的意见和建议无异议。</w:t>
      </w:r>
    </w:p>
    <w:p w14:paraId="114A09BA">
      <w:pPr>
        <w:pStyle w:val="12"/>
        <w:keepNext w:val="0"/>
        <w:keepLines w:val="0"/>
        <w:pageBreakBefore w:val="0"/>
        <w:widowControl w:val="0"/>
        <w:kinsoku/>
        <w:wordWrap/>
        <w:overflowPunct/>
        <w:topLinePunct w:val="0"/>
        <w:autoSpaceDE/>
        <w:autoSpaceDN/>
        <w:bidi w:val="0"/>
        <w:adjustRightInd/>
        <w:snapToGrid/>
        <w:spacing w:after="120" w:line="560" w:lineRule="exact"/>
        <w:ind w:firstLine="643" w:firstLineChars="200"/>
        <w:textAlignment w:val="auto"/>
        <w:rPr>
          <w:rFonts w:hint="eastAsia" w:ascii="仿宋_GB2312" w:eastAsia="仿宋_GB2312"/>
          <w:sz w:val="32"/>
          <w:szCs w:val="32"/>
          <w:lang w:val="en-US" w:eastAsia="zh-CN"/>
        </w:rPr>
      </w:pPr>
      <w:r>
        <w:rPr>
          <w:rFonts w:hint="eastAsia" w:ascii="仿宋_GB2312" w:eastAsia="仿宋_GB2312"/>
          <w:b/>
          <w:bCs/>
          <w:sz w:val="32"/>
          <w:szCs w:val="32"/>
          <w:lang w:val="en-US" w:eastAsia="zh-CN"/>
        </w:rPr>
        <w:t>2.对评估报告初稿的反馈</w:t>
      </w:r>
      <w:r>
        <w:rPr>
          <w:rFonts w:hint="eastAsia" w:ascii="仿宋_GB2312" w:eastAsia="仿宋_GB2312"/>
          <w:sz w:val="32"/>
          <w:szCs w:val="32"/>
          <w:lang w:val="en-US" w:eastAsia="zh-CN"/>
        </w:rPr>
        <w:t>：番禺区民政局、洛浦街道办事处、洛浦街社工站对评估报告初稿无异议。</w:t>
      </w:r>
    </w:p>
    <w:bookmarkEnd w:id="41"/>
    <w:p w14:paraId="46C49683">
      <w:pPr>
        <w:pStyle w:val="12"/>
        <w:keepNext w:val="0"/>
        <w:keepLines w:val="0"/>
        <w:pageBreakBefore w:val="0"/>
        <w:widowControl w:val="0"/>
        <w:kinsoku/>
        <w:wordWrap/>
        <w:overflowPunct/>
        <w:topLinePunct w:val="0"/>
        <w:autoSpaceDE/>
        <w:autoSpaceDN/>
        <w:bidi w:val="0"/>
        <w:adjustRightInd/>
        <w:snapToGrid/>
        <w:spacing w:after="0" w:line="560" w:lineRule="exact"/>
        <w:ind w:firstLine="643" w:firstLineChars="200"/>
        <w:jc w:val="both"/>
        <w:textAlignment w:val="auto"/>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四、评估等级</w:t>
      </w:r>
    </w:p>
    <w:p w14:paraId="3BE56AFA">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评估总分为100分，其中，第三方评估机构占比55%、街道办事处（镇人民政府）占比20%、市督导中心占15%、区民政局占比10%。评估结果由四方评估分数的总和确定。评估等级分为优秀、良好、合格、不合格四个等级，90分以上为优秀，80分至90分（不含90分）为良好， 60分至80分（不含80分）为合格，60分以下（不含60分）为不合格。</w:t>
      </w:r>
    </w:p>
    <w:p w14:paraId="2C37F715">
      <w:pPr>
        <w:pStyle w:val="12"/>
        <w:keepNext w:val="0"/>
        <w:keepLines w:val="0"/>
        <w:pageBreakBefore w:val="0"/>
        <w:widowControl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经过评估，洛浦街社工站本次末期评估的等级为</w:t>
      </w:r>
      <w:r>
        <w:rPr>
          <w:rFonts w:hint="eastAsia" w:ascii="仿宋_GB2312" w:eastAsia="仿宋_GB2312"/>
          <w:b/>
          <w:bCs/>
          <w:sz w:val="32"/>
          <w:szCs w:val="32"/>
          <w:lang w:val="en-US" w:eastAsia="zh-CN"/>
        </w:rPr>
        <w:t>“良好”（88.50分）</w:t>
      </w:r>
      <w:r>
        <w:rPr>
          <w:rFonts w:hint="eastAsia" w:ascii="仿宋_GB2312" w:eastAsia="仿宋_GB2312"/>
          <w:sz w:val="32"/>
          <w:szCs w:val="32"/>
          <w:lang w:val="en-US" w:eastAsia="zh-CN"/>
        </w:rPr>
        <w:t>。</w:t>
      </w:r>
    </w:p>
    <w:p w14:paraId="5FA22C54">
      <w:pPr>
        <w:pStyle w:val="12"/>
        <w:spacing w:after="0" w:line="560" w:lineRule="exact"/>
        <w:ind w:firstLine="640" w:firstLineChars="200"/>
        <w:jc w:val="both"/>
        <w:rPr>
          <w:rFonts w:hint="eastAsia" w:ascii="仿宋_GB2312" w:eastAsia="仿宋_GB2312"/>
          <w:sz w:val="32"/>
          <w:szCs w:val="32"/>
          <w:lang w:val="en-US" w:eastAsia="zh-CN"/>
        </w:rPr>
      </w:pPr>
      <w:r>
        <w:rPr>
          <w:rFonts w:hint="eastAsia" w:ascii="仿宋_GB2312" w:eastAsia="仿宋_GB2312"/>
          <w:sz w:val="32"/>
          <w:szCs w:val="32"/>
          <w:lang w:val="en-US" w:eastAsia="zh-CN"/>
        </w:rPr>
        <w:t>以下是详细的评分情况：</w:t>
      </w:r>
    </w:p>
    <w:tbl>
      <w:tblPr>
        <w:tblStyle w:val="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7"/>
        <w:gridCol w:w="1471"/>
        <w:gridCol w:w="1481"/>
        <w:gridCol w:w="1716"/>
      </w:tblGrid>
      <w:tr w14:paraId="5E51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45A95CEA">
            <w:pPr>
              <w:pStyle w:val="12"/>
              <w:spacing w:after="0" w:line="560" w:lineRule="exact"/>
              <w:jc w:val="center"/>
              <w:rPr>
                <w:rFonts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评估内容</w:t>
            </w:r>
          </w:p>
        </w:tc>
        <w:tc>
          <w:tcPr>
            <w:tcW w:w="727" w:type="pct"/>
            <w:noWrap w:val="0"/>
            <w:vAlign w:val="center"/>
          </w:tcPr>
          <w:p w14:paraId="3E445B76">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标准分</w:t>
            </w:r>
          </w:p>
        </w:tc>
        <w:tc>
          <w:tcPr>
            <w:tcW w:w="731" w:type="pct"/>
            <w:noWrap w:val="0"/>
            <w:vAlign w:val="center"/>
          </w:tcPr>
          <w:p w14:paraId="05D63028">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评分</w:t>
            </w:r>
          </w:p>
        </w:tc>
        <w:tc>
          <w:tcPr>
            <w:tcW w:w="848" w:type="pct"/>
            <w:noWrap w:val="0"/>
            <w:vAlign w:val="center"/>
          </w:tcPr>
          <w:p w14:paraId="18441D71">
            <w:pPr>
              <w:pStyle w:val="12"/>
              <w:spacing w:after="0" w:line="560" w:lineRule="exact"/>
              <w:ind w:firstLine="0"/>
              <w:jc w:val="center"/>
              <w:rPr>
                <w:rFonts w:ascii="仿宋_GB2312" w:eastAsia="仿宋_GB2312"/>
                <w:b/>
                <w:bCs/>
                <w:lang w:val="en-US" w:eastAsia="zh-CN"/>
              </w:rPr>
            </w:pPr>
            <w:r>
              <w:rPr>
                <w:rFonts w:hint="eastAsia" w:ascii="仿宋_GB2312" w:eastAsia="仿宋_GB2312"/>
                <w:b/>
                <w:bCs/>
                <w:lang w:val="en-US" w:eastAsia="zh-CN"/>
              </w:rPr>
              <w:t>折算分</w:t>
            </w:r>
          </w:p>
        </w:tc>
      </w:tr>
      <w:tr w14:paraId="3A64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709D9EE6">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专业服务板块</w:t>
            </w:r>
          </w:p>
        </w:tc>
        <w:tc>
          <w:tcPr>
            <w:tcW w:w="727" w:type="pct"/>
            <w:noWrap w:val="0"/>
            <w:vAlign w:val="center"/>
          </w:tcPr>
          <w:p w14:paraId="4D132CE4">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55</w:t>
            </w:r>
          </w:p>
        </w:tc>
        <w:tc>
          <w:tcPr>
            <w:tcW w:w="731" w:type="pct"/>
            <w:noWrap w:val="0"/>
            <w:vAlign w:val="center"/>
          </w:tcPr>
          <w:p w14:paraId="22A69F1B">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45.75</w:t>
            </w:r>
          </w:p>
        </w:tc>
        <w:tc>
          <w:tcPr>
            <w:tcW w:w="848" w:type="pct"/>
            <w:noWrap w:val="0"/>
            <w:vAlign w:val="center"/>
          </w:tcPr>
          <w:p w14:paraId="2BF8609B">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45.75</w:t>
            </w:r>
          </w:p>
        </w:tc>
      </w:tr>
      <w:tr w14:paraId="209A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66DAB887">
            <w:pPr>
              <w:widowControl/>
              <w:jc w:val="center"/>
              <w:textAlignment w:val="center"/>
              <w:rPr>
                <w:rFonts w:ascii="仿宋_GB2312" w:hAnsi="仿宋_GB2312" w:eastAsia="仿宋_GB2312" w:cs="仿宋_GB2312"/>
                <w:sz w:val="28"/>
                <w:szCs w:val="28"/>
                <w:lang w:eastAsia="zh-CN" w:bidi="ar"/>
              </w:rPr>
            </w:pPr>
            <w:r>
              <w:rPr>
                <w:rStyle w:val="30"/>
                <w:rFonts w:hint="default" w:ascii="仿宋_GB2312" w:hAnsi="仿宋_GB2312" w:eastAsia="仿宋_GB2312" w:cs="仿宋_GB2312"/>
                <w:sz w:val="28"/>
                <w:szCs w:val="28"/>
                <w:lang w:eastAsia="zh-CN" w:bidi="ar"/>
              </w:rPr>
              <w:t>购买方</w:t>
            </w:r>
          </w:p>
        </w:tc>
        <w:tc>
          <w:tcPr>
            <w:tcW w:w="727" w:type="pct"/>
            <w:noWrap w:val="0"/>
            <w:vAlign w:val="center"/>
          </w:tcPr>
          <w:p w14:paraId="339697C9">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20</w:t>
            </w:r>
          </w:p>
        </w:tc>
        <w:tc>
          <w:tcPr>
            <w:tcW w:w="731" w:type="pct"/>
            <w:noWrap w:val="0"/>
            <w:vAlign w:val="center"/>
          </w:tcPr>
          <w:p w14:paraId="25769A3B">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bidi="ar"/>
              </w:rPr>
              <w:t>20</w:t>
            </w:r>
          </w:p>
        </w:tc>
        <w:tc>
          <w:tcPr>
            <w:tcW w:w="848" w:type="pct"/>
            <w:noWrap w:val="0"/>
            <w:vAlign w:val="center"/>
          </w:tcPr>
          <w:p w14:paraId="4A9177E1">
            <w:pPr>
              <w:widowControl/>
              <w:jc w:val="center"/>
              <w:textAlignment w:val="center"/>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20</w:t>
            </w:r>
          </w:p>
        </w:tc>
      </w:tr>
      <w:tr w14:paraId="07D2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109DCC6A">
            <w:pPr>
              <w:widowControl/>
              <w:jc w:val="center"/>
              <w:textAlignment w:val="center"/>
              <w:rPr>
                <w:rFonts w:ascii="仿宋_GB2312" w:hAnsi="仿宋_GB2312" w:eastAsia="仿宋_GB2312" w:cs="仿宋_GB2312"/>
                <w:sz w:val="28"/>
                <w:szCs w:val="28"/>
                <w:lang w:eastAsia="zh-CN" w:bidi="ar"/>
              </w:rPr>
            </w:pPr>
            <w:r>
              <w:rPr>
                <w:rFonts w:hint="eastAsia" w:ascii="仿宋_GB2312" w:hAnsi="仿宋_GB2312" w:eastAsia="仿宋_GB2312" w:cs="仿宋_GB2312"/>
                <w:sz w:val="28"/>
                <w:szCs w:val="28"/>
                <w:lang w:eastAsia="zh-CN" w:bidi="ar"/>
              </w:rPr>
              <w:t>督导中心</w:t>
            </w:r>
          </w:p>
        </w:tc>
        <w:tc>
          <w:tcPr>
            <w:tcW w:w="727" w:type="pct"/>
            <w:noWrap w:val="0"/>
            <w:vAlign w:val="center"/>
          </w:tcPr>
          <w:p w14:paraId="269E1923">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15</w:t>
            </w:r>
          </w:p>
        </w:tc>
        <w:tc>
          <w:tcPr>
            <w:tcW w:w="731" w:type="pct"/>
            <w:noWrap w:val="0"/>
            <w:vAlign w:val="center"/>
          </w:tcPr>
          <w:p w14:paraId="5242FBC3">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14.05</w:t>
            </w:r>
          </w:p>
        </w:tc>
        <w:tc>
          <w:tcPr>
            <w:tcW w:w="848" w:type="pct"/>
            <w:noWrap w:val="0"/>
            <w:vAlign w:val="center"/>
          </w:tcPr>
          <w:p w14:paraId="056D9285">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14.05</w:t>
            </w:r>
          </w:p>
        </w:tc>
      </w:tr>
      <w:tr w14:paraId="4758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92" w:type="pct"/>
            <w:noWrap w:val="0"/>
            <w:vAlign w:val="center"/>
          </w:tcPr>
          <w:p w14:paraId="7ADB01EB">
            <w:pPr>
              <w:widowControl/>
              <w:jc w:val="center"/>
              <w:textAlignment w:val="center"/>
              <w:rPr>
                <w:rFonts w:ascii="仿宋_GB2312" w:hAnsi="仿宋_GB2312" w:eastAsia="仿宋_GB2312" w:cs="仿宋_GB2312"/>
                <w:sz w:val="28"/>
                <w:szCs w:val="28"/>
                <w:lang w:eastAsia="zh-CN" w:bidi="ar"/>
              </w:rPr>
            </w:pPr>
            <w:r>
              <w:rPr>
                <w:rStyle w:val="30"/>
                <w:rFonts w:hint="default" w:ascii="仿宋_GB2312" w:hAnsi="仿宋_GB2312" w:eastAsia="仿宋_GB2312" w:cs="仿宋_GB2312"/>
                <w:sz w:val="28"/>
                <w:szCs w:val="28"/>
                <w:lang w:eastAsia="zh-CN" w:bidi="ar"/>
              </w:rPr>
              <w:t>监督方</w:t>
            </w:r>
          </w:p>
        </w:tc>
        <w:tc>
          <w:tcPr>
            <w:tcW w:w="727" w:type="pct"/>
            <w:noWrap w:val="0"/>
            <w:vAlign w:val="center"/>
          </w:tcPr>
          <w:p w14:paraId="54ACC38D">
            <w:pPr>
              <w:widowControl/>
              <w:jc w:val="center"/>
              <w:textAlignment w:val="center"/>
              <w:rPr>
                <w:rFonts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bidi="ar"/>
              </w:rPr>
              <w:t>10</w:t>
            </w:r>
          </w:p>
        </w:tc>
        <w:tc>
          <w:tcPr>
            <w:tcW w:w="731" w:type="pct"/>
            <w:noWrap w:val="0"/>
            <w:vAlign w:val="center"/>
          </w:tcPr>
          <w:p w14:paraId="5E69CC2A">
            <w:pPr>
              <w:widowControl/>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w:t>
            </w:r>
          </w:p>
        </w:tc>
        <w:tc>
          <w:tcPr>
            <w:tcW w:w="848" w:type="pct"/>
            <w:noWrap w:val="0"/>
            <w:vAlign w:val="center"/>
          </w:tcPr>
          <w:p w14:paraId="107E3936">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8.7</w:t>
            </w:r>
          </w:p>
        </w:tc>
      </w:tr>
      <w:tr w14:paraId="03D0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51" w:type="pct"/>
            <w:gridSpan w:val="3"/>
            <w:noWrap w:val="0"/>
            <w:vAlign w:val="center"/>
          </w:tcPr>
          <w:p w14:paraId="3623D71A">
            <w:pPr>
              <w:pStyle w:val="12"/>
              <w:spacing w:after="0" w:line="560" w:lineRule="exact"/>
              <w:ind w:firstLine="0"/>
              <w:jc w:val="center"/>
              <w:rPr>
                <w:rFonts w:ascii="仿宋_GB2312" w:eastAsia="仿宋_GB2312"/>
                <w:b/>
                <w:lang w:val="en-US" w:eastAsia="zh-CN"/>
              </w:rPr>
            </w:pPr>
            <w:r>
              <w:rPr>
                <w:rFonts w:hint="eastAsia" w:ascii="仿宋_GB2312" w:eastAsia="仿宋_GB2312"/>
                <w:b/>
                <w:lang w:val="en-US" w:eastAsia="zh-CN"/>
              </w:rPr>
              <w:t>总分</w:t>
            </w:r>
          </w:p>
        </w:tc>
        <w:tc>
          <w:tcPr>
            <w:tcW w:w="848" w:type="pct"/>
            <w:noWrap w:val="0"/>
            <w:vAlign w:val="center"/>
          </w:tcPr>
          <w:p w14:paraId="15247D34">
            <w:pPr>
              <w:widowControl/>
              <w:jc w:val="center"/>
              <w:textAlignment w:val="center"/>
              <w:rPr>
                <w:rFonts w:hint="default" w:ascii="仿宋_GB2312" w:hAnsi="仿宋_GB2312" w:eastAsia="仿宋_GB2312" w:cs="仿宋_GB2312"/>
                <w:b/>
                <w:sz w:val="28"/>
                <w:szCs w:val="28"/>
                <w:lang w:val="en-US" w:eastAsia="zh-CN" w:bidi="ar"/>
              </w:rPr>
            </w:pPr>
            <w:r>
              <w:rPr>
                <w:rFonts w:hint="eastAsia" w:ascii="仿宋_GB2312" w:hAnsi="仿宋_GB2312" w:eastAsia="仿宋_GB2312" w:cs="仿宋_GB2312"/>
                <w:b/>
                <w:sz w:val="28"/>
                <w:szCs w:val="28"/>
                <w:lang w:val="en-US" w:eastAsia="zh-CN" w:bidi="ar"/>
              </w:rPr>
              <w:t>88.50</w:t>
            </w:r>
          </w:p>
        </w:tc>
      </w:tr>
    </w:tbl>
    <w:p w14:paraId="7E241F8F">
      <w:pPr>
        <w:pStyle w:val="12"/>
        <w:keepNext w:val="0"/>
        <w:keepLines w:val="0"/>
        <w:pageBreakBefore w:val="0"/>
        <w:widowControl w:val="0"/>
        <w:tabs>
          <w:tab w:val="left" w:pos="1263"/>
        </w:tabs>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方正小标宋简体" w:hAnsi="方正小标宋简体" w:eastAsia="方正小标宋简体" w:cs="方正小标宋简体"/>
          <w:sz w:val="32"/>
          <w:szCs w:val="32"/>
          <w:highlight w:val="none"/>
        </w:rPr>
      </w:pPr>
      <w:bookmarkStart w:id="42" w:name="bookmark87"/>
      <w:r>
        <w:rPr>
          <w:rFonts w:hint="eastAsia" w:ascii="方正小标宋简体" w:hAnsi="方正小标宋简体" w:eastAsia="方正小标宋简体" w:cs="方正小标宋简体"/>
          <w:b/>
          <w:bCs/>
          <w:sz w:val="32"/>
          <w:szCs w:val="32"/>
          <w:highlight w:val="none"/>
        </w:rPr>
        <w:t>五</w:t>
      </w:r>
      <w:bookmarkEnd w:id="42"/>
      <w:r>
        <w:rPr>
          <w:rFonts w:hint="eastAsia" w:ascii="方正小标宋简体" w:hAnsi="方正小标宋简体" w:eastAsia="方正小标宋简体" w:cs="方正小标宋简体"/>
          <w:b/>
          <w:bCs/>
          <w:sz w:val="32"/>
          <w:szCs w:val="32"/>
          <w:highlight w:val="none"/>
        </w:rPr>
        <w:t>、结语</w:t>
      </w:r>
    </w:p>
    <w:p w14:paraId="1CE78487">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lang w:val="en-US" w:eastAsia="zh-CN"/>
        </w:rPr>
      </w:pPr>
      <w:r>
        <w:rPr>
          <w:rFonts w:hint="eastAsia" w:ascii="仿宋_GB2312" w:eastAsia="仿宋_GB2312"/>
          <w:sz w:val="32"/>
          <w:szCs w:val="32"/>
          <w:lang w:eastAsia="zh-CN"/>
        </w:rPr>
        <w:t>洛浦街社工服务站在番禺区民政局、</w:t>
      </w:r>
      <w:r>
        <w:rPr>
          <w:rFonts w:hint="eastAsia" w:ascii="仿宋_GB2312" w:eastAsia="仿宋_GB2312"/>
          <w:color w:val="auto"/>
          <w:sz w:val="32"/>
          <w:szCs w:val="32"/>
          <w:lang w:eastAsia="zh-CN"/>
        </w:rPr>
        <w:t>洛浦街党工委和洛浦街道办事处</w:t>
      </w:r>
      <w:r>
        <w:rPr>
          <w:rFonts w:hint="eastAsia" w:ascii="仿宋_GB2312" w:eastAsia="仿宋_GB2312"/>
          <w:sz w:val="32"/>
          <w:szCs w:val="32"/>
          <w:lang w:eastAsia="zh-CN"/>
        </w:rPr>
        <w:t>的大力支持下，在广州市阳光天使社会工作服务中心的努力下，已运营</w:t>
      </w:r>
      <w:r>
        <w:rPr>
          <w:rFonts w:hint="eastAsia" w:ascii="仿宋_GB2312" w:eastAsia="仿宋_GB2312"/>
          <w:sz w:val="32"/>
          <w:szCs w:val="32"/>
          <w:lang w:val="en-US" w:eastAsia="zh-CN"/>
        </w:rPr>
        <w:t>5年</w:t>
      </w:r>
      <w:r>
        <w:rPr>
          <w:rFonts w:hint="eastAsia" w:ascii="仿宋_GB2312" w:eastAsia="仿宋_GB2312"/>
          <w:sz w:val="32"/>
          <w:szCs w:val="32"/>
          <w:lang w:eastAsia="zh-CN"/>
        </w:rPr>
        <w:t>时间，项目团队</w:t>
      </w:r>
      <w:r>
        <w:rPr>
          <w:rFonts w:hint="eastAsia" w:ascii="仿宋_GB2312" w:eastAsia="仿宋_GB2312"/>
          <w:sz w:val="32"/>
          <w:szCs w:val="32"/>
          <w:lang w:val="en-US" w:eastAsia="zh-CN"/>
        </w:rPr>
        <w:t>及时优化服务管理制度，保障社工站日常运营管理</w:t>
      </w:r>
      <w:r>
        <w:rPr>
          <w:rFonts w:hint="eastAsia" w:ascii="仿宋_GB2312" w:eastAsia="仿宋_GB2312"/>
          <w:sz w:val="32"/>
          <w:szCs w:val="32"/>
          <w:lang w:eastAsia="zh-CN"/>
        </w:rPr>
        <w:t>，</w:t>
      </w:r>
      <w:r>
        <w:rPr>
          <w:rFonts w:hint="eastAsia" w:ascii="仿宋_GB2312" w:eastAsia="仿宋_GB2312"/>
          <w:sz w:val="32"/>
          <w:szCs w:val="32"/>
          <w:lang w:val="en-US" w:eastAsia="zh-CN"/>
        </w:rPr>
        <w:t>积极开展日常宣传工作，制作了宣传册、文创产品进行传播，产生较好的服务效应，服务开展与街道中心工作紧密结合，在民政服务、社区治理、应急响应等方面配合有力，联动机制运行顺畅。</w:t>
      </w:r>
      <w:r>
        <w:rPr>
          <w:rFonts w:hint="eastAsia" w:ascii="仿宋_GB2312" w:eastAsia="仿宋_GB2312"/>
          <w:sz w:val="32"/>
          <w:szCs w:val="32"/>
          <w:lang w:eastAsia="zh-CN"/>
        </w:rPr>
        <w:t>在服务规范化、项目推进和社区慈善发展等方面积极作为，群众认可度较高，初步形成品牌服务效应。</w:t>
      </w:r>
    </w:p>
    <w:p w14:paraId="082DF9E9">
      <w:pPr>
        <w:pStyle w:val="12"/>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eastAsia="仿宋_GB2312"/>
          <w:sz w:val="32"/>
          <w:szCs w:val="32"/>
          <w:lang w:val="en-US" w:eastAsia="zh-CN"/>
        </w:rPr>
      </w:pPr>
      <w:r>
        <w:rPr>
          <w:rFonts w:hint="eastAsia" w:ascii="仿宋_GB2312" w:eastAsia="仿宋_GB2312"/>
          <w:sz w:val="32"/>
          <w:szCs w:val="32"/>
          <w:lang w:val="en-US" w:eastAsia="zh-CN"/>
        </w:rPr>
        <w:t>建议洛浦街社工站</w:t>
      </w:r>
      <w:r>
        <w:rPr>
          <w:rFonts w:hint="eastAsia" w:ascii="仿宋_GB2312" w:eastAsia="仿宋_GB2312"/>
          <w:sz w:val="32"/>
          <w:szCs w:val="32"/>
          <w:lang w:eastAsia="zh-CN"/>
        </w:rPr>
        <w:t>适当整合站层面的项目，优化片层面向，聚焦困难群众和特殊群体的共性需求，向开展基于问题解决的专项服务方向转化，在策略上可以打通专项服务计划片区之间界限，进一步平衡资源力量，夯实</w:t>
      </w:r>
      <w:r>
        <w:rPr>
          <w:rFonts w:hint="eastAsia" w:ascii="仿宋_GB2312" w:eastAsia="仿宋_GB2312"/>
          <w:sz w:val="32"/>
          <w:szCs w:val="32"/>
          <w:lang w:val="en-US" w:eastAsia="zh-CN"/>
        </w:rPr>
        <w:t>社工</w:t>
      </w:r>
      <w:r>
        <w:rPr>
          <w:rFonts w:hint="eastAsia" w:ascii="仿宋_GB2312" w:eastAsia="仿宋_GB2312"/>
          <w:sz w:val="32"/>
          <w:szCs w:val="32"/>
          <w:lang w:eastAsia="zh-CN"/>
        </w:rPr>
        <w:t>点层面困难群众和特殊群体个别化服务的覆盖面和受益面。且</w:t>
      </w:r>
      <w:r>
        <w:rPr>
          <w:rFonts w:hint="eastAsia" w:ascii="仿宋_GB2312" w:eastAsia="仿宋_GB2312"/>
          <w:sz w:val="32"/>
          <w:szCs w:val="32"/>
          <w:lang w:val="en-US" w:eastAsia="zh-CN"/>
        </w:rPr>
        <w:t>需进一步优化“三图”绘制，以更好地发挥其对社区情况反映的动态性功能</w:t>
      </w:r>
      <w:r>
        <w:rPr>
          <w:rFonts w:hint="eastAsia" w:ascii="仿宋_GB2312" w:eastAsia="仿宋_GB2312"/>
          <w:sz w:val="32"/>
          <w:szCs w:val="32"/>
          <w:lang w:eastAsia="zh-CN"/>
        </w:rPr>
        <w:t>，探访过程中要更加注重针对性和专业性元素，更加</w:t>
      </w:r>
      <w:r>
        <w:rPr>
          <w:rFonts w:hint="eastAsia" w:ascii="仿宋_GB2312" w:eastAsia="仿宋_GB2312"/>
          <w:sz w:val="32"/>
          <w:szCs w:val="32"/>
          <w:lang w:val="en-US" w:eastAsia="zh-CN"/>
        </w:rPr>
        <w:t>细致地描述探访的过程和结果，如探访的情境、观察、互动、介入和结果。继续</w:t>
      </w:r>
      <w:r>
        <w:rPr>
          <w:rFonts w:hint="eastAsia" w:ascii="仿宋_GB2312" w:eastAsia="仿宋_GB2312"/>
          <w:sz w:val="32"/>
          <w:szCs w:val="32"/>
          <w:lang w:eastAsia="zh-CN"/>
        </w:rPr>
        <w:t>提升项目平台工作管理水平，加强项目社工宣传骨干力量的培育，拓宽宣传渠道，加强对项目特色服务、典型案例、服务成效的深度挖掘与专题打造，提升宣传质量与品牌塑造力度。</w:t>
      </w:r>
    </w:p>
    <w:p w14:paraId="5A4FB597">
      <w:pPr>
        <w:pStyle w:val="12"/>
        <w:spacing w:after="160" w:line="560" w:lineRule="exact"/>
        <w:ind w:firstLine="640"/>
        <w:rPr>
          <w:rFonts w:ascii="仿宋_GB2312" w:eastAsia="仿宋_GB2312"/>
          <w:sz w:val="32"/>
          <w:szCs w:val="32"/>
        </w:rPr>
      </w:pPr>
    </w:p>
    <w:p w14:paraId="1799207B">
      <w:pPr>
        <w:pStyle w:val="12"/>
        <w:spacing w:after="160" w:line="560" w:lineRule="exact"/>
        <w:ind w:firstLine="640"/>
        <w:rPr>
          <w:rFonts w:ascii="仿宋_GB2312" w:eastAsia="仿宋_GB2312"/>
          <w:sz w:val="32"/>
          <w:szCs w:val="32"/>
        </w:rPr>
      </w:pPr>
      <w:r>
        <w:rPr>
          <w:rFonts w:hint="eastAsia" w:ascii="仿宋_GB2312" w:eastAsia="仿宋_GB2312"/>
          <w:sz w:val="32"/>
          <w:szCs w:val="32"/>
        </w:rPr>
        <w:t>附件：</w:t>
      </w:r>
      <w:r>
        <w:rPr>
          <w:rFonts w:hint="eastAsia" w:ascii="仿宋_GB2312" w:hAnsi="Times New Roman" w:eastAsia="仿宋_GB2312" w:cs="Times New Roman"/>
          <w:sz w:val="32"/>
          <w:szCs w:val="32"/>
        </w:rPr>
        <w:t>1</w:t>
      </w:r>
      <w:r>
        <w:rPr>
          <w:rFonts w:hint="eastAsia" w:ascii="仿宋_GB2312" w:eastAsia="仿宋_GB2312"/>
          <w:sz w:val="32"/>
          <w:szCs w:val="32"/>
        </w:rPr>
        <w:t>.</w:t>
      </w:r>
      <w:r>
        <w:rPr>
          <w:rFonts w:hint="eastAsia" w:ascii="仿宋_GB2312" w:eastAsia="仿宋_GB2312"/>
          <w:sz w:val="32"/>
          <w:szCs w:val="32"/>
          <w:lang w:eastAsia="zh-CN"/>
        </w:rPr>
        <w:t>洛浦</w:t>
      </w:r>
      <w:r>
        <w:rPr>
          <w:rFonts w:hint="eastAsia" w:ascii="仿宋_GB2312" w:eastAsia="仿宋_GB2312"/>
          <w:sz w:val="32"/>
          <w:szCs w:val="32"/>
        </w:rPr>
        <w:t>街社工服务站指标完成情况统计表</w:t>
      </w:r>
    </w:p>
    <w:p w14:paraId="30A1ADB3">
      <w:pPr>
        <w:pStyle w:val="12"/>
        <w:keepNext w:val="0"/>
        <w:keepLines w:val="0"/>
        <w:pageBreakBefore w:val="0"/>
        <w:widowControl w:val="0"/>
        <w:kinsoku/>
        <w:wordWrap/>
        <w:overflowPunct/>
        <w:topLinePunct w:val="0"/>
        <w:autoSpaceDE/>
        <w:autoSpaceDN/>
        <w:bidi w:val="0"/>
        <w:adjustRightInd/>
        <w:snapToGrid/>
        <w:spacing w:after="1240" w:line="560" w:lineRule="exact"/>
        <w:ind w:firstLine="1600" w:firstLineChars="500"/>
        <w:jc w:val="both"/>
        <w:textAlignment w:val="auto"/>
        <w:rPr>
          <w:lang w:eastAsia="zh-CN"/>
        </w:rPr>
      </w:pPr>
      <w:r>
        <w:rPr>
          <w:rFonts w:hint="eastAsia" w:ascii="仿宋_GB2312" w:hAnsi="Times New Roman" w:eastAsia="仿宋_GB2312" w:cs="Times New Roman"/>
          <w:sz w:val="32"/>
          <w:szCs w:val="32"/>
        </w:rPr>
        <w:t>2</w:t>
      </w:r>
      <w:r>
        <w:rPr>
          <w:rFonts w:hint="eastAsia" w:ascii="仿宋_GB2312" w:hAnsi="Times New Roman" w:eastAsia="仿宋_GB2312" w:cs="Times New Roman"/>
          <w:sz w:val="32"/>
          <w:szCs w:val="32"/>
          <w:lang w:val="en-US" w:eastAsia="zh-CN"/>
        </w:rPr>
        <w:t>.</w:t>
      </w:r>
      <w:r>
        <w:rPr>
          <w:rFonts w:hint="eastAsia" w:ascii="仿宋_GB2312" w:eastAsia="仿宋_GB2312"/>
          <w:sz w:val="32"/>
          <w:szCs w:val="32"/>
          <w:lang w:eastAsia="zh-CN"/>
        </w:rPr>
        <w:t>洛浦</w:t>
      </w:r>
      <w:r>
        <w:rPr>
          <w:rFonts w:hint="eastAsia" w:ascii="仿宋_GB2312" w:eastAsia="仿宋_GB2312"/>
          <w:sz w:val="32"/>
          <w:szCs w:val="32"/>
        </w:rPr>
        <w:t>街社工服务站工作人员情况统计表</w:t>
      </w:r>
    </w:p>
    <w:p w14:paraId="41C0209E">
      <w:pPr>
        <w:rPr>
          <w:lang w:eastAsia="zh-CN"/>
        </w:rPr>
      </w:pPr>
    </w:p>
    <w:p w14:paraId="49A8CA97">
      <w:pPr>
        <w:rPr>
          <w:lang w:eastAsia="zh-CN"/>
        </w:rPr>
      </w:pPr>
    </w:p>
    <w:p w14:paraId="2A9F45B7">
      <w:pPr>
        <w:tabs>
          <w:tab w:val="left" w:pos="1960"/>
        </w:tabs>
        <w:spacing w:line="560" w:lineRule="exact"/>
        <w:rPr>
          <w:rFonts w:ascii="仿宋_GB2312" w:hAnsi="仿宋_GB2312" w:eastAsia="仿宋_GB2312" w:cs="仿宋_GB2312"/>
          <w:sz w:val="32"/>
          <w:szCs w:val="32"/>
          <w:lang w:eastAsia="zh-CN"/>
        </w:rPr>
      </w:pPr>
      <w:r>
        <w:rPr>
          <w:rFonts w:hint="eastAsia" w:eastAsia="宋体"/>
          <w:lang w:eastAsia="zh-CN"/>
        </w:rPr>
        <w:tab/>
      </w:r>
      <w:r>
        <w:rPr>
          <w:rFonts w:hint="eastAsia" w:eastAsia="宋体"/>
          <w:lang w:eastAsia="zh-CN"/>
        </w:rPr>
        <w:t xml:space="preserve">                                                    </w:t>
      </w:r>
      <w:r>
        <w:rPr>
          <w:rFonts w:hint="eastAsia" w:ascii="仿宋_GB2312" w:hAnsi="仿宋_GB2312" w:eastAsia="仿宋_GB2312" w:cs="仿宋_GB2312"/>
          <w:sz w:val="32"/>
          <w:szCs w:val="32"/>
          <w:lang w:eastAsia="zh-CN"/>
        </w:rPr>
        <w:t>广州市番禺区社会组织联合会</w:t>
      </w:r>
    </w:p>
    <w:p w14:paraId="2745450C">
      <w:pPr>
        <w:tabs>
          <w:tab w:val="left" w:pos="1960"/>
        </w:tabs>
        <w:spacing w:line="560" w:lineRule="exact"/>
        <w:ind w:firstLine="6080" w:firstLineChars="1900"/>
        <w:rPr>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eastAsia="zh-CN"/>
        </w:rPr>
        <w:t>日</w:t>
      </w:r>
      <w:bookmarkStart w:id="43" w:name="_GoBack"/>
      <w:bookmarkEnd w:id="43"/>
    </w:p>
    <w:sectPr>
      <w:footerReference r:id="rId3" w:type="default"/>
      <w:footerReference r:id="rId4" w:type="even"/>
      <w:pgSz w:w="11900" w:h="16840"/>
      <w:pgMar w:top="1298" w:right="879" w:bottom="1372" w:left="884" w:header="457" w:footer="448" w:gutter="0"/>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41483">
    <w:pPr>
      <w:pStyle w:val="4"/>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E966F">
                          <w:pPr>
                            <w:pStyle w:val="4"/>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55E966F">
                    <w:pPr>
                      <w:pStyle w:val="4"/>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DE654">
    <w:pPr>
      <w:pStyle w:val="4"/>
    </w:pPr>
    <w:r>
      <w:rPr>
        <w:lang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735BF">
                          <w:pPr>
                            <w:pStyle w:val="4"/>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FE735BF">
                    <w:pPr>
                      <w:pStyle w:val="4"/>
                    </w:pPr>
                    <w:r>
                      <w:fldChar w:fldCharType="begin"/>
                    </w:r>
                    <w:r>
                      <w:instrText xml:space="preserve"> PAGE  \* MERGEFORMAT </w:instrText>
                    </w:r>
                    <w:r>
                      <w:fldChar w:fldCharType="separate"/>
                    </w:r>
                    <w:r>
                      <w:t>16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167EC6"/>
    <w:multiLevelType w:val="singleLevel"/>
    <w:tmpl w:val="C7167EC6"/>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81"/>
  <w:drawingGridVerticalSpacing w:val="181"/>
  <w:noPunctuationKerning w:val="1"/>
  <w:characterSpacingControl w:val="compressPunctuation"/>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ZhZGYwNTVjNmEwZDlmYmM0M2UzYmUxZTMyY2ZhNTgifQ=="/>
  </w:docVars>
  <w:rsids>
    <w:rsidRoot w:val="007A652B"/>
    <w:rsid w:val="00060BA1"/>
    <w:rsid w:val="00074709"/>
    <w:rsid w:val="000A0900"/>
    <w:rsid w:val="000B3DAE"/>
    <w:rsid w:val="000D5928"/>
    <w:rsid w:val="00100EBB"/>
    <w:rsid w:val="0012595B"/>
    <w:rsid w:val="00157E47"/>
    <w:rsid w:val="0018010D"/>
    <w:rsid w:val="00186418"/>
    <w:rsid w:val="001D2782"/>
    <w:rsid w:val="001D2B83"/>
    <w:rsid w:val="00206D04"/>
    <w:rsid w:val="00212EC9"/>
    <w:rsid w:val="002154A1"/>
    <w:rsid w:val="002327CA"/>
    <w:rsid w:val="00234BF7"/>
    <w:rsid w:val="00253F6B"/>
    <w:rsid w:val="0027170F"/>
    <w:rsid w:val="002D05DE"/>
    <w:rsid w:val="00317FA2"/>
    <w:rsid w:val="00350F47"/>
    <w:rsid w:val="003665AE"/>
    <w:rsid w:val="003669C1"/>
    <w:rsid w:val="003803C8"/>
    <w:rsid w:val="003C77C6"/>
    <w:rsid w:val="003E3ADE"/>
    <w:rsid w:val="00411967"/>
    <w:rsid w:val="00422D04"/>
    <w:rsid w:val="00427C8B"/>
    <w:rsid w:val="0043145C"/>
    <w:rsid w:val="00454645"/>
    <w:rsid w:val="00460DFB"/>
    <w:rsid w:val="00472704"/>
    <w:rsid w:val="00494EC2"/>
    <w:rsid w:val="004B4603"/>
    <w:rsid w:val="004C08B5"/>
    <w:rsid w:val="004C39BE"/>
    <w:rsid w:val="004D275E"/>
    <w:rsid w:val="004D63C6"/>
    <w:rsid w:val="004E1129"/>
    <w:rsid w:val="004E68D2"/>
    <w:rsid w:val="00551005"/>
    <w:rsid w:val="005870E4"/>
    <w:rsid w:val="00592E2C"/>
    <w:rsid w:val="005E26E4"/>
    <w:rsid w:val="005F2CD6"/>
    <w:rsid w:val="005F43E0"/>
    <w:rsid w:val="005F731D"/>
    <w:rsid w:val="006030FC"/>
    <w:rsid w:val="00621D94"/>
    <w:rsid w:val="006B287E"/>
    <w:rsid w:val="006C3B93"/>
    <w:rsid w:val="00722105"/>
    <w:rsid w:val="00725084"/>
    <w:rsid w:val="00735243"/>
    <w:rsid w:val="00755D16"/>
    <w:rsid w:val="00775053"/>
    <w:rsid w:val="007A652B"/>
    <w:rsid w:val="007A70D6"/>
    <w:rsid w:val="007C21CD"/>
    <w:rsid w:val="007E71CF"/>
    <w:rsid w:val="007F0C37"/>
    <w:rsid w:val="00815087"/>
    <w:rsid w:val="00851DFE"/>
    <w:rsid w:val="008538F3"/>
    <w:rsid w:val="00880358"/>
    <w:rsid w:val="0089092A"/>
    <w:rsid w:val="008B383B"/>
    <w:rsid w:val="008C125C"/>
    <w:rsid w:val="008C5415"/>
    <w:rsid w:val="00907658"/>
    <w:rsid w:val="009120D0"/>
    <w:rsid w:val="00917057"/>
    <w:rsid w:val="009445F8"/>
    <w:rsid w:val="00972F07"/>
    <w:rsid w:val="00983E06"/>
    <w:rsid w:val="0098709A"/>
    <w:rsid w:val="009C606E"/>
    <w:rsid w:val="009E2FF6"/>
    <w:rsid w:val="009F7F69"/>
    <w:rsid w:val="00A014E1"/>
    <w:rsid w:val="00A40E6C"/>
    <w:rsid w:val="00A60E1C"/>
    <w:rsid w:val="00A76D16"/>
    <w:rsid w:val="00A824A1"/>
    <w:rsid w:val="00AB0C45"/>
    <w:rsid w:val="00AC3733"/>
    <w:rsid w:val="00AC5FDD"/>
    <w:rsid w:val="00B1281B"/>
    <w:rsid w:val="00B17816"/>
    <w:rsid w:val="00B3659A"/>
    <w:rsid w:val="00BA63BD"/>
    <w:rsid w:val="00BC269B"/>
    <w:rsid w:val="00C429AC"/>
    <w:rsid w:val="00C71ADB"/>
    <w:rsid w:val="00CB390D"/>
    <w:rsid w:val="00CC190C"/>
    <w:rsid w:val="00CD6A08"/>
    <w:rsid w:val="00CD7A60"/>
    <w:rsid w:val="00CF18CD"/>
    <w:rsid w:val="00D05FB1"/>
    <w:rsid w:val="00D14CC9"/>
    <w:rsid w:val="00D176FF"/>
    <w:rsid w:val="00D21EDF"/>
    <w:rsid w:val="00D81DB4"/>
    <w:rsid w:val="00DB28B2"/>
    <w:rsid w:val="00DB7BCB"/>
    <w:rsid w:val="00DC025C"/>
    <w:rsid w:val="00DD1554"/>
    <w:rsid w:val="00E0354E"/>
    <w:rsid w:val="00E75BAC"/>
    <w:rsid w:val="00E840C1"/>
    <w:rsid w:val="00EB3B89"/>
    <w:rsid w:val="00EF06EA"/>
    <w:rsid w:val="00F27336"/>
    <w:rsid w:val="00F30FE5"/>
    <w:rsid w:val="00F32FDD"/>
    <w:rsid w:val="00F45A3B"/>
    <w:rsid w:val="00FE4689"/>
    <w:rsid w:val="02A20B47"/>
    <w:rsid w:val="02BC3862"/>
    <w:rsid w:val="03E03432"/>
    <w:rsid w:val="05C76D77"/>
    <w:rsid w:val="080B7CE8"/>
    <w:rsid w:val="0CAD0F0E"/>
    <w:rsid w:val="0DFA2141"/>
    <w:rsid w:val="0E2108C2"/>
    <w:rsid w:val="0E7A2AEF"/>
    <w:rsid w:val="0EE851DC"/>
    <w:rsid w:val="11DF6E40"/>
    <w:rsid w:val="12A57677"/>
    <w:rsid w:val="17C37D14"/>
    <w:rsid w:val="191A18A1"/>
    <w:rsid w:val="1C43089F"/>
    <w:rsid w:val="1E755BD6"/>
    <w:rsid w:val="208670FB"/>
    <w:rsid w:val="254C2F15"/>
    <w:rsid w:val="27D94208"/>
    <w:rsid w:val="28276E95"/>
    <w:rsid w:val="2A6519A4"/>
    <w:rsid w:val="2B873045"/>
    <w:rsid w:val="317E53E5"/>
    <w:rsid w:val="322E3E07"/>
    <w:rsid w:val="33733380"/>
    <w:rsid w:val="337C4ADF"/>
    <w:rsid w:val="34275581"/>
    <w:rsid w:val="358947C0"/>
    <w:rsid w:val="35DC5B4E"/>
    <w:rsid w:val="363F1298"/>
    <w:rsid w:val="382C41F8"/>
    <w:rsid w:val="39C82C53"/>
    <w:rsid w:val="3BF64F6F"/>
    <w:rsid w:val="3CD86842"/>
    <w:rsid w:val="3D246C4A"/>
    <w:rsid w:val="3EE16F43"/>
    <w:rsid w:val="3F816B3F"/>
    <w:rsid w:val="405A57B2"/>
    <w:rsid w:val="40FD2F42"/>
    <w:rsid w:val="447847A3"/>
    <w:rsid w:val="476E09E7"/>
    <w:rsid w:val="48B80921"/>
    <w:rsid w:val="49191669"/>
    <w:rsid w:val="49A2779A"/>
    <w:rsid w:val="49D84C94"/>
    <w:rsid w:val="4A5A347D"/>
    <w:rsid w:val="4B3071D3"/>
    <w:rsid w:val="4BAE2A13"/>
    <w:rsid w:val="4DD5505A"/>
    <w:rsid w:val="50195BF7"/>
    <w:rsid w:val="51AD665B"/>
    <w:rsid w:val="521E4B2D"/>
    <w:rsid w:val="53730A4C"/>
    <w:rsid w:val="54A96001"/>
    <w:rsid w:val="57DF1037"/>
    <w:rsid w:val="58BA0675"/>
    <w:rsid w:val="595B6AA6"/>
    <w:rsid w:val="638628D7"/>
    <w:rsid w:val="64994927"/>
    <w:rsid w:val="687B72EE"/>
    <w:rsid w:val="692C52D6"/>
    <w:rsid w:val="6D2800D2"/>
    <w:rsid w:val="70252F70"/>
    <w:rsid w:val="70827212"/>
    <w:rsid w:val="730719A3"/>
    <w:rsid w:val="74A70E32"/>
    <w:rsid w:val="76204B6E"/>
    <w:rsid w:val="76504984"/>
    <w:rsid w:val="78582392"/>
    <w:rsid w:val="7B8C4F01"/>
    <w:rsid w:val="7BED26CC"/>
    <w:rsid w:val="7C2C4FEC"/>
    <w:rsid w:val="7CD505C0"/>
    <w:rsid w:val="7EA128FE"/>
    <w:rsid w:val="7ECF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2"/>
    <w:basedOn w:val="1"/>
    <w:next w:val="1"/>
    <w:autoRedefine/>
    <w:qFormat/>
    <w:uiPriority w:val="0"/>
    <w:pPr>
      <w:keepNext/>
      <w:keepLines/>
      <w:spacing w:before="260" w:after="260" w:line="413" w:lineRule="auto"/>
      <w:outlineLvl w:val="1"/>
    </w:pPr>
    <w:rPr>
      <w:rFonts w:ascii="Arial" w:hAnsi="Arial" w:eastAsia="宋体"/>
      <w:b/>
      <w:sz w:val="32"/>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29"/>
    <w:autoRedefine/>
    <w:qFormat/>
    <w:uiPriority w:val="0"/>
    <w:pPr>
      <w:tabs>
        <w:tab w:val="center" w:pos="4153"/>
        <w:tab w:val="right" w:pos="8306"/>
      </w:tabs>
      <w:snapToGrid w:val="0"/>
    </w:pPr>
    <w:rPr>
      <w:sz w:val="18"/>
      <w:szCs w:val="18"/>
    </w:rPr>
  </w:style>
  <w:style w:type="paragraph" w:styleId="5">
    <w:name w:val="header"/>
    <w:basedOn w:val="1"/>
    <w:link w:val="28"/>
    <w:autoRedefine/>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1|1_"/>
    <w:basedOn w:val="8"/>
    <w:link w:val="10"/>
    <w:autoRedefine/>
    <w:qFormat/>
    <w:uiPriority w:val="0"/>
    <w:rPr>
      <w:rFonts w:ascii="宋体" w:hAnsi="宋体" w:eastAsia="宋体" w:cs="宋体"/>
      <w:sz w:val="40"/>
      <w:szCs w:val="40"/>
      <w:u w:val="none"/>
      <w:shd w:val="clear" w:color="auto" w:fill="auto"/>
      <w:lang w:val="zh-TW" w:eastAsia="zh-TW" w:bidi="zh-TW"/>
    </w:rPr>
  </w:style>
  <w:style w:type="paragraph" w:customStyle="1" w:styleId="10">
    <w:name w:val="Heading #1|1"/>
    <w:basedOn w:val="1"/>
    <w:link w:val="9"/>
    <w:autoRedefine/>
    <w:qFormat/>
    <w:uiPriority w:val="0"/>
    <w:pPr>
      <w:spacing w:before="320" w:after="4320" w:line="541" w:lineRule="exact"/>
      <w:jc w:val="center"/>
      <w:outlineLvl w:val="0"/>
    </w:pPr>
    <w:rPr>
      <w:rFonts w:ascii="宋体" w:hAnsi="宋体" w:eastAsia="宋体" w:cs="宋体"/>
      <w:sz w:val="40"/>
      <w:szCs w:val="40"/>
      <w:lang w:val="zh-TW" w:eastAsia="zh-TW" w:bidi="zh-TW"/>
    </w:rPr>
  </w:style>
  <w:style w:type="character" w:customStyle="1" w:styleId="11">
    <w:name w:val="Body text|1_"/>
    <w:basedOn w:val="8"/>
    <w:link w:val="12"/>
    <w:autoRedefine/>
    <w:qFormat/>
    <w:uiPriority w:val="0"/>
    <w:rPr>
      <w:rFonts w:ascii="宋体" w:hAnsi="宋体" w:eastAsia="宋体" w:cs="宋体"/>
      <w:sz w:val="28"/>
      <w:szCs w:val="28"/>
      <w:u w:val="none"/>
      <w:shd w:val="clear" w:color="auto" w:fill="auto"/>
      <w:lang w:val="zh-TW" w:eastAsia="zh-TW" w:bidi="zh-TW"/>
    </w:rPr>
  </w:style>
  <w:style w:type="paragraph" w:customStyle="1" w:styleId="12">
    <w:name w:val="Body text|1"/>
    <w:basedOn w:val="1"/>
    <w:link w:val="11"/>
    <w:autoRedefine/>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13">
    <w:name w:val="Header or footer|2_"/>
    <w:basedOn w:val="8"/>
    <w:link w:val="14"/>
    <w:autoRedefine/>
    <w:qFormat/>
    <w:uiPriority w:val="0"/>
    <w:rPr>
      <w:sz w:val="20"/>
      <w:szCs w:val="20"/>
      <w:u w:val="none"/>
      <w:shd w:val="clear" w:color="auto" w:fill="auto"/>
      <w:lang w:val="zh-TW" w:eastAsia="zh-TW" w:bidi="zh-TW"/>
    </w:rPr>
  </w:style>
  <w:style w:type="paragraph" w:customStyle="1" w:styleId="14">
    <w:name w:val="Header or footer|2"/>
    <w:basedOn w:val="1"/>
    <w:link w:val="13"/>
    <w:autoRedefine/>
    <w:qFormat/>
    <w:uiPriority w:val="0"/>
    <w:rPr>
      <w:sz w:val="20"/>
      <w:szCs w:val="20"/>
      <w:lang w:val="zh-TW" w:eastAsia="zh-TW" w:bidi="zh-TW"/>
    </w:rPr>
  </w:style>
  <w:style w:type="character" w:customStyle="1" w:styleId="15">
    <w:name w:val="Header or footer|1_"/>
    <w:basedOn w:val="8"/>
    <w:link w:val="16"/>
    <w:autoRedefine/>
    <w:qFormat/>
    <w:uiPriority w:val="0"/>
    <w:rPr>
      <w:rFonts w:ascii="宋体" w:hAnsi="宋体" w:eastAsia="宋体" w:cs="宋体"/>
      <w:sz w:val="26"/>
      <w:szCs w:val="26"/>
      <w:u w:val="none"/>
      <w:shd w:val="clear" w:color="auto" w:fill="auto"/>
      <w:lang w:val="zh-TW" w:eastAsia="zh-TW" w:bidi="zh-TW"/>
    </w:rPr>
  </w:style>
  <w:style w:type="paragraph" w:customStyle="1" w:styleId="16">
    <w:name w:val="Header or footer|1"/>
    <w:basedOn w:val="1"/>
    <w:link w:val="15"/>
    <w:autoRedefine/>
    <w:qFormat/>
    <w:uiPriority w:val="0"/>
    <w:rPr>
      <w:rFonts w:ascii="宋体" w:hAnsi="宋体" w:eastAsia="宋体" w:cs="宋体"/>
      <w:sz w:val="26"/>
      <w:szCs w:val="26"/>
      <w:lang w:val="zh-TW" w:eastAsia="zh-TW" w:bidi="zh-TW"/>
    </w:rPr>
  </w:style>
  <w:style w:type="character" w:customStyle="1" w:styleId="17">
    <w:name w:val="Body text|2_"/>
    <w:basedOn w:val="8"/>
    <w:link w:val="18"/>
    <w:autoRedefine/>
    <w:qFormat/>
    <w:uiPriority w:val="0"/>
    <w:rPr>
      <w:rFonts w:ascii="宋体" w:hAnsi="宋体" w:eastAsia="宋体" w:cs="宋体"/>
      <w:sz w:val="22"/>
      <w:szCs w:val="22"/>
      <w:u w:val="none"/>
      <w:shd w:val="clear" w:color="auto" w:fill="auto"/>
      <w:lang w:val="zh-TW" w:eastAsia="zh-TW" w:bidi="zh-TW"/>
    </w:rPr>
  </w:style>
  <w:style w:type="paragraph" w:customStyle="1" w:styleId="18">
    <w:name w:val="Body text|2"/>
    <w:basedOn w:val="1"/>
    <w:link w:val="17"/>
    <w:autoRedefine/>
    <w:qFormat/>
    <w:uiPriority w:val="0"/>
    <w:pPr>
      <w:spacing w:after="240"/>
    </w:pPr>
    <w:rPr>
      <w:rFonts w:ascii="宋体" w:hAnsi="宋体" w:eastAsia="宋体" w:cs="宋体"/>
      <w:sz w:val="22"/>
      <w:szCs w:val="22"/>
      <w:lang w:val="zh-TW" w:eastAsia="zh-TW" w:bidi="zh-TW"/>
    </w:rPr>
  </w:style>
  <w:style w:type="character" w:customStyle="1" w:styleId="19">
    <w:name w:val="Other|1_"/>
    <w:basedOn w:val="8"/>
    <w:link w:val="20"/>
    <w:autoRedefine/>
    <w:qFormat/>
    <w:uiPriority w:val="0"/>
    <w:rPr>
      <w:rFonts w:ascii="宋体" w:hAnsi="宋体" w:eastAsia="宋体" w:cs="宋体"/>
      <w:sz w:val="28"/>
      <w:szCs w:val="28"/>
      <w:u w:val="none"/>
      <w:shd w:val="clear" w:color="auto" w:fill="auto"/>
      <w:lang w:val="zh-TW" w:eastAsia="zh-TW" w:bidi="zh-TW"/>
    </w:rPr>
  </w:style>
  <w:style w:type="paragraph" w:customStyle="1" w:styleId="20">
    <w:name w:val="Other|1"/>
    <w:basedOn w:val="1"/>
    <w:link w:val="19"/>
    <w:autoRedefine/>
    <w:qFormat/>
    <w:uiPriority w:val="0"/>
    <w:pPr>
      <w:spacing w:after="100" w:line="389" w:lineRule="auto"/>
      <w:ind w:firstLine="400"/>
    </w:pPr>
    <w:rPr>
      <w:rFonts w:ascii="宋体" w:hAnsi="宋体" w:eastAsia="宋体" w:cs="宋体"/>
      <w:sz w:val="28"/>
      <w:szCs w:val="28"/>
      <w:lang w:val="zh-TW" w:eastAsia="zh-TW" w:bidi="zh-TW"/>
    </w:rPr>
  </w:style>
  <w:style w:type="character" w:customStyle="1" w:styleId="21">
    <w:name w:val="Other|2_"/>
    <w:basedOn w:val="8"/>
    <w:link w:val="22"/>
    <w:autoRedefine/>
    <w:qFormat/>
    <w:uiPriority w:val="0"/>
    <w:rPr>
      <w:rFonts w:ascii="宋体" w:hAnsi="宋体" w:eastAsia="宋体" w:cs="宋体"/>
      <w:sz w:val="15"/>
      <w:szCs w:val="15"/>
      <w:u w:val="none"/>
      <w:shd w:val="clear" w:color="auto" w:fill="auto"/>
      <w:lang w:val="zh-TW" w:eastAsia="zh-TW" w:bidi="zh-TW"/>
    </w:rPr>
  </w:style>
  <w:style w:type="paragraph" w:customStyle="1" w:styleId="22">
    <w:name w:val="Other|2"/>
    <w:basedOn w:val="1"/>
    <w:link w:val="21"/>
    <w:autoRedefine/>
    <w:qFormat/>
    <w:uiPriority w:val="0"/>
    <w:pPr>
      <w:spacing w:line="177" w:lineRule="exact"/>
      <w:jc w:val="center"/>
    </w:pPr>
    <w:rPr>
      <w:rFonts w:ascii="宋体" w:hAnsi="宋体" w:eastAsia="宋体" w:cs="宋体"/>
      <w:sz w:val="15"/>
      <w:szCs w:val="15"/>
      <w:lang w:val="zh-TW" w:eastAsia="zh-TW" w:bidi="zh-TW"/>
    </w:rPr>
  </w:style>
  <w:style w:type="character" w:customStyle="1" w:styleId="23">
    <w:name w:val="Body text|3_"/>
    <w:basedOn w:val="8"/>
    <w:link w:val="24"/>
    <w:autoRedefine/>
    <w:qFormat/>
    <w:uiPriority w:val="0"/>
    <w:rPr>
      <w:rFonts w:ascii="宋体" w:hAnsi="宋体" w:eastAsia="宋体" w:cs="宋体"/>
      <w:sz w:val="15"/>
      <w:szCs w:val="15"/>
      <w:u w:val="none"/>
      <w:shd w:val="clear" w:color="auto" w:fill="auto"/>
      <w:lang w:val="zh-TW" w:eastAsia="zh-TW" w:bidi="zh-TW"/>
    </w:rPr>
  </w:style>
  <w:style w:type="paragraph" w:customStyle="1" w:styleId="24">
    <w:name w:val="Body text|3"/>
    <w:basedOn w:val="1"/>
    <w:link w:val="23"/>
    <w:autoRedefine/>
    <w:qFormat/>
    <w:uiPriority w:val="0"/>
    <w:rPr>
      <w:rFonts w:ascii="宋体" w:hAnsi="宋体" w:eastAsia="宋体" w:cs="宋体"/>
      <w:sz w:val="15"/>
      <w:szCs w:val="15"/>
      <w:lang w:val="zh-TW" w:eastAsia="zh-TW" w:bidi="zh-TW"/>
    </w:rPr>
  </w:style>
  <w:style w:type="character" w:customStyle="1" w:styleId="25">
    <w:name w:val="Picture caption|1_"/>
    <w:basedOn w:val="8"/>
    <w:link w:val="26"/>
    <w:autoRedefine/>
    <w:qFormat/>
    <w:uiPriority w:val="0"/>
    <w:rPr>
      <w:rFonts w:ascii="宋体" w:hAnsi="宋体" w:eastAsia="宋体" w:cs="宋体"/>
      <w:sz w:val="20"/>
      <w:szCs w:val="20"/>
      <w:u w:val="none"/>
      <w:shd w:val="clear" w:color="auto" w:fill="auto"/>
      <w:lang w:val="zh-TW" w:eastAsia="zh-TW" w:bidi="zh-TW"/>
    </w:rPr>
  </w:style>
  <w:style w:type="paragraph" w:customStyle="1" w:styleId="26">
    <w:name w:val="Picture caption|1"/>
    <w:basedOn w:val="1"/>
    <w:link w:val="25"/>
    <w:autoRedefine/>
    <w:qFormat/>
    <w:uiPriority w:val="0"/>
    <w:pPr>
      <w:jc w:val="center"/>
    </w:pPr>
    <w:rPr>
      <w:rFonts w:ascii="宋体" w:hAnsi="宋体" w:eastAsia="宋体" w:cs="宋体"/>
      <w:sz w:val="20"/>
      <w:szCs w:val="20"/>
      <w:lang w:val="zh-TW" w:eastAsia="zh-TW" w:bidi="zh-TW"/>
    </w:rPr>
  </w:style>
  <w:style w:type="paragraph" w:styleId="27">
    <w:name w:val="List Paragraph"/>
    <w:basedOn w:val="1"/>
    <w:autoRedefine/>
    <w:qFormat/>
    <w:uiPriority w:val="34"/>
    <w:pPr>
      <w:ind w:firstLine="420" w:firstLineChars="200"/>
    </w:pPr>
  </w:style>
  <w:style w:type="character" w:customStyle="1" w:styleId="28">
    <w:name w:val="页眉 Char"/>
    <w:basedOn w:val="8"/>
    <w:link w:val="5"/>
    <w:autoRedefine/>
    <w:qFormat/>
    <w:uiPriority w:val="0"/>
    <w:rPr>
      <w:rFonts w:eastAsia="Times New Roman"/>
      <w:color w:val="000000"/>
      <w:sz w:val="18"/>
      <w:szCs w:val="18"/>
      <w:lang w:eastAsia="en-US" w:bidi="en-US"/>
    </w:rPr>
  </w:style>
  <w:style w:type="character" w:customStyle="1" w:styleId="29">
    <w:name w:val="页脚 Char"/>
    <w:basedOn w:val="8"/>
    <w:link w:val="4"/>
    <w:autoRedefine/>
    <w:qFormat/>
    <w:uiPriority w:val="0"/>
    <w:rPr>
      <w:rFonts w:eastAsia="Times New Roman"/>
      <w:color w:val="000000"/>
      <w:sz w:val="18"/>
      <w:szCs w:val="18"/>
      <w:lang w:eastAsia="en-US" w:bidi="en-US"/>
    </w:rPr>
  </w:style>
  <w:style w:type="character" w:customStyle="1" w:styleId="30">
    <w:name w:val="font11"/>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c53cf5c1-4754-4bd0-bd0e-7690d8ff7fa6</errorID>
      <errorWord>服务站</errorWord>
      <group>L1_Grammar</group>
      <groupName>语法问题</groupName>
      <ability>L2_Grammar</ability>
      <abilityName>语法错误</abilityName>
      <candidateList>
        <item>站</item>
      </candidateList>
      <explain/>
      <paraID>293787DF</paraID>
      <start>5</start>
      <end>8</end>
      <status>unmodified</status>
      <modifiedWord/>
      <trackRevisions>false</trackRevisions>
    </reviewItem>
    <reviewItem>
      <errorID>16b2d797-c4f6-437a-9986-684ef2b625d8</errorID>
      <errorWord>，以及</errorWord>
      <group>L1_Grammar</group>
      <groupName>语法问题</groupName>
      <ability>L2_Grammar</ability>
      <abilityName>语法错误</abilityName>
      <candidateList>
        <item>和</item>
      </candidateList>
      <explain/>
      <paraID>293787DF</paraID>
      <start>79</start>
      <end>80</end>
      <status>modified</status>
      <modifiedWord>和</modifiedWord>
      <trackRevisions>false</trackRevisions>
    </reviewItem>
    <reviewItem>
      <errorID>b772ef99-1a49-44eb-b66c-8d0d4bb46f3f</errorID>
      <errorWord>成效体现</errorWord>
      <group>L1_Grammar</group>
      <groupName>语法问题</groupName>
      <ability>L2_Grammar</ability>
      <abilityName>语法错误</abilityName>
      <candidateList>
        <item>成效</item>
      </candidateList>
      <explain/>
      <paraID>293787DF</paraID>
      <start>82</start>
      <end>84</end>
      <status>modified</status>
      <modifiedWord>成效</modifiedWord>
      <trackRevisions>false</trackRevisions>
    </reviewItem>
    <reviewItem>
      <errorID>941bee32-46d2-4a36-8876-3681383a3a23</errorID>
      <errorWord>以及过程中</errorWord>
      <group>L1_Grammar</group>
      <groupName>语法问题</groupName>
      <ability>L2_Grammar</ability>
      <abilityName>语法错误</abilityName>
      <candidateList>
        <item>和过程</item>
      </candidateList>
      <explain/>
      <paraID>75F31848</paraID>
      <start>45</start>
      <end>48</end>
      <status>modified</status>
      <modifiedWord>和过程</modifiedWord>
      <trackRevisions>false</trackRevisions>
    </reviewItem>
    <reviewItem>
      <errorID>639709d5-3be1-46a8-98e2-587f1724dcfe</errorID>
      <errorWord>（―）</errorWord>
      <group>L1_Format</group>
      <groupName>格式问题</groupName>
      <ability>L2_Ordinal</ability>
      <abilityName>序号格式</abilityName>
      <candidateList>
        <item>（一）</item>
      </candidateList>
      <explain>标题顺序错误，请检查标题顺序是否合理。</explain>
      <paraID>68186C46</paraID>
      <start>0</start>
      <end>3</end>
      <status>modified</status>
      <modifiedWord>（一）</modifiedWord>
      <trackRevisions>false</trackRevisions>
    </reviewItem>
    <reviewItem>
      <errorID>c9097fd1-c7df-403b-b6f5-0debd10d785f</errorID>
      <errorWord>——</errorWord>
      <group>L1_Word</group>
      <groupName>字词问题</groupName>
      <ability>L2_Typo</ability>
      <abilityName>字词错误</abilityName>
      <candidateList>
        <item>至</item>
      </candidateList>
      <explain/>
      <paraID>73868F13</paraID>
      <start>66</start>
      <end>67</end>
      <status>modified</status>
      <modifiedWord>至</modifiedWord>
      <trackRevisions>false</trackRevisions>
    </reviewItem>
    <reviewItem>
      <errorID>48ca49af-4603-43e8-8ef3-35ee9a160be8</errorID>
      <errorWord>中级</errorWord>
      <group>L1_Grammar</group>
      <groupName>语法问题</groupName>
      <ability>L2_Grammar</ability>
      <abilityName>语法错误</abilityName>
      <candidateList>
        <item>取得中级</item>
      </candidateList>
      <explain/>
      <paraID> 18AD35B</paraID>
      <start>170</start>
      <end>174</end>
      <status>modified</status>
      <modifiedWord>取得中级</modifiedWord>
      <trackRevisions>false</trackRevisions>
    </reviewItem>
    <reviewItem>
      <errorID>5f86f50e-673e-455c-904b-d201eab9a602</errorID>
      <errorWord>与</errorWord>
      <group>L1_Grammar</group>
      <groupName>语法问题</groupName>
      <ability>L2_Grammar</ability>
      <abilityName>语法错误</abilityName>
      <candidateList>
        <item>并加以</item>
      </candidateList>
      <explain/>
      <paraID>2069065C</paraID>
      <start>161</start>
      <end>164</end>
      <status>modified</status>
      <modifiedWord>并加以</modifiedWord>
      <trackRevisions>false</trackRevisions>
    </reviewItem>
    <reviewItem>
      <errorID>f2f9ee25-42ef-48af-856f-05c95fa9e367</errorID>
      <errorWord>个</errorWord>
      <group>L1_Knowledge</group>
      <groupName>知识性问题</groupName>
      <ability>L2_Knowledge</ability>
      <abilityName>其他知识</abilityName>
      <candidateList>
        <item>支</item>
      </candidateList>
      <explain>请检查“个”是否为量词使用错误，建议修改为“支”。</explain>
      <paraID>  C4E929</paraID>
      <start>41</start>
      <end>42</end>
      <status>modified</status>
      <modifiedWord>支</modifiedWord>
      <trackRevisions>false</trackRevisions>
    </reviewItem>
    <reviewItem>
      <errorID>1b38d8b0-6fe3-45e8-afb6-9f6bc8417530</errorID>
      <errorWord>持续</errorWord>
      <group>L1_Punc</group>
      <groupName>标点问题</groupName>
      <ability>L2_Punc_CN</ability>
      <abilityName>标点符号问题</abilityName>
      <candidateList>
        <item>，持续</item>
      </candidateList>
      <explain/>
      <paraID>  C4E929</paraID>
      <start>49</start>
      <end>52</end>
      <status>modified</status>
      <modifiedWord>，持续</modifiedWord>
      <trackRevisions>false</trackRevisions>
    </reviewItem>
    <reviewItem>
      <errorID>16824c82-33a4-44c0-aaa2-068c82598c0a</errorID>
      <errorWord>服务了</errorWord>
      <group>L1_Word</group>
      <groupName>字词问题</groupName>
      <ability>L2_Typo</ability>
      <abilityName>字词错误</abilityName>
      <candidateList>
        <item>服务</item>
      </candidateList>
      <explain/>
      <paraID>  C4E929</paraID>
      <start>63</start>
      <end>65</end>
      <status>modified</status>
      <modifiedWord>服务</modifiedWord>
      <trackRevisions>false</trackRevisions>
    </reviewItem>
    <reviewItem>
      <errorID>1127bda7-2d31-42d8-8877-2278c4d7a37d</errorID>
      <errorWord>服务了</errorWord>
      <group>L1_Word</group>
      <groupName>字词问题</groupName>
      <ability>L2_Typo</ability>
      <abilityName>字词错误</abilityName>
      <candidateList>
        <item>服务</item>
      </candidateList>
      <explain/>
      <paraID>  C4E929</paraID>
      <start>70</start>
      <end>72</end>
      <status>modified</status>
      <modifiedWord>服务</modifiedWord>
      <trackRevisions>false</trackRevisions>
    </reviewItem>
    <reviewItem>
      <errorID>bbc2cce9-4806-4bab-a893-fd493bc3823e</errorID>
      <errorWord>和</errorWord>
      <group>L1_Word</group>
      <groupName>字词问题</groupName>
      <ability>L2_Typo</ability>
      <abilityName>字词错误</abilityName>
      <candidateList>
        <item>的</item>
      </candidateList>
      <explain/>
      <paraID>55BB6366</paraID>
      <start>14</start>
      <end>15</end>
      <status>modified</status>
      <modifiedWord>的</modifiedWord>
      <trackRevisions>false</trackRevisions>
    </reviewItem>
    <reviewItem>
      <errorID>c4e76fbb-9d47-445f-b572-5456ad478f69</errorID>
      <errorWord>聚焦</errorWord>
      <group>L1_Punc</group>
      <groupName>标点问题</groupName>
      <ability>L2_Punc_CN</ability>
      <abilityName>标点符号问题</abilityName>
      <candidateList>
        <item>，聚焦</item>
      </candidateList>
      <explain/>
      <paraID>55BB6366</paraID>
      <start>183</start>
      <end>186</end>
      <status>modified</status>
      <modifiedWord>，聚焦</modifiedWord>
      <trackRevisions>false</trackRevisions>
    </reviewItem>
    <reviewItem>
      <errorID>ece48264-4dd2-4655-a531-39d3860e81b5</errorID>
      <errorWord>服务方向转化</errorWord>
      <group>L1_Grammar</group>
      <groupName>语法问题</groupName>
      <ability>L2_Grammar</ability>
      <abilityName>语法错误</abilityName>
      <candidateList>
        <item>服务</item>
      </candidateList>
      <explain/>
      <paraID>55BB6366</paraID>
      <start>212</start>
      <end>214</end>
      <status>modified</status>
      <modifiedWord>服务</modifiedWord>
      <trackRevisions>false</trackRevisions>
    </reviewItem>
    <reviewItem>
      <errorID>05b65b68-c0d0-4d42-91ea-0d4bee28ad17</errorID>
      <errorWord>，</errorWord>
      <group>L1_Word</group>
      <groupName>字词问题</groupName>
      <ability>L2_Typo</ability>
      <abilityName>字词错误</abilityName>
      <candidateList>
        <item>，在</item>
      </candidateList>
      <explain/>
      <paraID>55BB6366</paraID>
      <start>214</start>
      <end>216</end>
      <status>modified</status>
      <modifiedWord>，在</modifiedWord>
      <trackRevisions>false</trackRevisions>
    </reviewItem>
    <reviewItem>
      <errorID>3b9a23d2-03f0-4e2b-85d2-8a4486812335</errorID>
      <errorWord>需求</errorWord>
      <group>L1_Grammar</group>
      <groupName>语法问题</groupName>
      <ability>L2_Grammar</ability>
      <abilityName>语法错误</abilityName>
      <candidateList>
        <item>需求方面做了工作</item>
      </candidateList>
      <explain/>
      <paraID> 314871C</paraID>
      <start>62</start>
      <end>70</end>
      <status>modified</status>
      <modifiedWord>需求方面做了工作</modifiedWord>
      <trackRevisions>false</trackRevisions>
    </reviewItem>
    <reviewItem>
      <errorID>9ece6822-f058-4b2f-bc4c-17722c601a72</errorID>
      <errorWord>以及其</errorWord>
      <group>L1_Word</group>
      <groupName>字词问题</groupName>
      <ability>L2_Typo</ability>
      <abilityName>字词错误</abilityName>
      <candidateList>
        <item>以及</item>
      </candidateList>
      <explain/>
      <paraID> 314871C</paraID>
      <start>170</start>
      <end>172</end>
      <status>modified</status>
      <modifiedWord>以及</modifiedWord>
      <trackRevisions>false</trackRevisions>
    </reviewItem>
    <reviewItem>
      <errorID>989fb787-f1e6-4136-9da8-63891f0c752e</errorID>
      <errorWord>需求情况</errorWord>
      <group>L1_Grammar</group>
      <groupName>语法问题</groupName>
      <ability>L2_Grammar</ability>
      <abilityName>语法错误</abilityName>
      <candidateList>
        <item>需求</item>
      </candidateList>
      <explain/>
      <paraID> 314871C</paraID>
      <start>224</start>
      <end>226</end>
      <status>modified</status>
      <modifiedWord>需求</modifiedWord>
      <trackRevisions>false</trackRevisions>
    </reviewItem>
    <reviewItem>
      <errorID>d59e26bc-67f3-4fc8-a50c-23f7bd9dae58</errorID>
      <errorWord>抵触</errorWord>
      <group>L1_Grammar</group>
      <groupName>语法问题</groupName>
      <ability>L2_Grammar</ability>
      <abilityName>语法错误</abilityName>
      <candidateList>
        <item>抵触的情况</item>
      </candidateList>
      <explain/>
      <paraID>32F71255</paraID>
      <start>46</start>
      <end>51</end>
      <status>modified</status>
      <modifiedWord>抵触的情况</modifiedWord>
      <trackRevisions>false</trackRevisions>
    </reviewItem>
    <reviewItem>
      <errorID>ec6e1550-f620-4c97-ba09-0a34828c26df</errorID>
      <errorWord>实现</errorWord>
      <group>L1_Punc</group>
      <groupName>标点问题</groupName>
      <ability>L2_Punc_CN</ability>
      <abilityName>标点符号问题</abilityName>
      <candidateList>
        <item>，实现</item>
      </candidateList>
      <explain/>
      <paraID>6F6640FD</paraID>
      <start>259</start>
      <end>262</end>
      <status>modified</status>
      <modifiedWord>，实现</modifiedWord>
      <trackRevisions>false</trackRevisions>
    </reviewItem>
    <reviewItem>
      <errorID>6f6c1f8c-41aa-46b0-bb72-f9a9e82c36e0</errorID>
      <errorWord>注意平台</errorWord>
      <group>L1_Grammar</group>
      <groupName>语法问题</groupName>
      <ability>L2_Grammar</ability>
      <abilityName>语法错误</abilityName>
      <candidateList>
        <item>注意</item>
      </candidateList>
      <explain/>
      <paraID>6F6640FD</paraID>
      <start>277</start>
      <end>279</end>
      <status>modified</status>
      <modifiedWord>注意</modifiedWord>
      <trackRevisions>false</trackRevisions>
    </reviewItem>
    <reviewItem>
      <errorID>c161ff1b-a048-4300-b884-e317beb86b97</errorID>
      <errorWord>20</errorWord>
      <group>L1_Word</group>
      <groupName>字词问题</groupName>
      <ability>L2_Typo</ability>
      <abilityName>字词错误</abilityName>
      <candidateList>
        <item>共20</item>
      </candidateList>
      <explain/>
      <paraID>47C2848B</paraID>
      <start>147</start>
      <end>150</end>
      <status>modified</status>
      <modifiedWord>共20</modifiedWord>
      <trackRevisions>false</trackRevisions>
    </reviewItem>
    <reviewItem>
      <errorID>53a33229-b3fe-4612-aca4-27647d84c68e</errorID>
      <errorWord>指标</errorWord>
      <group>L1_Punc</group>
      <groupName>标点问题</groupName>
      <ability>L2_Punc_CN</ability>
      <abilityName>标点符号问题</abilityName>
      <candidateList>
        <item>，指标</item>
      </candidateList>
      <explain/>
      <paraID>47C2848B</paraID>
      <start>160</start>
      <end>163</end>
      <status>modified</status>
      <modifiedWord>，指标</modifiedWord>
      <trackRevisions>false</trackRevisions>
    </reviewItem>
    <reviewItem>
      <errorID>e5709efe-e0a4-44bc-b638-d5a4a2114b09</errorID>
      <errorWord>成因的分析</errorWord>
      <group>L1_Grammar</group>
      <groupName>语法问题</groupName>
      <ability>L2_Grammar</ability>
      <abilityName>语法错误</abilityName>
      <candidateList>
        <item>成因</item>
      </candidateList>
      <explain/>
      <paraID> 39AEFBF</paraID>
      <start>64</start>
      <end>66</end>
      <status>modified</status>
      <modifiedWord>成因</modifiedWord>
      <trackRevisions>false</trackRevisions>
    </reviewItem>
    <reviewItem>
      <errorID>23948679-a60f-4d63-944b-9e9944395525</errorID>
      <errorWord>成因的分析</errorWord>
      <group>L1_Grammar</group>
      <groupName>语法问题</groupName>
      <ability>L2_Grammar</ability>
      <abilityName>语法错误</abilityName>
      <candidateList>
        <item>成因</item>
      </candidateList>
      <explain/>
      <paraID>45DD292D</paraID>
      <start>98</start>
      <end>100</end>
      <status>modified</status>
      <modifiedWord>成因</modifiedWord>
      <trackRevisions>false</trackRevisions>
    </reviewItem>
    <reviewItem>
      <errorID>6afeb1e1-063d-415a-8200-d698f298f76a</errorID>
      <errorWord>贴合</errorWord>
      <group>L1_Word</group>
      <groupName>字词问题</groupName>
      <ability>L2_Typo</ability>
      <abilityName>字词错误</abilityName>
      <candidateList>
        <item>地贴合</item>
      </candidateList>
      <explain/>
      <paraID>69F082B4</paraID>
      <start>99</start>
      <end>102</end>
      <status>modified</status>
      <modifiedWord>地贴合</modifiedWord>
      <trackRevisions>false</trackRevisions>
    </reviewItem>
    <reviewItem>
      <errorID>b1837b80-7904-4ff5-ad66-860c13d463b3</errorID>
      <errorWord>，本年度</errorWord>
      <group>L1_Word</group>
      <groupName>字词问题</groupName>
      <ability>L2_Typo</ability>
      <abilityName>字词错误</abilityName>
      <candidateList>
        <item>。本年度，</item>
      </candidateList>
      <explain/>
      <paraID>69F082B4</paraID>
      <start>124</start>
      <end>129</end>
      <status>modified</status>
      <modifiedWord>。本年度，</modifiedWord>
      <trackRevisions>false</trackRevisions>
    </reviewItem>
    <reviewItem>
      <errorID>9c88db88-ed5e-4362-9082-510e7ace2d5d</errorID>
      <errorWord>、</errorWord>
      <group>L1_Punc</group>
      <groupName>标点问题</groupName>
      <ability>L2_Punc_CN</ability>
      <abilityName>标点符号问题</abilityName>
      <candidateList>
        <item>，</item>
      </candidateList>
      <explain/>
      <paraID>69F082B4</paraID>
      <start>146</start>
      <end>147</end>
      <status>modified</status>
      <modifiedWord>，</modifiedWord>
      <trackRevisions>false</trackRevisions>
    </reviewItem>
    <reviewItem>
      <errorID>59fd137d-1b68-4cc6-896c-4df9fa9973a9</errorID>
      <errorWord>版块</errorWord>
      <group>L1_Word</group>
      <groupName>字词问题</groupName>
      <ability>L2_Typo</ability>
      <abilityName>字词错误</abilityName>
      <candidateList>
        <item>板块</item>
      </candidateList>
      <explain/>
      <paraID>21A66E81</paraID>
      <start>117</start>
      <end>119</end>
      <status>modified</status>
      <modifiedWord>板块</modifiedWord>
      <trackRevisions>false</trackRevisions>
    </reviewItem>
    <reviewItem>
      <errorID>b743e8e2-fc30-431e-ab0d-d69366ae0bff</errorID>
      <errorWord>加强项目</errorWord>
      <group>L1_Grammar</group>
      <groupName>语法问题</groupName>
      <ability>L2_Grammar</ability>
      <abilityName>语法错误</abilityName>
      <candidateList>
        <item>加强</item>
      </candidateList>
      <explain/>
      <paraID>453B2DF2</paraID>
      <start>12</start>
      <end>14</end>
      <status>modified</status>
      <modifiedWord>加强</modifiedWord>
      <trackRevisions>false</trackRevisions>
    </reviewItem>
    <reviewItem>
      <errorID>2138af8a-2ae5-4cf6-a571-6acf011d6b1f</errorID>
      <errorWord>聚焦</errorWord>
      <group>L1_Punc</group>
      <groupName>标点问题</groupName>
      <ability>L2_Punc_CN</ability>
      <abilityName>标点符号问题</abilityName>
      <candidateList>
        <item>，聚焦</item>
      </candidateList>
      <explain/>
      <paraID> 82DF9E9</paraID>
      <start>25</start>
      <end>28</end>
      <status>modified</status>
      <modifiedWord>，聚焦</modifiedWord>
      <trackRevisions>false</trackRevisions>
    </reviewItem>
    <reviewItem>
      <errorID>cf2138d2-6784-4499-9c8d-203fe4f591bf</errorID>
      <errorWord>开展</errorWord>
      <group>L1_Word</group>
      <groupName>字词问题</groupName>
      <ability>L2_Typo</ability>
      <abilityName>字词错误</abilityName>
      <candidateList>
        <item>向开展</item>
      </candidateList>
      <explain/>
      <paraID> 82DF9E9</paraID>
      <start>43</start>
      <end>46</end>
      <status>modified</status>
      <modifiedWord>向开展</modifiedWord>
      <trackRevisions>false</trackRevisions>
    </reviewItem>
    <reviewItem>
      <errorID>53da569b-d4ee-4ed6-8de7-335cab2dc9f2</errorID>
      <errorWord>，</errorWord>
      <group>L1_Word</group>
      <groupName>字词问题</groupName>
      <ability>L2_Typo</ability>
      <abilityName>字词错误</abilityName>
      <candidateList>
        <item>，在</item>
      </candidateList>
      <explain/>
      <paraID> 82DF9E9</paraID>
      <start>61</start>
      <end>63</end>
      <status>modified</status>
      <modifiedWord>，在</modifiedWord>
      <trackRevisions>false</trackRevisions>
    </reviewItem>
    <reviewItem>
      <errorID>2e2fc287-d52d-43bc-a70d-40533cd6052a</errorID>
      <errorWord>表达三图</errorWord>
      <group>L1_Punc</group>
      <groupName>标点问题</groupName>
      <ability>L2_Punc_CN</ability>
      <abilityName>标点符号问题</abilityName>
      <candidateList>
        <item>“三图”</item>
      </candidateList>
      <explain/>
      <paraID> 82DF9E9</paraID>
      <start>128</start>
      <end>132</end>
      <status>modified</status>
      <modifiedWord>“三图”</modifiedWord>
      <trackRevisions>false</trackRevisions>
    </reviewItem>
    <reviewItem>
      <errorID>bbeac873-3cf9-4bbf-a999-3b3f1601420f</errorID>
      <errorWord>好</errorWord>
      <group>L1_Word</group>
      <groupName>字词问题</groupName>
      <ability>L2_Typo</ability>
      <abilityName>字词错误</abilityName>
      <candidateList>
        <item>好地</item>
      </candidateList>
      <explain/>
      <paraID> 82DF9E9</paraID>
      <start>137</start>
      <end>139</end>
      <status>modified</status>
      <modifiedWord>好地</modifiedWord>
      <trackRevisions>false</trackRevisions>
    </reviewItem>
    <reviewItem>
      <errorID>756b7a30-29b0-4ff9-9cdc-01f60a1d4a71</errorID>
      <errorWord>程</errorWord>
      <group>L1_Word</group>
      <groupName>字词问题</groupName>
      <ability>L2_Typo</ability>
      <abilityName>字词错误</abilityName>
      <candidateList>
        <item>程中</item>
      </candidateList>
      <explain/>
      <paraID> 82DF9E9</paraID>
      <start>178</start>
      <end>180</end>
      <status>modified</status>
      <modifiedWord>程中</modifiedWord>
      <trackRevisions>false</trackRevisions>
    </reviewItem>
    <reviewItem>
      <errorID>0392d038-dc64-485a-96c5-828d03128a65</errorID>
      <errorWord>更</errorWord>
      <group>L1_Word</group>
      <groupName>字词问题</groupName>
      <ability>L2_Typo</ability>
      <abilityName>字词错误</abilityName>
      <candidateList>
        <item>更加</item>
      </candidateList>
      <explain/>
      <paraID> 82DF9E9</paraID>
      <start>195</start>
      <end>197</end>
      <status>modified</status>
      <modifiedWord>更加</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f5dca1-0e50-447e-927f-f22c2171168c}">
  <ds:schemaRefs/>
</ds:datastoreItem>
</file>

<file path=docProps/app.xml><?xml version="1.0" encoding="utf-8"?>
<Properties xmlns="http://schemas.openxmlformats.org/officeDocument/2006/extended-properties" xmlns:vt="http://schemas.openxmlformats.org/officeDocument/2006/docPropsVTypes">
  <Template>Normal</Template>
  <Pages>22</Pages>
  <Words>12703</Words>
  <Characters>13177</Characters>
  <Lines>75</Lines>
  <Paragraphs>21</Paragraphs>
  <TotalTime>269</TotalTime>
  <ScaleCrop>false</ScaleCrop>
  <LinksUpToDate>false</LinksUpToDate>
  <CharactersWithSpaces>13243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2023-07-26T03:06:00Z</dcterms:created>
  <dc:creator>WPS Office</dc:creator>
  <cp:lastModifiedBy>番禺区社联会</cp:lastModifiedBy>
  <dcterms:modified xsi:type="dcterms:W3CDTF">2026-09-09T06:38:22Z</dcterms:modified>
  <dc:title>KM_C364e-20200923144555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422FF9D707F148358BF0FF768F314647_13</vt:lpwstr>
  </property>
  <property fmtid="{D5CDD505-2E9C-101B-9397-08002B2CF9AE}" pid="4" name="KSOTemplateDocerSaveRecord">
    <vt:lpwstr>eyJoZGlkIjoiZDZhZGYwNTVjNmEwZDlmYmM0M2UzYmUxZTMyY2ZhNTgiLCJ1c2VySWQiOiIyOTU1NTMyNTMifQ==</vt:lpwstr>
  </property>
</Properties>
</file>