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D56E6">
      <w:pPr>
        <w:pStyle w:val="10"/>
        <w:keepNext/>
        <w:keepLines/>
        <w:spacing w:before="0" w:after="0" w:line="560" w:lineRule="exact"/>
        <w:rPr>
          <w:rFonts w:ascii="方正小标宋简体" w:eastAsia="方正小标宋简体"/>
          <w:color w:val="auto"/>
          <w:lang w:val="en-US"/>
        </w:rPr>
      </w:pPr>
      <w:bookmarkStart w:id="0" w:name="bookmark1"/>
      <w:bookmarkStart w:id="1" w:name="bookmark2"/>
      <w:bookmarkStart w:id="2" w:name="bookmark0"/>
    </w:p>
    <w:p w14:paraId="4D398F00">
      <w:pPr>
        <w:pStyle w:val="10"/>
        <w:keepNext/>
        <w:keepLines/>
        <w:spacing w:before="0" w:after="0" w:line="560" w:lineRule="exact"/>
        <w:rPr>
          <w:rFonts w:ascii="方正小标宋简体" w:eastAsia="PMingLiU"/>
          <w:color w:val="auto"/>
          <w:lang w:val="en-US"/>
        </w:rPr>
      </w:pPr>
    </w:p>
    <w:p w14:paraId="2D84B11D">
      <w:pPr>
        <w:pStyle w:val="10"/>
        <w:keepNext/>
        <w:keepLines/>
        <w:spacing w:before="0" w:after="0" w:line="560" w:lineRule="exact"/>
        <w:rPr>
          <w:rFonts w:ascii="方正小标宋简体" w:eastAsia="PMingLiU"/>
          <w:color w:val="auto"/>
          <w:lang w:val="en-US"/>
        </w:rPr>
      </w:pPr>
    </w:p>
    <w:p w14:paraId="6758D8C3">
      <w:pPr>
        <w:pStyle w:val="10"/>
        <w:keepNext/>
        <w:keepLines/>
        <w:spacing w:before="0" w:after="0" w:line="560" w:lineRule="exact"/>
        <w:rPr>
          <w:rFonts w:ascii="方正小标宋简体" w:eastAsia="方正小标宋简体"/>
          <w:b/>
          <w:bCs/>
          <w:color w:val="auto"/>
          <w:sz w:val="44"/>
          <w:szCs w:val="44"/>
        </w:rPr>
      </w:pPr>
      <w:r>
        <w:rPr>
          <w:rFonts w:hint="eastAsia" w:ascii="方正小标宋简体" w:eastAsia="方正小标宋简体"/>
          <w:b/>
          <w:bCs/>
          <w:color w:val="auto"/>
          <w:sz w:val="44"/>
          <w:szCs w:val="44"/>
          <w:lang w:val="en-US" w:eastAsia="zh-CN"/>
        </w:rPr>
        <w:t>化龙镇</w:t>
      </w:r>
      <w:r>
        <w:rPr>
          <w:rFonts w:hint="eastAsia" w:ascii="方正小标宋简体" w:eastAsia="方正小标宋简体"/>
          <w:b/>
          <w:bCs/>
          <w:color w:val="auto"/>
          <w:sz w:val="44"/>
          <w:szCs w:val="44"/>
          <w:lang w:val="en-US"/>
        </w:rPr>
        <w:t>社工</w:t>
      </w:r>
      <w:r>
        <w:rPr>
          <w:rFonts w:hint="eastAsia" w:ascii="方正小标宋简体" w:eastAsia="方正小标宋简体"/>
          <w:b/>
          <w:bCs/>
          <w:color w:val="auto"/>
          <w:sz w:val="44"/>
          <w:szCs w:val="44"/>
        </w:rPr>
        <w:t>服务站</w:t>
      </w:r>
      <w:r>
        <w:rPr>
          <w:rFonts w:hint="eastAsia" w:ascii="方正小标宋简体" w:eastAsia="方正小标宋简体"/>
          <w:b/>
          <w:bCs/>
          <w:color w:val="auto"/>
          <w:sz w:val="44"/>
          <w:szCs w:val="44"/>
          <w:lang w:eastAsia="zh-CN"/>
        </w:rPr>
        <w:t>末期</w:t>
      </w:r>
      <w:r>
        <w:rPr>
          <w:rFonts w:hint="eastAsia" w:ascii="方正小标宋简体" w:eastAsia="方正小标宋简体"/>
          <w:b/>
          <w:bCs/>
          <w:color w:val="auto"/>
          <w:sz w:val="44"/>
          <w:szCs w:val="44"/>
        </w:rPr>
        <w:t>评估报告</w:t>
      </w:r>
      <w:bookmarkEnd w:id="0"/>
      <w:bookmarkEnd w:id="1"/>
      <w:bookmarkEnd w:id="2"/>
    </w:p>
    <w:p w14:paraId="38E80B31">
      <w:pPr>
        <w:pStyle w:val="10"/>
        <w:keepNext/>
        <w:keepLines/>
        <w:spacing w:before="0" w:after="0" w:line="560" w:lineRule="exact"/>
        <w:rPr>
          <w:rFonts w:ascii="方正小标宋简体" w:eastAsia="方正小标宋简体"/>
          <w:b/>
          <w:bCs/>
          <w:color w:val="auto"/>
          <w:sz w:val="44"/>
          <w:szCs w:val="44"/>
          <w:lang w:eastAsia="zh-CN"/>
        </w:rPr>
      </w:pPr>
      <w:r>
        <w:rPr>
          <w:rFonts w:hint="eastAsia" w:ascii="方正小标宋简体" w:eastAsia="方正小标宋简体"/>
          <w:b/>
          <w:bCs/>
          <w:color w:val="auto"/>
          <w:sz w:val="44"/>
          <w:szCs w:val="44"/>
          <w:lang w:eastAsia="zh-CN"/>
        </w:rPr>
        <w:t>（协议期：202</w:t>
      </w:r>
      <w:r>
        <w:rPr>
          <w:rFonts w:hint="eastAsia" w:ascii="方正小标宋简体" w:eastAsia="方正小标宋简体"/>
          <w:b/>
          <w:bCs/>
          <w:color w:val="auto"/>
          <w:sz w:val="44"/>
          <w:szCs w:val="44"/>
          <w:lang w:val="en-US" w:eastAsia="zh-CN"/>
        </w:rPr>
        <w:t>5</w:t>
      </w:r>
      <w:r>
        <w:rPr>
          <w:rFonts w:hint="eastAsia" w:ascii="方正小标宋简体" w:eastAsia="方正小标宋简体"/>
          <w:b/>
          <w:bCs/>
          <w:color w:val="auto"/>
          <w:sz w:val="44"/>
          <w:szCs w:val="44"/>
          <w:lang w:eastAsia="zh-CN"/>
        </w:rPr>
        <w:t>年8月</w:t>
      </w:r>
      <w:r>
        <w:rPr>
          <w:rFonts w:hint="eastAsia" w:ascii="方正小标宋简体" w:eastAsia="方正小标宋简体"/>
          <w:b/>
          <w:bCs/>
          <w:color w:val="auto"/>
          <w:sz w:val="44"/>
          <w:szCs w:val="44"/>
          <w:lang w:val="en-US" w:eastAsia="zh-CN"/>
        </w:rPr>
        <w:t>9</w:t>
      </w:r>
      <w:r>
        <w:rPr>
          <w:rFonts w:hint="eastAsia" w:ascii="方正小标宋简体" w:eastAsia="方正小标宋简体"/>
          <w:b/>
          <w:bCs/>
          <w:color w:val="auto"/>
          <w:sz w:val="44"/>
          <w:szCs w:val="44"/>
          <w:lang w:eastAsia="zh-CN"/>
        </w:rPr>
        <w:t>日—202</w:t>
      </w:r>
      <w:r>
        <w:rPr>
          <w:rFonts w:hint="eastAsia" w:ascii="方正小标宋简体" w:eastAsia="方正小标宋简体"/>
          <w:b/>
          <w:bCs/>
          <w:color w:val="auto"/>
          <w:sz w:val="44"/>
          <w:szCs w:val="44"/>
          <w:lang w:val="en-US" w:eastAsia="zh-CN"/>
        </w:rPr>
        <w:t>6</w:t>
      </w:r>
      <w:r>
        <w:rPr>
          <w:rFonts w:hint="eastAsia" w:ascii="方正小标宋简体" w:eastAsia="方正小标宋简体"/>
          <w:b/>
          <w:bCs/>
          <w:color w:val="auto"/>
          <w:sz w:val="44"/>
          <w:szCs w:val="44"/>
          <w:lang w:eastAsia="zh-CN"/>
        </w:rPr>
        <w:t>年8月</w:t>
      </w:r>
      <w:r>
        <w:rPr>
          <w:rFonts w:hint="eastAsia" w:ascii="方正小标宋简体" w:eastAsia="方正小标宋简体"/>
          <w:b/>
          <w:bCs/>
          <w:color w:val="auto"/>
          <w:sz w:val="44"/>
          <w:szCs w:val="44"/>
          <w:lang w:val="en-US" w:eastAsia="zh-CN"/>
        </w:rPr>
        <w:t>8</w:t>
      </w:r>
      <w:r>
        <w:rPr>
          <w:rFonts w:hint="eastAsia" w:ascii="方正小标宋简体" w:eastAsia="方正小标宋简体"/>
          <w:b/>
          <w:bCs/>
          <w:color w:val="auto"/>
          <w:sz w:val="44"/>
          <w:szCs w:val="44"/>
          <w:lang w:eastAsia="zh-CN"/>
        </w:rPr>
        <w:t>日）</w:t>
      </w:r>
    </w:p>
    <w:p w14:paraId="623439B3">
      <w:pPr>
        <w:pStyle w:val="12"/>
        <w:spacing w:after="0" w:line="560" w:lineRule="exact"/>
        <w:ind w:firstLine="2522" w:firstLineChars="900"/>
        <w:jc w:val="both"/>
        <w:rPr>
          <w:rFonts w:ascii="仿宋_GB2312" w:eastAsia="PMingLiU"/>
          <w:b/>
          <w:color w:val="auto"/>
        </w:rPr>
      </w:pPr>
      <w:bookmarkStart w:id="3" w:name="bookmark3"/>
      <w:bookmarkStart w:id="4" w:name="bookmark5"/>
      <w:bookmarkStart w:id="5" w:name="bookmark4"/>
    </w:p>
    <w:p w14:paraId="2F5FEC54">
      <w:pPr>
        <w:pStyle w:val="12"/>
        <w:spacing w:after="0" w:line="560" w:lineRule="exact"/>
        <w:ind w:firstLine="2522" w:firstLineChars="900"/>
        <w:jc w:val="both"/>
        <w:rPr>
          <w:rFonts w:ascii="仿宋_GB2312" w:eastAsia="PMingLiU"/>
          <w:b/>
          <w:color w:val="auto"/>
        </w:rPr>
      </w:pPr>
    </w:p>
    <w:p w14:paraId="28E4FCBB">
      <w:pPr>
        <w:pStyle w:val="12"/>
        <w:spacing w:after="0" w:line="560" w:lineRule="exact"/>
        <w:ind w:firstLine="2522" w:firstLineChars="900"/>
        <w:jc w:val="both"/>
        <w:rPr>
          <w:rFonts w:ascii="仿宋_GB2312" w:eastAsia="PMingLiU"/>
          <w:b/>
          <w:color w:val="auto"/>
        </w:rPr>
      </w:pPr>
    </w:p>
    <w:p w14:paraId="022E4608">
      <w:pPr>
        <w:pStyle w:val="12"/>
        <w:spacing w:after="0" w:line="560" w:lineRule="exact"/>
        <w:ind w:firstLine="2522" w:firstLineChars="900"/>
        <w:jc w:val="both"/>
        <w:rPr>
          <w:rFonts w:ascii="仿宋_GB2312" w:eastAsia="PMingLiU"/>
          <w:b/>
          <w:color w:val="auto"/>
        </w:rPr>
      </w:pPr>
    </w:p>
    <w:p w14:paraId="5A0ABD8B">
      <w:pPr>
        <w:pStyle w:val="12"/>
        <w:spacing w:after="0" w:line="560" w:lineRule="exact"/>
        <w:ind w:firstLine="2522" w:firstLineChars="900"/>
        <w:jc w:val="both"/>
        <w:rPr>
          <w:rFonts w:ascii="仿宋_GB2312" w:eastAsia="PMingLiU"/>
          <w:b/>
          <w:color w:val="auto"/>
        </w:rPr>
      </w:pPr>
    </w:p>
    <w:p w14:paraId="63E1B6E4">
      <w:pPr>
        <w:pStyle w:val="12"/>
        <w:spacing w:after="0" w:line="560" w:lineRule="exact"/>
        <w:ind w:firstLine="2522" w:firstLineChars="900"/>
        <w:jc w:val="both"/>
        <w:rPr>
          <w:rFonts w:ascii="仿宋_GB2312" w:eastAsia="PMingLiU"/>
          <w:b/>
          <w:color w:val="auto"/>
        </w:rPr>
      </w:pPr>
    </w:p>
    <w:p w14:paraId="3D73710C">
      <w:pPr>
        <w:pStyle w:val="12"/>
        <w:spacing w:after="0" w:line="560" w:lineRule="exact"/>
        <w:ind w:firstLine="2522" w:firstLineChars="900"/>
        <w:jc w:val="both"/>
        <w:rPr>
          <w:rFonts w:ascii="仿宋_GB2312" w:eastAsia="PMingLiU"/>
          <w:b/>
          <w:color w:val="auto"/>
        </w:rPr>
      </w:pPr>
    </w:p>
    <w:p w14:paraId="505C1260">
      <w:pPr>
        <w:pStyle w:val="12"/>
        <w:spacing w:after="0" w:line="560" w:lineRule="exact"/>
        <w:ind w:firstLine="2522" w:firstLineChars="900"/>
        <w:jc w:val="both"/>
        <w:rPr>
          <w:rFonts w:ascii="仿宋_GB2312" w:eastAsia="PMingLiU"/>
          <w:b/>
          <w:color w:val="auto"/>
        </w:rPr>
      </w:pPr>
    </w:p>
    <w:p w14:paraId="78302A93">
      <w:pPr>
        <w:pStyle w:val="12"/>
        <w:spacing w:after="0" w:line="560" w:lineRule="exact"/>
        <w:ind w:firstLine="2522" w:firstLineChars="900"/>
        <w:jc w:val="both"/>
        <w:rPr>
          <w:rFonts w:ascii="仿宋_GB2312" w:eastAsia="PMingLiU"/>
          <w:b/>
          <w:color w:val="auto"/>
        </w:rPr>
      </w:pPr>
    </w:p>
    <w:p w14:paraId="15B7CDE2">
      <w:pPr>
        <w:pStyle w:val="12"/>
        <w:spacing w:after="0" w:line="560" w:lineRule="exact"/>
        <w:ind w:firstLine="2522" w:firstLineChars="900"/>
        <w:jc w:val="both"/>
        <w:rPr>
          <w:rFonts w:ascii="仿宋_GB2312" w:eastAsia="PMingLiU"/>
          <w:b/>
          <w:color w:val="auto"/>
        </w:rPr>
      </w:pPr>
    </w:p>
    <w:p w14:paraId="3681387F">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评估委托方：广州市</w:t>
      </w:r>
      <w:r>
        <w:rPr>
          <w:rFonts w:hint="eastAsia" w:ascii="仿宋_GB2312" w:eastAsia="仿宋_GB2312"/>
          <w:b/>
          <w:color w:val="auto"/>
          <w:lang w:val="en-US"/>
        </w:rPr>
        <w:t>番禺</w:t>
      </w:r>
      <w:r>
        <w:rPr>
          <w:rFonts w:hint="eastAsia" w:ascii="仿宋_GB2312" w:eastAsia="仿宋_GB2312"/>
          <w:b/>
          <w:color w:val="auto"/>
        </w:rPr>
        <w:t>区民政局</w:t>
      </w:r>
    </w:p>
    <w:p w14:paraId="7CEE1B40">
      <w:pPr>
        <w:pStyle w:val="12"/>
        <w:spacing w:after="0" w:line="560" w:lineRule="exact"/>
        <w:ind w:firstLine="2086" w:firstLineChars="742"/>
        <w:jc w:val="both"/>
        <w:rPr>
          <w:rFonts w:hint="default" w:ascii="仿宋_GB2312" w:eastAsia="仿宋_GB2312"/>
          <w:b/>
          <w:color w:val="auto"/>
          <w:lang w:val="en-US"/>
        </w:rPr>
      </w:pPr>
      <w:r>
        <w:rPr>
          <w:rFonts w:hint="eastAsia" w:ascii="仿宋_GB2312" w:eastAsia="仿宋_GB2312"/>
          <w:b/>
          <w:color w:val="auto"/>
        </w:rPr>
        <w:t>项目购买方：广州市</w:t>
      </w:r>
      <w:r>
        <w:rPr>
          <w:rFonts w:hint="eastAsia" w:ascii="仿宋_GB2312" w:eastAsia="仿宋_GB2312"/>
          <w:b/>
          <w:color w:val="auto"/>
          <w:lang w:val="en-US"/>
        </w:rPr>
        <w:t>番禺区</w:t>
      </w:r>
      <w:r>
        <w:rPr>
          <w:rFonts w:hint="eastAsia" w:ascii="仿宋_GB2312" w:eastAsia="仿宋_GB2312"/>
          <w:b/>
          <w:color w:val="auto"/>
          <w:lang w:val="en-US" w:eastAsia="zh-CN"/>
        </w:rPr>
        <w:t>化龙镇人民政府</w:t>
      </w:r>
    </w:p>
    <w:p w14:paraId="0377BAE2">
      <w:pPr>
        <w:pStyle w:val="12"/>
        <w:spacing w:after="0" w:line="560" w:lineRule="exact"/>
        <w:ind w:firstLine="2086" w:firstLineChars="742"/>
        <w:jc w:val="both"/>
        <w:rPr>
          <w:rFonts w:hint="default" w:ascii="仿宋_GB2312" w:eastAsia="仿宋_GB2312"/>
          <w:b/>
          <w:color w:val="auto"/>
          <w:lang w:val="en-US" w:eastAsia="zh-CN"/>
        </w:rPr>
      </w:pPr>
      <w:r>
        <w:rPr>
          <w:rFonts w:hint="eastAsia" w:ascii="仿宋_GB2312" w:eastAsia="仿宋_GB2312"/>
          <w:b/>
          <w:color w:val="auto"/>
        </w:rPr>
        <w:t>项目承办方：广州市番禺区普爱社会工作服务社</w:t>
      </w:r>
    </w:p>
    <w:p w14:paraId="47F72B83">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项目评估方：</w:t>
      </w:r>
      <w:r>
        <w:rPr>
          <w:rFonts w:hint="eastAsia" w:ascii="仿宋_GB2312" w:eastAsia="仿宋_GB2312"/>
          <w:b/>
          <w:color w:val="auto"/>
          <w:lang w:val="en-US"/>
        </w:rPr>
        <w:t>广州市番禺区</w:t>
      </w:r>
      <w:r>
        <w:rPr>
          <w:rFonts w:hint="eastAsia" w:ascii="仿宋_GB2312" w:eastAsia="仿宋_GB2312"/>
          <w:b/>
          <w:color w:val="auto"/>
        </w:rPr>
        <w:t>社会组织联合会</w:t>
      </w:r>
    </w:p>
    <w:p w14:paraId="2CBEF90A">
      <w:pPr>
        <w:pStyle w:val="12"/>
        <w:spacing w:after="0" w:line="560" w:lineRule="exact"/>
        <w:ind w:firstLine="2086" w:firstLineChars="742"/>
        <w:jc w:val="both"/>
        <w:rPr>
          <w:rFonts w:ascii="仿宋_GB2312" w:eastAsia="仿宋_GB2312"/>
          <w:b/>
          <w:color w:val="auto"/>
        </w:rPr>
      </w:pPr>
      <w:r>
        <w:rPr>
          <w:rFonts w:hint="eastAsia" w:ascii="仿宋_GB2312" w:eastAsia="仿宋_GB2312"/>
          <w:b/>
          <w:color w:val="auto"/>
        </w:rPr>
        <w:t>评估日期：</w:t>
      </w:r>
      <w:r>
        <w:rPr>
          <w:rFonts w:hint="eastAsia" w:ascii="仿宋_GB2312" w:eastAsia="仿宋_GB2312"/>
          <w:b/>
          <w:color w:val="auto"/>
          <w:lang w:val="en-US" w:eastAsia="zh-CN"/>
        </w:rPr>
        <w:t>2026年8</w:t>
      </w:r>
      <w:r>
        <w:rPr>
          <w:rFonts w:hint="eastAsia" w:ascii="仿宋_GB2312" w:eastAsia="仿宋_GB2312"/>
          <w:b/>
          <w:color w:val="auto"/>
          <w:lang w:val="en-US"/>
        </w:rPr>
        <w:t>月</w:t>
      </w:r>
      <w:r>
        <w:rPr>
          <w:rFonts w:hint="eastAsia" w:ascii="仿宋_GB2312" w:eastAsia="仿宋_GB2312"/>
          <w:b/>
          <w:color w:val="auto"/>
          <w:lang w:val="en-US" w:eastAsia="zh-CN"/>
        </w:rPr>
        <w:t>3</w:t>
      </w:r>
      <w:r>
        <w:rPr>
          <w:rFonts w:hint="eastAsia" w:ascii="仿宋_GB2312" w:eastAsia="仿宋_GB2312"/>
          <w:b/>
          <w:color w:val="auto"/>
          <w:lang w:val="en-US"/>
        </w:rPr>
        <w:t>日</w:t>
      </w:r>
    </w:p>
    <w:p w14:paraId="49D7B960">
      <w:pPr>
        <w:pStyle w:val="12"/>
        <w:spacing w:after="0" w:line="240" w:lineRule="auto"/>
        <w:ind w:firstLine="0"/>
        <w:rPr>
          <w:color w:val="auto"/>
        </w:rPr>
      </w:pPr>
    </w:p>
    <w:p w14:paraId="57861A8E">
      <w:pPr>
        <w:pStyle w:val="12"/>
        <w:spacing w:after="0" w:line="240" w:lineRule="auto"/>
        <w:ind w:firstLine="0"/>
        <w:rPr>
          <w:color w:val="auto"/>
        </w:rPr>
      </w:pPr>
    </w:p>
    <w:p w14:paraId="20C3B0DE">
      <w:pPr>
        <w:pStyle w:val="12"/>
        <w:spacing w:after="0" w:line="240" w:lineRule="auto"/>
        <w:ind w:firstLine="0"/>
        <w:rPr>
          <w:color w:val="auto"/>
        </w:rPr>
      </w:pPr>
    </w:p>
    <w:p w14:paraId="23EA1612">
      <w:pPr>
        <w:pStyle w:val="12"/>
        <w:spacing w:after="0" w:line="240" w:lineRule="auto"/>
        <w:ind w:firstLine="0"/>
        <w:rPr>
          <w:color w:val="auto"/>
        </w:rPr>
      </w:pPr>
    </w:p>
    <w:p w14:paraId="002210CE">
      <w:pPr>
        <w:pStyle w:val="12"/>
        <w:spacing w:after="0" w:line="240" w:lineRule="auto"/>
        <w:ind w:firstLine="0"/>
        <w:rPr>
          <w:rFonts w:eastAsia="PMingLiU"/>
          <w:color w:val="auto"/>
        </w:rPr>
        <w:sectPr>
          <w:pgSz w:w="11900" w:h="16840"/>
          <w:pgMar w:top="1301" w:right="876" w:bottom="1373" w:left="885" w:header="457" w:footer="448" w:gutter="0"/>
          <w:cols w:space="720" w:num="1"/>
          <w:docGrid w:linePitch="360" w:charSpace="0"/>
        </w:sectPr>
      </w:pPr>
    </w:p>
    <w:p w14:paraId="26DA6256">
      <w:pPr>
        <w:pStyle w:val="12"/>
        <w:spacing w:after="0" w:line="240" w:lineRule="auto"/>
        <w:ind w:firstLine="0"/>
        <w:rPr>
          <w:color w:val="auto"/>
        </w:rPr>
      </w:pPr>
    </w:p>
    <w:bookmarkEnd w:id="3"/>
    <w:bookmarkEnd w:id="4"/>
    <w:bookmarkEnd w:id="5"/>
    <w:p w14:paraId="2C898E71">
      <w:pPr>
        <w:pStyle w:val="10"/>
        <w:keepNext/>
        <w:keepLines/>
        <w:spacing w:before="0" w:after="0" w:line="560" w:lineRule="exact"/>
        <w:rPr>
          <w:rFonts w:ascii="方正小标宋简体" w:eastAsia="方正小标宋简体"/>
          <w:b/>
          <w:bCs/>
          <w:color w:val="auto"/>
          <w:sz w:val="44"/>
          <w:szCs w:val="44"/>
        </w:rPr>
      </w:pPr>
      <w:r>
        <w:rPr>
          <w:rFonts w:hint="eastAsia" w:ascii="方正小标宋简体" w:eastAsia="方正小标宋简体"/>
          <w:b/>
          <w:bCs/>
          <w:color w:val="auto"/>
          <w:sz w:val="44"/>
          <w:szCs w:val="44"/>
          <w:lang w:val="en-US" w:eastAsia="zh-CN"/>
        </w:rPr>
        <w:t>化龙镇</w:t>
      </w:r>
      <w:r>
        <w:rPr>
          <w:rFonts w:hint="eastAsia" w:ascii="方正小标宋简体" w:eastAsia="方正小标宋简体"/>
          <w:b/>
          <w:bCs/>
          <w:color w:val="auto"/>
          <w:sz w:val="44"/>
          <w:szCs w:val="44"/>
          <w:lang w:val="en-US"/>
        </w:rPr>
        <w:t>社工</w:t>
      </w:r>
      <w:r>
        <w:rPr>
          <w:rFonts w:hint="eastAsia" w:ascii="方正小标宋简体" w:eastAsia="方正小标宋简体"/>
          <w:b/>
          <w:bCs/>
          <w:color w:val="auto"/>
          <w:sz w:val="44"/>
          <w:szCs w:val="44"/>
        </w:rPr>
        <w:t>服务站</w:t>
      </w:r>
      <w:r>
        <w:rPr>
          <w:rFonts w:hint="eastAsia" w:ascii="方正小标宋简体" w:eastAsia="方正小标宋简体"/>
          <w:b/>
          <w:bCs/>
          <w:color w:val="auto"/>
          <w:sz w:val="44"/>
          <w:szCs w:val="44"/>
          <w:lang w:eastAsia="zh-CN"/>
        </w:rPr>
        <w:t>末期</w:t>
      </w:r>
      <w:r>
        <w:rPr>
          <w:rFonts w:hint="eastAsia" w:ascii="方正小标宋简体" w:eastAsia="方正小标宋简体"/>
          <w:b/>
          <w:bCs/>
          <w:color w:val="auto"/>
          <w:sz w:val="44"/>
          <w:szCs w:val="44"/>
        </w:rPr>
        <w:t>评估报告</w:t>
      </w:r>
    </w:p>
    <w:p w14:paraId="50ADC3FA">
      <w:pPr>
        <w:pStyle w:val="10"/>
        <w:keepNext/>
        <w:keepLines/>
        <w:spacing w:before="0" w:after="0" w:line="560" w:lineRule="exact"/>
        <w:rPr>
          <w:rFonts w:ascii="方正小标宋简体" w:eastAsia="方正小标宋简体"/>
          <w:b/>
          <w:bCs/>
          <w:color w:val="auto"/>
          <w:sz w:val="44"/>
          <w:szCs w:val="44"/>
          <w:lang w:eastAsia="zh-CN"/>
        </w:rPr>
      </w:pPr>
      <w:r>
        <w:rPr>
          <w:rFonts w:hint="eastAsia" w:ascii="方正小标宋简体" w:eastAsia="方正小标宋简体"/>
          <w:b/>
          <w:bCs/>
          <w:color w:val="auto"/>
          <w:sz w:val="44"/>
          <w:szCs w:val="44"/>
          <w:lang w:eastAsia="zh-CN"/>
        </w:rPr>
        <w:t>（协议期：202</w:t>
      </w:r>
      <w:r>
        <w:rPr>
          <w:rFonts w:hint="eastAsia" w:ascii="方正小标宋简体" w:eastAsia="方正小标宋简体"/>
          <w:b/>
          <w:bCs/>
          <w:color w:val="auto"/>
          <w:sz w:val="44"/>
          <w:szCs w:val="44"/>
          <w:lang w:val="en-US" w:eastAsia="zh-CN"/>
        </w:rPr>
        <w:t>5</w:t>
      </w:r>
      <w:r>
        <w:rPr>
          <w:rFonts w:hint="eastAsia" w:ascii="方正小标宋简体" w:eastAsia="方正小标宋简体"/>
          <w:b/>
          <w:bCs/>
          <w:color w:val="auto"/>
          <w:sz w:val="44"/>
          <w:szCs w:val="44"/>
          <w:lang w:eastAsia="zh-CN"/>
        </w:rPr>
        <w:t>年8月</w:t>
      </w:r>
      <w:r>
        <w:rPr>
          <w:rFonts w:hint="eastAsia" w:ascii="方正小标宋简体" w:eastAsia="方正小标宋简体"/>
          <w:b/>
          <w:bCs/>
          <w:color w:val="auto"/>
          <w:sz w:val="44"/>
          <w:szCs w:val="44"/>
          <w:lang w:val="en-US" w:eastAsia="zh-CN"/>
        </w:rPr>
        <w:t>9</w:t>
      </w:r>
      <w:r>
        <w:rPr>
          <w:rFonts w:hint="eastAsia" w:ascii="方正小标宋简体" w:eastAsia="方正小标宋简体"/>
          <w:b/>
          <w:bCs/>
          <w:color w:val="auto"/>
          <w:sz w:val="44"/>
          <w:szCs w:val="44"/>
          <w:lang w:eastAsia="zh-CN"/>
        </w:rPr>
        <w:t>日—202</w:t>
      </w:r>
      <w:r>
        <w:rPr>
          <w:rFonts w:hint="eastAsia" w:ascii="方正小标宋简体" w:eastAsia="方正小标宋简体"/>
          <w:b/>
          <w:bCs/>
          <w:color w:val="auto"/>
          <w:sz w:val="44"/>
          <w:szCs w:val="44"/>
          <w:lang w:val="en-US" w:eastAsia="zh-CN"/>
        </w:rPr>
        <w:t>6</w:t>
      </w:r>
      <w:r>
        <w:rPr>
          <w:rFonts w:hint="eastAsia" w:ascii="方正小标宋简体" w:eastAsia="方正小标宋简体"/>
          <w:b/>
          <w:bCs/>
          <w:color w:val="auto"/>
          <w:sz w:val="44"/>
          <w:szCs w:val="44"/>
          <w:lang w:eastAsia="zh-CN"/>
        </w:rPr>
        <w:t>年8月</w:t>
      </w:r>
      <w:r>
        <w:rPr>
          <w:rFonts w:hint="eastAsia" w:ascii="方正小标宋简体" w:eastAsia="方正小标宋简体"/>
          <w:b/>
          <w:bCs/>
          <w:color w:val="auto"/>
          <w:sz w:val="44"/>
          <w:szCs w:val="44"/>
          <w:lang w:val="en-US" w:eastAsia="zh-CN"/>
        </w:rPr>
        <w:t>8</w:t>
      </w:r>
      <w:r>
        <w:rPr>
          <w:rFonts w:hint="eastAsia" w:ascii="方正小标宋简体" w:eastAsia="方正小标宋简体"/>
          <w:b/>
          <w:bCs/>
          <w:color w:val="auto"/>
          <w:sz w:val="44"/>
          <w:szCs w:val="44"/>
          <w:lang w:eastAsia="zh-CN"/>
        </w:rPr>
        <w:t>日）</w:t>
      </w:r>
    </w:p>
    <w:p w14:paraId="4A50A70B">
      <w:pPr>
        <w:pStyle w:val="12"/>
        <w:spacing w:after="0" w:line="560" w:lineRule="exact"/>
        <w:ind w:firstLine="0"/>
        <w:rPr>
          <w:rFonts w:hint="eastAsia" w:ascii="方正小标宋简体" w:eastAsia="方正小标宋简体"/>
          <w:b/>
          <w:bCs/>
          <w:color w:val="auto"/>
          <w:sz w:val="44"/>
          <w:szCs w:val="44"/>
          <w:lang w:val="en-US" w:eastAsia="zh-CN"/>
        </w:rPr>
      </w:pPr>
    </w:p>
    <w:p w14:paraId="71A973CD">
      <w:pPr>
        <w:pStyle w:val="12"/>
        <w:pageBreakBefore w:val="0"/>
        <w:widowControl w:val="0"/>
        <w:kinsoku/>
        <w:wordWrap/>
        <w:overflowPunct/>
        <w:topLinePunct w:val="0"/>
        <w:autoSpaceDE/>
        <w:autoSpaceDN/>
        <w:bidi w:val="0"/>
        <w:adjustRightInd/>
        <w:snapToGrid/>
        <w:spacing w:after="0" w:line="540" w:lineRule="exact"/>
        <w:ind w:firstLine="578"/>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化龙镇社工服务站</w:t>
      </w:r>
      <w:r>
        <w:rPr>
          <w:rFonts w:hint="eastAsia" w:ascii="仿宋_GB2312" w:eastAsia="仿宋_GB2312"/>
          <w:color w:val="auto"/>
          <w:sz w:val="32"/>
          <w:szCs w:val="32"/>
        </w:rPr>
        <w:t>（简称</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社工站）</w:t>
      </w:r>
      <w:r>
        <w:rPr>
          <w:rFonts w:hint="eastAsia" w:ascii="仿宋_GB2312" w:eastAsia="仿宋_GB2312"/>
          <w:color w:val="auto"/>
          <w:sz w:val="32"/>
          <w:szCs w:val="32"/>
          <w:lang w:eastAsia="zh-CN"/>
        </w:rPr>
        <w:t>末期</w:t>
      </w:r>
      <w:r>
        <w:rPr>
          <w:rFonts w:hint="eastAsia" w:ascii="仿宋_GB2312" w:eastAsia="仿宋_GB2312"/>
          <w:color w:val="auto"/>
          <w:sz w:val="32"/>
          <w:szCs w:val="32"/>
        </w:rPr>
        <w:t>报告，是专业评估人员通过对</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社工站项目阶段性服务的全面调查、综合分析和科学判断，确定目标是否可行，总结服务开展情况</w:t>
      </w:r>
      <w:r>
        <w:rPr>
          <w:rFonts w:hint="eastAsia" w:ascii="仿宋_GB2312" w:eastAsia="仿宋_GB2312"/>
          <w:color w:val="auto"/>
          <w:sz w:val="32"/>
          <w:szCs w:val="32"/>
          <w:lang w:eastAsia="zh-CN"/>
        </w:rPr>
        <w:t>和</w:t>
      </w:r>
      <w:r>
        <w:rPr>
          <w:rFonts w:hint="eastAsia" w:ascii="仿宋_GB2312" w:eastAsia="仿宋_GB2312"/>
          <w:color w:val="auto"/>
          <w:sz w:val="32"/>
          <w:szCs w:val="32"/>
        </w:rPr>
        <w:t>服务</w:t>
      </w:r>
      <w:r>
        <w:rPr>
          <w:rFonts w:hint="eastAsia" w:ascii="仿宋_GB2312" w:eastAsia="仿宋_GB2312"/>
          <w:color w:val="auto"/>
          <w:sz w:val="32"/>
          <w:szCs w:val="32"/>
          <w:lang w:eastAsia="zh-CN"/>
        </w:rPr>
        <w:t>成效</w:t>
      </w:r>
      <w:r>
        <w:rPr>
          <w:rFonts w:hint="eastAsia" w:ascii="仿宋_GB2312" w:eastAsia="仿宋_GB2312"/>
          <w:color w:val="auto"/>
          <w:sz w:val="32"/>
          <w:szCs w:val="32"/>
        </w:rPr>
        <w:t>的总结文书。经过</w:t>
      </w:r>
      <w:r>
        <w:rPr>
          <w:rFonts w:hint="eastAsia" w:ascii="仿宋_GB2312" w:hAnsi="Times New Roman" w:eastAsia="仿宋_GB2312" w:cs="Times New Roman"/>
          <w:color w:val="auto"/>
          <w:sz w:val="32"/>
          <w:szCs w:val="32"/>
          <w:lang w:val="en-US" w:eastAsia="zh-CN"/>
        </w:rPr>
        <w:t>4</w:t>
      </w:r>
      <w:r>
        <w:rPr>
          <w:rFonts w:hint="eastAsia" w:ascii="仿宋_GB2312" w:eastAsia="仿宋_GB2312"/>
          <w:color w:val="auto"/>
          <w:sz w:val="32"/>
          <w:szCs w:val="32"/>
        </w:rPr>
        <w:t>位专家及</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名工作人员</w:t>
      </w:r>
      <w:r>
        <w:rPr>
          <w:rFonts w:hint="eastAsia" w:ascii="仿宋_GB2312" w:eastAsia="仿宋_GB2312"/>
          <w:color w:val="auto"/>
          <w:sz w:val="32"/>
          <w:szCs w:val="32"/>
          <w:lang w:val="en-US"/>
        </w:rPr>
        <w:t>对</w:t>
      </w:r>
      <w:r>
        <w:rPr>
          <w:rFonts w:hint="eastAsia" w:ascii="仿宋_GB2312" w:eastAsia="仿宋_GB2312"/>
          <w:color w:val="auto"/>
          <w:sz w:val="32"/>
          <w:szCs w:val="32"/>
        </w:rPr>
        <w:t>社工站展开为期一天的实地考察、访谈、查阅资料等形式的评估，形成此报告。</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社工站可以将此报告作为参考，进行服务完善和提升，从多方面</w:t>
      </w:r>
      <w:r>
        <w:rPr>
          <w:rFonts w:hint="eastAsia" w:ascii="仿宋_GB2312" w:eastAsia="仿宋_GB2312"/>
          <w:color w:val="auto"/>
          <w:sz w:val="32"/>
          <w:szCs w:val="32"/>
          <w:lang w:eastAsia="zh-CN"/>
        </w:rPr>
        <w:t>夯实</w:t>
      </w:r>
      <w:r>
        <w:rPr>
          <w:rFonts w:hint="eastAsia" w:ascii="仿宋_GB2312" w:eastAsia="仿宋_GB2312"/>
          <w:color w:val="auto"/>
          <w:sz w:val="32"/>
          <w:szCs w:val="32"/>
        </w:rPr>
        <w:t>服务基础，拓展服务面，提升服务的专业化水平。本报告尽量呈现社工站的实际情况，因评估时间较短的关系，社工站部分服务成效不完全体现在报告</w:t>
      </w:r>
      <w:r>
        <w:rPr>
          <w:rFonts w:hint="eastAsia" w:ascii="仿宋_GB2312" w:eastAsia="仿宋_GB2312"/>
          <w:color w:val="auto"/>
          <w:sz w:val="32"/>
          <w:szCs w:val="32"/>
          <w:lang w:eastAsia="zh-CN"/>
        </w:rPr>
        <w:t>中</w:t>
      </w:r>
      <w:r>
        <w:rPr>
          <w:rFonts w:hint="eastAsia" w:ascii="仿宋_GB2312" w:eastAsia="仿宋_GB2312"/>
          <w:color w:val="auto"/>
          <w:sz w:val="32"/>
          <w:szCs w:val="32"/>
        </w:rPr>
        <w:t>。</w:t>
      </w:r>
    </w:p>
    <w:p w14:paraId="12CAFA6B">
      <w:pPr>
        <w:pStyle w:val="10"/>
        <w:keepNext/>
        <w:keepLines/>
        <w:pageBreakBefore w:val="0"/>
        <w:widowControl w:val="0"/>
        <w:kinsoku/>
        <w:wordWrap/>
        <w:overflowPunct/>
        <w:topLinePunct w:val="0"/>
        <w:autoSpaceDE/>
        <w:autoSpaceDN/>
        <w:bidi w:val="0"/>
        <w:adjustRightInd/>
        <w:snapToGrid/>
        <w:spacing w:before="0" w:after="0" w:line="54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一、</w:t>
      </w:r>
      <w:r>
        <w:rPr>
          <w:rFonts w:hint="eastAsia" w:ascii="方正小标宋简体" w:eastAsia="方正小标宋简体"/>
          <w:b/>
          <w:bCs/>
          <w:color w:val="auto"/>
          <w:sz w:val="32"/>
          <w:szCs w:val="28"/>
          <w:lang w:val="en-US" w:eastAsia="zh-CN"/>
        </w:rPr>
        <w:t>末期</w:t>
      </w:r>
      <w:r>
        <w:rPr>
          <w:rFonts w:hint="eastAsia" w:ascii="方正小标宋简体" w:eastAsia="方正小标宋简体"/>
          <w:b/>
          <w:bCs/>
          <w:color w:val="auto"/>
          <w:sz w:val="32"/>
          <w:szCs w:val="28"/>
          <w:lang w:val="en-US"/>
        </w:rPr>
        <w:t>评估背景</w:t>
      </w:r>
    </w:p>
    <w:p w14:paraId="06A68373">
      <w:pPr>
        <w:pStyle w:val="12"/>
        <w:pageBreakBefore w:val="0"/>
        <w:widowControl w:val="0"/>
        <w:kinsoku/>
        <w:wordWrap/>
        <w:overflowPunct/>
        <w:topLinePunct w:val="0"/>
        <w:autoSpaceDE/>
        <w:autoSpaceDN/>
        <w:bidi w:val="0"/>
        <w:adjustRightInd/>
        <w:snapToGrid/>
        <w:spacing w:after="0" w:line="540" w:lineRule="exact"/>
        <w:ind w:firstLine="578"/>
        <w:jc w:val="both"/>
        <w:textAlignment w:val="auto"/>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2026年8月3日，番禺区社会组织联合会4位评委及2名工作人员对化龙镇社工站展开了中期评估工作。评估为期1天，主要通过听取社工站介绍、实地考察、线上线下查阅资料、面谈（访谈）、填写问卷、电访困难群众询问等形式，对化龙镇社工站的项目管理、服务开展情况以及项目成效等方面进行评估。评估团队主要完成了以下几方面的工作：</w:t>
      </w:r>
    </w:p>
    <w:p w14:paraId="31D12BE8">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6" w:name="bookmark6"/>
      <w:bookmarkEnd w:id="6"/>
      <w:r>
        <w:rPr>
          <w:rFonts w:hint="eastAsia" w:ascii="仿宋_GB2312" w:hAnsi="仿宋_GB2312" w:eastAsia="仿宋_GB2312" w:cs="仿宋_GB2312"/>
          <w:b/>
          <w:sz w:val="32"/>
          <w:szCs w:val="32"/>
          <w:lang w:val="en-US"/>
        </w:rPr>
        <w:t>1.</w:t>
      </w:r>
      <w:r>
        <w:rPr>
          <w:rFonts w:hint="eastAsia" w:ascii="仿宋_GB2312" w:hAnsi="仿宋_GB2312" w:eastAsia="仿宋_GB2312" w:cs="仿宋_GB2312"/>
          <w:b/>
          <w:sz w:val="32"/>
          <w:szCs w:val="32"/>
        </w:rPr>
        <w:t>听取介绍。</w:t>
      </w:r>
      <w:r>
        <w:rPr>
          <w:rFonts w:hint="eastAsia" w:ascii="仿宋_GB2312" w:hAnsi="仿宋_GB2312" w:eastAsia="仿宋_GB2312" w:cs="仿宋_GB2312"/>
          <w:sz w:val="32"/>
          <w:szCs w:val="32"/>
        </w:rPr>
        <w:t>由社工站负责人介绍社工站的运营及服务情况、各项指标完成情况。</w:t>
      </w:r>
    </w:p>
    <w:p w14:paraId="58EDA7A2">
      <w:pPr>
        <w:pStyle w:val="12"/>
        <w:pageBreakBefore w:val="0"/>
        <w:widowControl w:val="0"/>
        <w:tabs>
          <w:tab w:val="left" w:pos="98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7" w:name="bookmark7"/>
      <w:bookmarkEnd w:id="7"/>
      <w:r>
        <w:rPr>
          <w:rFonts w:hint="eastAsia" w:ascii="仿宋_GB2312" w:hAnsi="仿宋_GB2312" w:eastAsia="仿宋_GB2312" w:cs="仿宋_GB2312"/>
          <w:b/>
          <w:sz w:val="32"/>
          <w:szCs w:val="32"/>
          <w:lang w:val="en-US"/>
        </w:rPr>
        <w:t>2.</w:t>
      </w:r>
      <w:r>
        <w:rPr>
          <w:rFonts w:hint="eastAsia" w:ascii="仿宋_GB2312" w:hAnsi="仿宋_GB2312" w:eastAsia="仿宋_GB2312" w:cs="仿宋_GB2312"/>
          <w:b/>
          <w:sz w:val="32"/>
          <w:szCs w:val="32"/>
        </w:rPr>
        <w:t>实地观察。</w:t>
      </w:r>
      <w:r>
        <w:rPr>
          <w:rFonts w:hint="eastAsia" w:ascii="仿宋_GB2312" w:hAnsi="仿宋_GB2312" w:eastAsia="仿宋_GB2312" w:cs="仿宋_GB2312"/>
          <w:sz w:val="32"/>
          <w:szCs w:val="32"/>
        </w:rPr>
        <w:t>主要针对社工站硬件建设情</w:t>
      </w:r>
      <w:r>
        <w:rPr>
          <w:rFonts w:hint="eastAsia" w:ascii="仿宋_GB2312" w:hAnsi="仿宋_GB2312" w:eastAsia="仿宋_GB2312" w:cs="仿宋_GB2312"/>
          <w:sz w:val="32"/>
          <w:szCs w:val="32"/>
          <w:lang w:eastAsia="zh-CN"/>
        </w:rPr>
        <w:t>况等</w:t>
      </w:r>
      <w:r>
        <w:rPr>
          <w:rFonts w:hint="eastAsia" w:ascii="仿宋_GB2312" w:hAnsi="仿宋_GB2312" w:eastAsia="仿宋_GB2312" w:cs="仿宋_GB2312"/>
          <w:sz w:val="32"/>
          <w:szCs w:val="32"/>
        </w:rPr>
        <w:t>方面进行观察，以评估其设施开展专业服务的适宜性。</w:t>
      </w:r>
    </w:p>
    <w:p w14:paraId="2E3FD4E2">
      <w:pPr>
        <w:pStyle w:val="12"/>
        <w:pageBreakBefore w:val="0"/>
        <w:widowControl w:val="0"/>
        <w:tabs>
          <w:tab w:val="left" w:pos="97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8" w:name="bookmark8"/>
      <w:bookmarkEnd w:id="8"/>
      <w:r>
        <w:rPr>
          <w:rFonts w:hint="eastAsia" w:ascii="仿宋_GB2312" w:hAnsi="仿宋_GB2312" w:eastAsia="仿宋_GB2312" w:cs="仿宋_GB2312"/>
          <w:b/>
          <w:sz w:val="32"/>
          <w:szCs w:val="32"/>
          <w:lang w:val="en-US"/>
        </w:rPr>
        <w:t>3.</w:t>
      </w:r>
      <w:r>
        <w:rPr>
          <w:rFonts w:hint="eastAsia" w:ascii="仿宋_GB2312" w:hAnsi="仿宋_GB2312" w:eastAsia="仿宋_GB2312" w:cs="仿宋_GB2312"/>
          <w:b/>
          <w:sz w:val="32"/>
          <w:szCs w:val="32"/>
        </w:rPr>
        <w:t>查阅资料。</w:t>
      </w:r>
      <w:r>
        <w:rPr>
          <w:rFonts w:hint="eastAsia" w:ascii="仿宋_GB2312" w:hAnsi="仿宋_GB2312" w:eastAsia="仿宋_GB2312" w:cs="仿宋_GB2312"/>
          <w:sz w:val="32"/>
          <w:szCs w:val="32"/>
        </w:rPr>
        <w:t>查阅社工站</w:t>
      </w:r>
      <w:r>
        <w:rPr>
          <w:rFonts w:hint="eastAsia" w:ascii="仿宋_GB2312" w:hAnsi="仿宋_GB2312" w:eastAsia="仿宋_GB2312" w:cs="仿宋_GB2312"/>
          <w:sz w:val="32"/>
          <w:szCs w:val="32"/>
          <w:lang w:eastAsia="zh-CN"/>
        </w:rPr>
        <w:t>运营</w:t>
      </w:r>
      <w:r>
        <w:rPr>
          <w:rFonts w:hint="eastAsia" w:ascii="仿宋_GB2312" w:hAnsi="仿宋_GB2312" w:eastAsia="仿宋_GB2312" w:cs="仿宋_GB2312"/>
          <w:sz w:val="32"/>
          <w:szCs w:val="32"/>
        </w:rPr>
        <w:t>、人事管理制度及专业服务记录等方面的资料。</w:t>
      </w:r>
    </w:p>
    <w:p w14:paraId="1D64A0DF">
      <w:pPr>
        <w:pStyle w:val="12"/>
        <w:pageBreakBefore w:val="0"/>
        <w:widowControl w:val="0"/>
        <w:tabs>
          <w:tab w:val="left" w:pos="98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9" w:name="bookmark9"/>
      <w:bookmarkEnd w:id="9"/>
      <w:r>
        <w:rPr>
          <w:rFonts w:hint="eastAsia" w:ascii="仿宋_GB2312" w:hAnsi="仿宋_GB2312" w:eastAsia="仿宋_GB2312" w:cs="仿宋_GB2312"/>
          <w:b/>
          <w:sz w:val="32"/>
          <w:szCs w:val="32"/>
          <w:lang w:val="en-US"/>
        </w:rPr>
        <w:t>4.</w:t>
      </w:r>
      <w:r>
        <w:rPr>
          <w:rFonts w:hint="eastAsia" w:ascii="仿宋_GB2312" w:hAnsi="仿宋_GB2312" w:eastAsia="仿宋_GB2312" w:cs="仿宋_GB2312"/>
          <w:b/>
          <w:sz w:val="32"/>
          <w:szCs w:val="32"/>
          <w:lang w:eastAsia="zh-CN"/>
        </w:rPr>
        <w:t>分组</w:t>
      </w:r>
      <w:r>
        <w:rPr>
          <w:rFonts w:hint="eastAsia" w:ascii="仿宋_GB2312" w:hAnsi="仿宋_GB2312" w:eastAsia="仿宋_GB2312" w:cs="仿宋_GB2312"/>
          <w:b/>
          <w:sz w:val="32"/>
          <w:szCs w:val="32"/>
        </w:rPr>
        <w:t>评估访谈。</w:t>
      </w:r>
      <w:r>
        <w:rPr>
          <w:rFonts w:hint="eastAsia" w:ascii="仿宋_GB2312" w:hAnsi="仿宋_GB2312" w:eastAsia="仿宋_GB2312" w:cs="仿宋_GB2312"/>
          <w:sz w:val="32"/>
          <w:szCs w:val="32"/>
        </w:rPr>
        <w:t>评委与社工进行访谈，了解社工服务推进情况，了解社工对服务的理解，以及开展服务的总结反思。</w:t>
      </w:r>
    </w:p>
    <w:p w14:paraId="1C5530F5">
      <w:pPr>
        <w:pStyle w:val="12"/>
        <w:pageBreakBefore w:val="0"/>
        <w:widowControl w:val="0"/>
        <w:tabs>
          <w:tab w:val="left" w:pos="98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0" w:name="bookmark10"/>
      <w:bookmarkEnd w:id="10"/>
      <w:r>
        <w:rPr>
          <w:rFonts w:hint="eastAsia" w:ascii="仿宋_GB2312" w:hAnsi="仿宋_GB2312" w:eastAsia="仿宋_GB2312" w:cs="仿宋_GB2312"/>
          <w:b/>
          <w:sz w:val="32"/>
          <w:szCs w:val="32"/>
          <w:lang w:val="en-US"/>
        </w:rPr>
        <w:t>5.</w:t>
      </w:r>
      <w:bookmarkStart w:id="11" w:name="bookmark12"/>
      <w:bookmarkEnd w:id="11"/>
      <w:r>
        <w:rPr>
          <w:rFonts w:hint="eastAsia" w:ascii="仿宋_GB2312" w:hAnsi="仿宋_GB2312" w:eastAsia="仿宋_GB2312" w:cs="仿宋_GB2312"/>
          <w:b/>
          <w:sz w:val="32"/>
          <w:szCs w:val="32"/>
        </w:rPr>
        <w:t>总结反馈。</w:t>
      </w:r>
      <w:r>
        <w:rPr>
          <w:rFonts w:hint="eastAsia" w:ascii="仿宋_GB2312" w:hAnsi="仿宋_GB2312" w:eastAsia="仿宋_GB2312" w:cs="仿宋_GB2312"/>
          <w:sz w:val="32"/>
          <w:szCs w:val="32"/>
        </w:rPr>
        <w:t>由评委团队对评估进行总结，与社工站社工进行反馈，听取街道购买方对社工站工作开展的意见和建议，了解社工站同事对本次活动的反馈。</w:t>
      </w:r>
    </w:p>
    <w:p w14:paraId="64933B3F">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12" w:name="bookmark13"/>
      <w:r>
        <w:rPr>
          <w:rFonts w:hint="eastAsia" w:ascii="仿宋_GB2312" w:hAnsi="仿宋_GB2312" w:eastAsia="仿宋_GB2312" w:cs="仿宋_GB2312"/>
          <w:b/>
          <w:sz w:val="32"/>
          <w:szCs w:val="32"/>
        </w:rPr>
        <w:t>（</w:t>
      </w:r>
      <w:bookmarkEnd w:id="12"/>
      <w:r>
        <w:rPr>
          <w:rFonts w:hint="eastAsia" w:ascii="仿宋_GB2312" w:hAnsi="仿宋_GB2312" w:eastAsia="仿宋_GB2312" w:cs="仿宋_GB2312"/>
          <w:b/>
          <w:sz w:val="32"/>
          <w:szCs w:val="32"/>
        </w:rPr>
        <w:t>一）评估依据</w:t>
      </w:r>
    </w:p>
    <w:p w14:paraId="481F39A0">
      <w:pPr>
        <w:pStyle w:val="12"/>
        <w:pageBreakBefore w:val="0"/>
        <w:widowControl w:val="0"/>
        <w:numPr>
          <w:ilvl w:val="0"/>
          <w:numId w:val="1"/>
        </w:numPr>
        <w:tabs>
          <w:tab w:val="left" w:pos="98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3" w:name="bookmark14"/>
      <w:bookmarkEnd w:id="13"/>
      <w:r>
        <w:rPr>
          <w:rFonts w:hint="eastAsia" w:ascii="仿宋_GB2312" w:hAnsi="仿宋_GB2312" w:eastAsia="仿宋_GB2312" w:cs="仿宋_GB2312"/>
          <w:b/>
          <w:bCs/>
          <w:sz w:val="32"/>
          <w:szCs w:val="32"/>
        </w:rPr>
        <w:t>政策依据：</w:t>
      </w:r>
      <w:r>
        <w:rPr>
          <w:rFonts w:hint="eastAsia" w:ascii="仿宋_GB2312" w:hAnsi="仿宋_GB2312" w:eastAsia="仿宋_GB2312" w:cs="仿宋_GB2312"/>
          <w:sz w:val="32"/>
          <w:szCs w:val="32"/>
        </w:rPr>
        <w:t>《社会工作服务项目绩效评估指南》《广州市社工服务站管理办法》《广州市社工站购买服务项目评估办法》《广州市社工站岗位职责》《广州市社会工作服务条例》《广州市社工站购买服务项目服务清单（民政领域社会工作）》《广州市社工站购买服务项目服务标准》等。</w:t>
      </w:r>
    </w:p>
    <w:p w14:paraId="2D9F9360">
      <w:pPr>
        <w:pStyle w:val="12"/>
        <w:pageBreakBefore w:val="0"/>
        <w:widowControl w:val="0"/>
        <w:numPr>
          <w:ilvl w:val="0"/>
          <w:numId w:val="1"/>
        </w:numPr>
        <w:tabs>
          <w:tab w:val="left" w:pos="98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4" w:name="bookmark15"/>
      <w:bookmarkEnd w:id="14"/>
      <w:r>
        <w:rPr>
          <w:rFonts w:hint="eastAsia" w:ascii="仿宋_GB2312" w:hAnsi="仿宋_GB2312" w:eastAsia="仿宋_GB2312" w:cs="仿宋_GB2312"/>
          <w:b/>
          <w:bCs/>
          <w:sz w:val="32"/>
          <w:szCs w:val="32"/>
        </w:rPr>
        <w:t>评估标准依据：</w:t>
      </w:r>
      <w:r>
        <w:rPr>
          <w:rFonts w:hint="eastAsia" w:ascii="仿宋_GB2312" w:hAnsi="仿宋_GB2312" w:eastAsia="仿宋_GB2312" w:cs="仿宋_GB2312"/>
          <w:sz w:val="32"/>
          <w:szCs w:val="32"/>
        </w:rPr>
        <w:t>《广州市社工站购买服务项目评估指标体系》。</w:t>
      </w:r>
    </w:p>
    <w:p w14:paraId="38B3FB45">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15" w:name="bookmark16"/>
      <w:r>
        <w:rPr>
          <w:rFonts w:hint="eastAsia" w:ascii="仿宋_GB2312" w:hAnsi="仿宋_GB2312" w:eastAsia="仿宋_GB2312" w:cs="仿宋_GB2312"/>
          <w:b/>
          <w:sz w:val="32"/>
          <w:szCs w:val="32"/>
        </w:rPr>
        <w:t>（</w:t>
      </w:r>
      <w:bookmarkEnd w:id="15"/>
      <w:r>
        <w:rPr>
          <w:rFonts w:hint="eastAsia" w:ascii="仿宋_GB2312" w:hAnsi="仿宋_GB2312" w:eastAsia="仿宋_GB2312" w:cs="仿宋_GB2312"/>
          <w:b/>
          <w:sz w:val="32"/>
          <w:szCs w:val="32"/>
        </w:rPr>
        <w:t>二）评估原则</w:t>
      </w:r>
    </w:p>
    <w:p w14:paraId="6F7544DE">
      <w:pPr>
        <w:pStyle w:val="12"/>
        <w:pageBreakBefore w:val="0"/>
        <w:widowControl w:val="0"/>
        <w:numPr>
          <w:ilvl w:val="0"/>
          <w:numId w:val="2"/>
        </w:numPr>
        <w:tabs>
          <w:tab w:val="left" w:pos="98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6" w:name="bookmark17"/>
      <w:bookmarkEnd w:id="16"/>
      <w:r>
        <w:rPr>
          <w:rFonts w:hint="eastAsia" w:ascii="仿宋_GB2312" w:hAnsi="仿宋_GB2312" w:eastAsia="仿宋_GB2312" w:cs="仿宋_GB2312"/>
          <w:b/>
          <w:sz w:val="32"/>
          <w:szCs w:val="32"/>
        </w:rPr>
        <w:t>真实诚信原则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评估要求项目运营方必须以实事求是的态度对待评估，本着诚实守信的原则，提供和展示能够真实、客观反映其项目运营状况的依据和有效资料，以供评估小组考察。</w:t>
      </w:r>
    </w:p>
    <w:p w14:paraId="0144A3A5">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7" w:name="bookmark18"/>
      <w:bookmarkEnd w:id="17"/>
      <w:r>
        <w:rPr>
          <w:rFonts w:hint="eastAsia" w:ascii="仿宋_GB2312" w:hAnsi="仿宋_GB2312" w:eastAsia="仿宋_GB2312" w:cs="仿宋_GB2312"/>
          <w:b/>
          <w:sz w:val="32"/>
          <w:szCs w:val="32"/>
        </w:rPr>
        <w:t>客观公正原则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评估要求所有评委恪守</w:t>
      </w:r>
      <w:r>
        <w:rPr>
          <w:rFonts w:hint="eastAsia" w:ascii="仿宋_GB2312" w:hAnsi="仿宋_GB2312" w:eastAsia="仿宋_GB2312" w:cs="仿宋_GB2312"/>
          <w:sz w:val="32"/>
          <w:szCs w:val="32"/>
          <w:lang w:val="zh-CN" w:eastAsia="zh-CN" w:bidi="zh-CN"/>
        </w:rPr>
        <w:t>“客</w:t>
      </w:r>
      <w:r>
        <w:rPr>
          <w:rFonts w:hint="eastAsia" w:ascii="仿宋_GB2312" w:hAnsi="仿宋_GB2312" w:eastAsia="仿宋_GB2312" w:cs="仿宋_GB2312"/>
          <w:sz w:val="32"/>
          <w:szCs w:val="32"/>
        </w:rPr>
        <w:t>观公正的第三方”评估者角色，依据事实和真实情况给出客观、中肯评价意见或结论。</w:t>
      </w:r>
    </w:p>
    <w:p w14:paraId="269E2CCC">
      <w:pPr>
        <w:pStyle w:val="12"/>
        <w:pageBreakBefore w:val="0"/>
        <w:widowControl w:val="0"/>
        <w:numPr>
          <w:ilvl w:val="0"/>
          <w:numId w:val="2"/>
        </w:numPr>
        <w:tabs>
          <w:tab w:val="left" w:pos="97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8" w:name="bookmark19"/>
      <w:bookmarkEnd w:id="18"/>
      <w:r>
        <w:rPr>
          <w:rFonts w:hint="eastAsia" w:ascii="仿宋_GB2312" w:hAnsi="仿宋_GB2312" w:eastAsia="仿宋_GB2312" w:cs="仿宋_GB2312"/>
          <w:b/>
          <w:sz w:val="32"/>
          <w:szCs w:val="32"/>
        </w:rPr>
        <w:t>证据为本原则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评估要求项目运营方应提供有事实依据的证明资料或记录，来展示其项目运营的真实状况和成效；同时，评估要求所有评委以真实有效的工作痕迹记录为依据，做出客观公正的专业评估分析和判断。</w:t>
      </w:r>
    </w:p>
    <w:p w14:paraId="03057929">
      <w:pPr>
        <w:pStyle w:val="12"/>
        <w:pageBreakBefore w:val="0"/>
        <w:widowControl w:val="0"/>
        <w:numPr>
          <w:ilvl w:val="0"/>
          <w:numId w:val="2"/>
        </w:numPr>
        <w:tabs>
          <w:tab w:val="left" w:pos="98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19" w:name="bookmark20"/>
      <w:bookmarkEnd w:id="19"/>
      <w:r>
        <w:rPr>
          <w:rFonts w:hint="eastAsia" w:ascii="仿宋_GB2312" w:hAnsi="仿宋_GB2312" w:eastAsia="仿宋_GB2312" w:cs="仿宋_GB2312"/>
          <w:b/>
          <w:sz w:val="32"/>
          <w:szCs w:val="32"/>
        </w:rPr>
        <w:t>以评促进原则</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rPr>
        <w:t>评估要求评委要本着促进项目运营质量和成效的目标原则实施评估活动，给出评估指导意见，评估意见应具体、清晰、可行，能够切实指导项目运营团队持续改善服务成效和质量。</w:t>
      </w:r>
    </w:p>
    <w:p w14:paraId="1ED3C538">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20" w:name="bookmark21"/>
      <w:bookmarkEnd w:id="20"/>
      <w:r>
        <w:rPr>
          <w:rFonts w:hint="eastAsia" w:ascii="仿宋_GB2312" w:hAnsi="仿宋_GB2312" w:eastAsia="仿宋_GB2312" w:cs="仿宋_GB2312"/>
          <w:b/>
          <w:sz w:val="32"/>
          <w:szCs w:val="32"/>
        </w:rPr>
        <w:t>回避监督原则：</w:t>
      </w:r>
      <w:r>
        <w:rPr>
          <w:rFonts w:hint="eastAsia" w:ascii="仿宋_GB2312" w:hAnsi="仿宋_GB2312" w:eastAsia="仿宋_GB2312" w:cs="仿宋_GB2312"/>
          <w:sz w:val="32"/>
          <w:szCs w:val="32"/>
        </w:rPr>
        <w:t>评估要求评委在评估前与被评估方有单独接触、有利益关系或冲突的，均应回避；被评估方有权监督评估团队的评估工作，并有权提出合理异议或回避要求，以免评估失去公正性和可信度。</w:t>
      </w:r>
    </w:p>
    <w:p w14:paraId="2B5C28E3">
      <w:pPr>
        <w:pStyle w:val="12"/>
        <w:pageBreakBefore w:val="0"/>
        <w:widowControl w:val="0"/>
        <w:numPr>
          <w:ilvl w:val="0"/>
          <w:numId w:val="2"/>
        </w:numPr>
        <w:tabs>
          <w:tab w:val="left" w:pos="99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21" w:name="bookmark22"/>
      <w:bookmarkEnd w:id="21"/>
      <w:r>
        <w:rPr>
          <w:rFonts w:hint="eastAsia" w:ascii="仿宋_GB2312" w:hAnsi="仿宋_GB2312" w:eastAsia="仿宋_GB2312" w:cs="仿宋_GB2312"/>
          <w:b/>
          <w:sz w:val="32"/>
          <w:szCs w:val="32"/>
        </w:rPr>
        <w:t>保密尊重原则：</w:t>
      </w:r>
      <w:r>
        <w:rPr>
          <w:rFonts w:hint="eastAsia" w:ascii="仿宋_GB2312" w:hAnsi="仿宋_GB2312" w:eastAsia="仿宋_GB2312" w:cs="仿宋_GB2312"/>
          <w:sz w:val="32"/>
          <w:szCs w:val="32"/>
        </w:rPr>
        <w:t>评估要求评委应尊重和保护其工作中所接触、发现或遇到的涉及服务对象隐私权等所有受法律保护的事项，并依法负有保密职责；评估要求评委在评估过程中应尊重被评估方的所有原创性专业技术、方法等成果，并依法负有保密职责。</w:t>
      </w:r>
    </w:p>
    <w:p w14:paraId="2B620B7A">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22" w:name="bookmark23"/>
      <w:r>
        <w:rPr>
          <w:rFonts w:hint="eastAsia" w:ascii="仿宋_GB2312" w:hAnsi="仿宋_GB2312" w:eastAsia="仿宋_GB2312" w:cs="仿宋_GB2312"/>
          <w:b/>
          <w:sz w:val="32"/>
          <w:szCs w:val="32"/>
        </w:rPr>
        <w:t>（</w:t>
      </w:r>
      <w:bookmarkEnd w:id="22"/>
      <w:r>
        <w:rPr>
          <w:rFonts w:hint="eastAsia" w:ascii="仿宋_GB2312" w:hAnsi="仿宋_GB2312" w:eastAsia="仿宋_GB2312" w:cs="仿宋_GB2312"/>
          <w:b/>
          <w:sz w:val="32"/>
          <w:szCs w:val="32"/>
        </w:rPr>
        <w:t>三）评估阶段</w:t>
      </w:r>
    </w:p>
    <w:p w14:paraId="5E6F7AED">
      <w:pPr>
        <w:pStyle w:val="12"/>
        <w:pageBreakBefore w:val="0"/>
        <w:widowControl w:val="0"/>
        <w:numPr>
          <w:ilvl w:val="0"/>
          <w:numId w:val="3"/>
        </w:numPr>
        <w:tabs>
          <w:tab w:val="left" w:pos="992"/>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23" w:name="bookmark24"/>
      <w:bookmarkEnd w:id="23"/>
      <w:r>
        <w:rPr>
          <w:rFonts w:hint="eastAsia" w:ascii="仿宋_GB2312" w:hAnsi="仿宋_GB2312" w:eastAsia="仿宋_GB2312" w:cs="仿宋_GB2312"/>
          <w:b/>
          <w:sz w:val="32"/>
          <w:szCs w:val="32"/>
          <w:lang w:eastAsia="zh-CN"/>
        </w:rPr>
        <w:t>制定评估计划</w:t>
      </w:r>
    </w:p>
    <w:p w14:paraId="1C9926EE">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番禺区民政局会同</w:t>
      </w:r>
      <w:r>
        <w:rPr>
          <w:rFonts w:hint="eastAsia" w:ascii="仿宋_GB2312" w:hAnsi="仿宋_GB2312" w:eastAsia="仿宋_GB2312" w:cs="仿宋_GB2312"/>
          <w:sz w:val="32"/>
          <w:szCs w:val="32"/>
          <w:lang w:val="en-US"/>
        </w:rPr>
        <w:t>番禺区社会组织联合会</w:t>
      </w:r>
      <w:r>
        <w:rPr>
          <w:rFonts w:hint="eastAsia" w:ascii="仿宋_GB2312" w:hAnsi="仿宋_GB2312" w:eastAsia="仿宋_GB2312" w:cs="仿宋_GB2312"/>
          <w:sz w:val="32"/>
          <w:szCs w:val="32"/>
          <w:lang w:eastAsia="zh-CN"/>
        </w:rPr>
        <w:t>根据最新管理办法要求及化龙镇社工站项目合同期限确定评估时间，制定好评估计划和评估通知。</w:t>
      </w:r>
    </w:p>
    <w:p w14:paraId="07C91DF3">
      <w:pPr>
        <w:pStyle w:val="12"/>
        <w:pageBreakBefore w:val="0"/>
        <w:widowControl w:val="0"/>
        <w:numPr>
          <w:ilvl w:val="0"/>
          <w:numId w:val="3"/>
        </w:numPr>
        <w:tabs>
          <w:tab w:val="left" w:pos="992"/>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自我评审阶段</w:t>
      </w:r>
    </w:p>
    <w:p w14:paraId="6D857018">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社工站结合《广州市社工站购买服务项目评估指标体系》和签订的服务协议，逐项对照，准备材料，结合实际进行自我评估，并完成自评报告的报送工作。</w:t>
      </w:r>
    </w:p>
    <w:p w14:paraId="7530A2D9">
      <w:pPr>
        <w:pStyle w:val="12"/>
        <w:pageBreakBefore w:val="0"/>
        <w:widowControl w:val="0"/>
        <w:numPr>
          <w:ilvl w:val="0"/>
          <w:numId w:val="3"/>
        </w:numPr>
        <w:tabs>
          <w:tab w:val="left" w:pos="1001"/>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24" w:name="bookmark25"/>
      <w:bookmarkEnd w:id="24"/>
      <w:r>
        <w:rPr>
          <w:rFonts w:hint="eastAsia" w:ascii="仿宋_GB2312" w:hAnsi="仿宋_GB2312" w:eastAsia="仿宋_GB2312" w:cs="仿宋_GB2312"/>
          <w:b/>
          <w:sz w:val="32"/>
          <w:szCs w:val="32"/>
        </w:rPr>
        <w:t>实地评估阶段</w:t>
      </w:r>
    </w:p>
    <w:p w14:paraId="6916A627">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评估小组根据评估计划组织实施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社工站提供的材料进行审阅，实地考察，进行现场评估并打分。评估小组根据公平、公正的原则，严格按照评估要求，对</w:t>
      </w: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社工站进行评估工作。</w:t>
      </w:r>
    </w:p>
    <w:p w14:paraId="64F0C8D0">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sz w:val="32"/>
          <w:szCs w:val="32"/>
        </w:rPr>
      </w:pPr>
      <w:bookmarkStart w:id="25" w:name="bookmark26"/>
      <w:bookmarkEnd w:id="25"/>
      <w:r>
        <w:rPr>
          <w:rFonts w:hint="eastAsia" w:ascii="仿宋_GB2312" w:hAnsi="仿宋_GB2312" w:eastAsia="仿宋_GB2312" w:cs="仿宋_GB2312"/>
          <w:b/>
          <w:sz w:val="32"/>
          <w:szCs w:val="32"/>
        </w:rPr>
        <w:t>反馈初评意见</w:t>
      </w:r>
    </w:p>
    <w:p w14:paraId="5B8AC120">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综合评委专家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购买方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市督导中心意见和建议，在评估工作结束后5个工作日内，向</w:t>
      </w:r>
      <w:r>
        <w:rPr>
          <w:rFonts w:hint="eastAsia" w:ascii="仿宋_GB2312" w:hAnsi="仿宋_GB2312" w:eastAsia="仿宋_GB2312" w:cs="仿宋_GB2312"/>
          <w:sz w:val="32"/>
          <w:szCs w:val="32"/>
          <w:lang w:eastAsia="zh-CN"/>
        </w:rPr>
        <w:t>番禺区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val="en-US" w:eastAsia="zh-CN"/>
        </w:rPr>
        <w:t>化龙镇政府</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社工站反馈初评意见，对评估结果、存在问题及改进建议等进行沟通确认</w:t>
      </w:r>
      <w:r>
        <w:rPr>
          <w:rFonts w:hint="eastAsia" w:ascii="仿宋_GB2312" w:hAnsi="仿宋_GB2312" w:eastAsia="仿宋_GB2312" w:cs="仿宋_GB2312"/>
          <w:sz w:val="32"/>
          <w:szCs w:val="32"/>
          <w:lang w:eastAsia="zh-CN"/>
        </w:rPr>
        <w:t>。</w:t>
      </w:r>
    </w:p>
    <w:p w14:paraId="637BF73D">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26" w:name="bookmark27"/>
      <w:bookmarkEnd w:id="26"/>
      <w:r>
        <w:rPr>
          <w:rFonts w:hint="eastAsia" w:ascii="仿宋_GB2312" w:hAnsi="仿宋_GB2312" w:eastAsia="仿宋_GB2312" w:cs="仿宋_GB2312"/>
          <w:b/>
          <w:sz w:val="32"/>
          <w:szCs w:val="32"/>
        </w:rPr>
        <w:t>出具</w:t>
      </w:r>
      <w:r>
        <w:rPr>
          <w:rFonts w:hint="eastAsia" w:ascii="仿宋_GB2312" w:hAnsi="仿宋_GB2312" w:eastAsia="仿宋_GB2312" w:cs="仿宋_GB2312"/>
          <w:b/>
          <w:sz w:val="32"/>
          <w:szCs w:val="32"/>
          <w:lang w:eastAsia="zh-CN"/>
        </w:rPr>
        <w:t>末期</w:t>
      </w:r>
      <w:r>
        <w:rPr>
          <w:rFonts w:hint="eastAsia" w:ascii="仿宋_GB2312" w:hAnsi="仿宋_GB2312" w:eastAsia="仿宋_GB2312" w:cs="仿宋_GB2312"/>
          <w:b/>
          <w:sz w:val="32"/>
          <w:szCs w:val="32"/>
        </w:rPr>
        <w:t>评估报告</w:t>
      </w:r>
    </w:p>
    <w:p w14:paraId="1FFDED00">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PMingLiU" w:cs="仿宋_GB2312"/>
          <w:sz w:val="32"/>
          <w:szCs w:val="32"/>
        </w:rPr>
      </w:pPr>
      <w:r>
        <w:rPr>
          <w:rFonts w:hint="eastAsia" w:ascii="仿宋_GB2312" w:hAnsi="仿宋_GB2312" w:eastAsia="仿宋_GB2312" w:cs="仿宋_GB2312"/>
          <w:sz w:val="32"/>
          <w:szCs w:val="32"/>
        </w:rPr>
        <w:t>在评估工作结束后10个工作日内，向番禺区民政局、</w:t>
      </w:r>
      <w:r>
        <w:rPr>
          <w:rFonts w:hint="eastAsia" w:ascii="仿宋_GB2312" w:hAnsi="仿宋_GB2312" w:eastAsia="仿宋_GB2312" w:cs="仿宋_GB2312"/>
          <w:sz w:val="32"/>
          <w:szCs w:val="32"/>
          <w:lang w:val="en-US" w:eastAsia="zh-CN"/>
        </w:rPr>
        <w:t>化龙镇政府</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社工站各出具一份评估报告，提出项目存在的问题及改进建议。</w:t>
      </w:r>
    </w:p>
    <w:p w14:paraId="5075F290">
      <w:pPr>
        <w:pStyle w:val="12"/>
        <w:pageBreakBefore w:val="0"/>
        <w:widowControl w:val="0"/>
        <w:numPr>
          <w:ilvl w:val="0"/>
          <w:numId w:val="3"/>
        </w:numPr>
        <w:tabs>
          <w:tab w:val="left" w:pos="1006"/>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公示评估报告及受理评估投诉</w:t>
      </w:r>
    </w:p>
    <w:p w14:paraId="69B73A5B">
      <w:pPr>
        <w:pStyle w:val="12"/>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区民政</w:t>
      </w:r>
      <w:r>
        <w:rPr>
          <w:rFonts w:hint="eastAsia" w:ascii="仿宋_GB2312" w:hAnsi="仿宋_GB2312" w:eastAsia="仿宋_GB2312" w:cs="仿宋_GB2312"/>
          <w:sz w:val="32"/>
          <w:szCs w:val="32"/>
        </w:rPr>
        <w:t>局在收到评估报告后汇总社会救助等有关业务科室意见，于5个工作日内确认评估报告，确认后对</w:t>
      </w:r>
      <w:r>
        <w:rPr>
          <w:rFonts w:hint="eastAsia" w:ascii="仿宋_GB2312" w:hAnsi="仿宋_GB2312" w:eastAsia="仿宋_GB2312" w:cs="仿宋_GB2312"/>
          <w:sz w:val="32"/>
          <w:szCs w:val="32"/>
          <w:lang w:val="en-US" w:eastAsia="zh-CN"/>
        </w:rPr>
        <w:t>化龙镇</w:t>
      </w:r>
      <w:r>
        <w:rPr>
          <w:rFonts w:hint="eastAsia" w:ascii="仿宋_GB2312" w:hAnsi="仿宋_GB2312" w:eastAsia="仿宋_GB2312" w:cs="仿宋_GB2312"/>
          <w:sz w:val="32"/>
          <w:szCs w:val="32"/>
        </w:rPr>
        <w:t>社工站项目的评估报告进行公示，公示期不少于7个工作日。</w:t>
      </w:r>
      <w:r>
        <w:rPr>
          <w:rFonts w:hint="eastAsia" w:ascii="仿宋_GB2312" w:hAnsi="仿宋_GB2312" w:eastAsia="仿宋_GB2312" w:cs="仿宋_GB2312"/>
          <w:sz w:val="32"/>
          <w:szCs w:val="32"/>
          <w:lang w:eastAsia="zh-CN"/>
        </w:rPr>
        <w:t>公示期间，如收到对评估报告的质疑或投诉，区民政局及时对评估结果进行复核，并确定最终评估结果，同时将有关处理情况报市民政部门。</w:t>
      </w:r>
    </w:p>
    <w:p w14:paraId="2348A683">
      <w:pPr>
        <w:pStyle w:val="12"/>
        <w:pageBreakBefore w:val="0"/>
        <w:widowControl w:val="0"/>
        <w:tabs>
          <w:tab w:val="left" w:pos="1006"/>
        </w:tabs>
        <w:kinsoku/>
        <w:wordWrap/>
        <w:overflowPunct/>
        <w:topLinePunct w:val="0"/>
        <w:autoSpaceDE/>
        <w:autoSpaceDN/>
        <w:bidi w:val="0"/>
        <w:adjustRightInd/>
        <w:snapToGrid/>
        <w:spacing w:after="0" w:line="540" w:lineRule="exact"/>
        <w:ind w:left="640" w:firstLine="0"/>
        <w:jc w:val="both"/>
        <w:textAlignment w:val="auto"/>
        <w:rPr>
          <w:rFonts w:ascii="仿宋_GB2312" w:hAnsi="仿宋_GB2312" w:eastAsia="仿宋_GB2312" w:cs="仿宋_GB2312"/>
          <w:b/>
          <w:sz w:val="32"/>
          <w:szCs w:val="32"/>
        </w:rPr>
      </w:pPr>
      <w:bookmarkStart w:id="27" w:name="bookmark28"/>
      <w:r>
        <w:rPr>
          <w:rFonts w:hint="eastAsia" w:ascii="仿宋_GB2312" w:hAnsi="仿宋_GB2312" w:eastAsia="仿宋_GB2312" w:cs="仿宋_GB2312"/>
          <w:b/>
          <w:sz w:val="32"/>
          <w:szCs w:val="32"/>
        </w:rPr>
        <w:t>（</w:t>
      </w:r>
      <w:bookmarkEnd w:id="27"/>
      <w:r>
        <w:rPr>
          <w:rFonts w:hint="eastAsia" w:ascii="仿宋_GB2312" w:hAnsi="仿宋_GB2312" w:eastAsia="仿宋_GB2312" w:cs="仿宋_GB2312"/>
          <w:b/>
          <w:sz w:val="32"/>
          <w:szCs w:val="32"/>
        </w:rPr>
        <w:t>四）评估内容</w:t>
      </w:r>
    </w:p>
    <w:p w14:paraId="6323E4FC">
      <w:pPr>
        <w:pStyle w:val="12"/>
        <w:pageBreakBefore w:val="0"/>
        <w:widowControl w:val="0"/>
        <w:kinsoku/>
        <w:wordWrap/>
        <w:overflowPunct/>
        <w:topLinePunct w:val="0"/>
        <w:autoSpaceDE/>
        <w:autoSpaceDN/>
        <w:bidi w:val="0"/>
        <w:adjustRightInd/>
        <w:snapToGrid/>
        <w:spacing w:after="0" w:line="540" w:lineRule="exact"/>
        <w:ind w:firstLine="641" w:firstLineChars="200"/>
        <w:jc w:val="both"/>
        <w:textAlignment w:val="auto"/>
        <w:rPr>
          <w:rFonts w:ascii="仿宋_GB2312" w:hAnsi="仿宋_GB2312" w:eastAsia="PMingLiU" w:cs="仿宋_GB2312"/>
          <w:b/>
          <w:sz w:val="32"/>
          <w:szCs w:val="32"/>
        </w:rPr>
      </w:pPr>
      <w:bookmarkStart w:id="28" w:name="bookmark30"/>
      <w:r>
        <w:rPr>
          <w:rFonts w:ascii="仿宋_GB2312" w:hAnsi="仿宋_GB2312" w:eastAsia="PMingLiU" w:cs="仿宋_GB2312"/>
          <w:b/>
          <w:sz w:val="32"/>
          <w:szCs w:val="32"/>
        </w:rPr>
        <w:t>1.</w:t>
      </w:r>
      <w:r>
        <w:rPr>
          <w:rFonts w:hint="eastAsia" w:ascii="仿宋_GB2312" w:hAnsi="仿宋_GB2312" w:eastAsia="仿宋_GB2312" w:cs="仿宋_GB2312"/>
          <w:b/>
          <w:sz w:val="32"/>
          <w:szCs w:val="32"/>
          <w:lang w:eastAsia="zh-CN"/>
        </w:rPr>
        <w:t>项目</w:t>
      </w:r>
      <w:r>
        <w:rPr>
          <w:rFonts w:ascii="仿宋_GB2312" w:hAnsi="仿宋_GB2312" w:eastAsia="仿宋_GB2312" w:cs="仿宋_GB2312"/>
          <w:b/>
          <w:sz w:val="32"/>
          <w:szCs w:val="32"/>
        </w:rPr>
        <w:t>管理情况评估</w:t>
      </w:r>
    </w:p>
    <w:p w14:paraId="4F2B36C9">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t>主要从社工站人员管理、</w:t>
      </w:r>
      <w:r>
        <w:rPr>
          <w:rFonts w:hint="eastAsia" w:ascii="仿宋_GB2312" w:hAnsi="仿宋_GB2312" w:eastAsia="仿宋_GB2312" w:cs="仿宋_GB2312"/>
          <w:sz w:val="32"/>
          <w:szCs w:val="32"/>
          <w:lang w:eastAsia="zh-CN"/>
        </w:rPr>
        <w:t>专业</w:t>
      </w:r>
      <w:r>
        <w:rPr>
          <w:rFonts w:ascii="仿宋_GB2312" w:hAnsi="仿宋_GB2312" w:eastAsia="仿宋_GB2312" w:cs="仿宋_GB2312"/>
          <w:sz w:val="32"/>
          <w:szCs w:val="32"/>
          <w:lang w:eastAsia="zh-CN"/>
        </w:rPr>
        <w:t>规范性管理</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项目宣传等方面进行评估。</w:t>
      </w:r>
    </w:p>
    <w:p w14:paraId="6AE3CEDC">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2.项目服务评估</w:t>
      </w:r>
    </w:p>
    <w:p w14:paraId="4E5D4865">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仿宋_GB2312" w:cs="仿宋_GB2312"/>
          <w:sz w:val="32"/>
          <w:szCs w:val="32"/>
          <w:lang w:eastAsia="zh-CN"/>
        </w:rPr>
      </w:pPr>
      <w:r>
        <w:rPr>
          <w:rFonts w:ascii="仿宋_GB2312" w:hAnsi="仿宋_GB2312" w:eastAsia="仿宋_GB2312" w:cs="仿宋_GB2312"/>
          <w:sz w:val="32"/>
          <w:szCs w:val="32"/>
          <w:lang w:eastAsia="zh-CN"/>
        </w:rPr>
        <w:t>根据《广州市社工站</w:t>
      </w:r>
      <w:r>
        <w:rPr>
          <w:rFonts w:hint="eastAsia" w:ascii="仿宋_GB2312" w:hAnsi="仿宋_GB2312" w:eastAsia="仿宋_GB2312" w:cs="仿宋_GB2312"/>
          <w:sz w:val="32"/>
          <w:szCs w:val="32"/>
          <w:lang w:eastAsia="zh-CN"/>
        </w:rPr>
        <w:t>购买</w:t>
      </w:r>
      <w:r>
        <w:rPr>
          <w:rFonts w:ascii="仿宋_GB2312" w:hAnsi="仿宋_GB2312" w:eastAsia="仿宋_GB2312" w:cs="仿宋_GB2312"/>
          <w:sz w:val="32"/>
          <w:szCs w:val="32"/>
          <w:lang w:eastAsia="zh-CN"/>
        </w:rPr>
        <w:t>服务项目评估指标体系》，结合社工站与</w:t>
      </w:r>
      <w:r>
        <w:rPr>
          <w:rFonts w:hint="eastAsia" w:ascii="仿宋_GB2312" w:hAnsi="仿宋_GB2312" w:eastAsia="仿宋_GB2312" w:cs="仿宋_GB2312"/>
          <w:sz w:val="32"/>
          <w:szCs w:val="32"/>
          <w:lang w:val="en-US" w:eastAsia="zh-CN"/>
        </w:rPr>
        <w:t>镇政府</w:t>
      </w:r>
      <w:r>
        <w:rPr>
          <w:rFonts w:ascii="仿宋_GB2312" w:hAnsi="仿宋_GB2312" w:eastAsia="仿宋_GB2312" w:cs="仿宋_GB2312"/>
          <w:sz w:val="32"/>
          <w:szCs w:val="32"/>
          <w:lang w:eastAsia="zh-CN"/>
        </w:rPr>
        <w:t>签订的</w:t>
      </w:r>
      <w:r>
        <w:rPr>
          <w:rFonts w:hint="eastAsia" w:ascii="仿宋_GB2312" w:hAnsi="仿宋_GB2312" w:eastAsia="仿宋_GB2312" w:cs="仿宋_GB2312"/>
          <w:sz w:val="32"/>
          <w:szCs w:val="32"/>
          <w:lang w:eastAsia="zh-CN"/>
        </w:rPr>
        <w:t>双</w:t>
      </w:r>
      <w:r>
        <w:rPr>
          <w:rFonts w:ascii="仿宋_GB2312" w:hAnsi="仿宋_GB2312" w:eastAsia="仿宋_GB2312" w:cs="仿宋_GB2312"/>
          <w:sz w:val="32"/>
          <w:szCs w:val="32"/>
          <w:lang w:eastAsia="zh-CN"/>
        </w:rPr>
        <w:t>方协议规定开展的服务内容开展评估工作，主要从</w:t>
      </w:r>
      <w:r>
        <w:rPr>
          <w:rFonts w:hint="eastAsia" w:ascii="仿宋_GB2312" w:hAnsi="仿宋_GB2312" w:eastAsia="仿宋_GB2312" w:cs="仿宋_GB2312"/>
          <w:sz w:val="32"/>
          <w:szCs w:val="32"/>
          <w:lang w:eastAsia="zh-CN"/>
        </w:rPr>
        <w:t>需求</w:t>
      </w:r>
      <w:r>
        <w:rPr>
          <w:rFonts w:ascii="仿宋_GB2312" w:hAnsi="仿宋_GB2312" w:eastAsia="仿宋_GB2312" w:cs="仿宋_GB2312"/>
          <w:sz w:val="32"/>
          <w:szCs w:val="32"/>
          <w:lang w:eastAsia="zh-CN"/>
        </w:rPr>
        <w:t>评估</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服务设计</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服务执行</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服务成效等方面进行评估。</w:t>
      </w:r>
    </w:p>
    <w:p w14:paraId="1AE30343">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bookmarkStart w:id="29" w:name="bookmark29"/>
      <w:bookmarkEnd w:id="29"/>
      <w:r>
        <w:rPr>
          <w:rFonts w:ascii="仿宋_GB2312" w:hAnsi="仿宋_GB2312" w:eastAsia="仿宋_GB2312" w:cs="仿宋_GB2312"/>
          <w:b/>
          <w:sz w:val="32"/>
          <w:szCs w:val="32"/>
        </w:rPr>
        <w:t>3</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rPr>
        <w:t>服务</w:t>
      </w:r>
      <w:r>
        <w:rPr>
          <w:rFonts w:ascii="仿宋_GB2312" w:hAnsi="仿宋_GB2312" w:eastAsia="仿宋_GB2312" w:cs="仿宋_GB2312"/>
          <w:b/>
          <w:sz w:val="32"/>
          <w:szCs w:val="32"/>
        </w:rPr>
        <w:t>对象评价</w:t>
      </w:r>
    </w:p>
    <w:p w14:paraId="6BCF8120">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服务</w:t>
      </w:r>
      <w:r>
        <w:rPr>
          <w:rFonts w:ascii="仿宋_GB2312" w:hAnsi="仿宋_GB2312" w:eastAsia="仿宋_GB2312" w:cs="仿宋_GB2312"/>
          <w:sz w:val="32"/>
          <w:szCs w:val="32"/>
          <w:lang w:eastAsia="zh-CN"/>
        </w:rPr>
        <w:t>对象满意度主要由评估机构统筹实施</w:t>
      </w:r>
      <w:r>
        <w:rPr>
          <w:rFonts w:hint="eastAsia" w:ascii="仿宋_GB2312" w:hAnsi="仿宋_GB2312" w:eastAsia="仿宋_GB2312" w:cs="仿宋_GB2312"/>
          <w:sz w:val="32"/>
          <w:szCs w:val="32"/>
          <w:lang w:eastAsia="zh-CN"/>
        </w:rPr>
        <w:t>，通过电访、走访、调查问卷等方式进行，</w:t>
      </w:r>
      <w:r>
        <w:rPr>
          <w:rFonts w:ascii="仿宋_GB2312" w:hAnsi="仿宋_GB2312" w:eastAsia="仿宋_GB2312" w:cs="仿宋_GB2312"/>
          <w:sz w:val="32"/>
          <w:szCs w:val="32"/>
          <w:lang w:eastAsia="zh-CN"/>
        </w:rPr>
        <w:t>随机抽取不少于</w:t>
      </w:r>
      <w:r>
        <w:rPr>
          <w:rFonts w:hint="eastAsia" w:ascii="仿宋_GB2312" w:hAnsi="仿宋_GB2312" w:eastAsia="仿宋_GB2312" w:cs="仿宋_GB2312"/>
          <w:sz w:val="32"/>
          <w:szCs w:val="32"/>
          <w:lang w:eastAsia="zh-CN"/>
        </w:rPr>
        <w:t>1</w:t>
      </w:r>
      <w:r>
        <w:rPr>
          <w:rFonts w:ascii="仿宋_GB2312" w:hAnsi="仿宋_GB2312" w:eastAsia="仿宋_GB2312" w:cs="仿宋_GB2312"/>
          <w:sz w:val="32"/>
          <w:szCs w:val="32"/>
          <w:lang w:eastAsia="zh-CN"/>
        </w:rPr>
        <w:t>00名服务对象开展满意度调查</w:t>
      </w:r>
      <w:r>
        <w:rPr>
          <w:rFonts w:hint="eastAsia" w:ascii="仿宋_GB2312" w:hAnsi="仿宋_GB2312" w:eastAsia="仿宋_GB2312" w:cs="仿宋_GB2312"/>
          <w:sz w:val="32"/>
          <w:szCs w:val="32"/>
          <w:lang w:eastAsia="zh-CN"/>
        </w:rPr>
        <w:t>（困难群众和特殊群体总人数低于1</w:t>
      </w:r>
      <w:r>
        <w:rPr>
          <w:rFonts w:ascii="仿宋_GB2312" w:hAnsi="仿宋_GB2312" w:eastAsia="仿宋_GB2312" w:cs="仿宋_GB2312"/>
          <w:sz w:val="32"/>
          <w:szCs w:val="32"/>
          <w:lang w:eastAsia="zh-CN"/>
        </w:rPr>
        <w:t>00的</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按照实际人数</w:t>
      </w:r>
      <w:r>
        <w:rPr>
          <w:rFonts w:hint="eastAsia" w:ascii="仿宋_GB2312" w:hAnsi="仿宋_GB2312" w:eastAsia="仿宋_GB2312" w:cs="仿宋_GB2312"/>
          <w:sz w:val="32"/>
          <w:szCs w:val="32"/>
          <w:lang w:eastAsia="zh-CN"/>
        </w:rPr>
        <w:t>开展</w:t>
      </w:r>
      <w:r>
        <w:rPr>
          <w:rFonts w:ascii="仿宋_GB2312" w:hAnsi="仿宋_GB2312" w:eastAsia="仿宋_GB2312" w:cs="仿宋_GB2312"/>
          <w:sz w:val="32"/>
          <w:szCs w:val="32"/>
          <w:lang w:eastAsia="zh-CN"/>
        </w:rPr>
        <w:t>全覆盖满意度调查</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w:t>
      </w:r>
    </w:p>
    <w:p w14:paraId="239F20A8">
      <w:pPr>
        <w:pStyle w:val="12"/>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PMingLiU" w:cs="仿宋_GB2312"/>
          <w:b/>
          <w:sz w:val="32"/>
          <w:szCs w:val="32"/>
        </w:rPr>
      </w:pPr>
      <w:r>
        <w:rPr>
          <w:rFonts w:hint="eastAsia" w:ascii="仿宋_GB2312" w:hAnsi="仿宋_GB2312" w:eastAsia="仿宋_GB2312" w:cs="仿宋_GB2312"/>
          <w:b/>
          <w:sz w:val="32"/>
          <w:szCs w:val="32"/>
        </w:rPr>
        <w:t>4</w:t>
      </w:r>
      <w:r>
        <w:rPr>
          <w:rFonts w:ascii="仿宋_GB2312" w:hAnsi="仿宋_GB2312" w:eastAsia="仿宋_GB2312" w:cs="仿宋_GB2312"/>
          <w:b/>
          <w:sz w:val="32"/>
          <w:szCs w:val="32"/>
        </w:rPr>
        <w:t>.收集整理相关方反馈</w:t>
      </w:r>
    </w:p>
    <w:p w14:paraId="761B9989">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仿宋_GB2312" w:eastAsia="PMingLiU" w:cs="仿宋_GB2312"/>
          <w:sz w:val="32"/>
          <w:szCs w:val="32"/>
        </w:rPr>
      </w:pPr>
      <w:r>
        <w:rPr>
          <w:rFonts w:hint="eastAsia" w:ascii="仿宋_GB2312" w:hAnsi="仿宋_GB2312" w:eastAsia="仿宋_GB2312" w:cs="仿宋_GB2312"/>
          <w:sz w:val="32"/>
          <w:szCs w:val="32"/>
        </w:rPr>
        <w:t>收集整理相关方意见反馈</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lang w:val="en-US" w:eastAsia="zh-CN"/>
        </w:rPr>
        <w:t>镇政府</w:t>
      </w:r>
      <w:r>
        <w:rPr>
          <w:rFonts w:hint="eastAsia" w:ascii="仿宋_GB2312" w:hAnsi="仿宋_GB2312" w:eastAsia="仿宋_GB2312" w:cs="仿宋_GB2312"/>
          <w:sz w:val="32"/>
          <w:szCs w:val="32"/>
        </w:rPr>
        <w:t>购买方</w:t>
      </w:r>
      <w:r>
        <w:rPr>
          <w:rFonts w:hint="eastAsia" w:ascii="仿宋_GB2312" w:hAnsi="仿宋_GB2312" w:eastAsia="仿宋_GB2312" w:cs="仿宋_GB2312"/>
          <w:sz w:val="32"/>
          <w:szCs w:val="32"/>
          <w:lang w:eastAsia="zh-CN"/>
        </w:rPr>
        <w:t>对社工站项目作用发挥情况的综合评价</w:t>
      </w:r>
      <w:r>
        <w:rPr>
          <w:rFonts w:hint="eastAsia" w:ascii="仿宋_GB2312" w:hAnsi="仿宋_GB2312" w:eastAsia="仿宋_GB2312" w:cs="仿宋_GB2312"/>
          <w:sz w:val="32"/>
          <w:szCs w:val="32"/>
        </w:rPr>
        <w:t>，监督方番禺区民政局</w:t>
      </w:r>
      <w:r>
        <w:rPr>
          <w:rFonts w:hint="eastAsia" w:ascii="仿宋_GB2312" w:hAnsi="仿宋_GB2312" w:eastAsia="仿宋_GB2312" w:cs="仿宋_GB2312"/>
          <w:sz w:val="32"/>
          <w:szCs w:val="32"/>
          <w:lang w:eastAsia="zh-CN"/>
        </w:rPr>
        <w:t>对社工站项目的自查自纠检查情况、督查整改落实情况的综合评价，以及</w:t>
      </w:r>
      <w:r>
        <w:rPr>
          <w:rFonts w:hint="eastAsia" w:ascii="仿宋_GB2312" w:hAnsi="仿宋_GB2312" w:eastAsia="仿宋_GB2312" w:cs="仿宋_GB2312"/>
          <w:sz w:val="32"/>
          <w:szCs w:val="32"/>
        </w:rPr>
        <w:t>督导中心</w:t>
      </w:r>
      <w:r>
        <w:rPr>
          <w:rFonts w:hint="eastAsia" w:ascii="仿宋_GB2312" w:hAnsi="仿宋_GB2312" w:eastAsia="仿宋_GB2312" w:cs="仿宋_GB2312"/>
          <w:sz w:val="32"/>
          <w:szCs w:val="32"/>
          <w:lang w:eastAsia="zh-CN"/>
        </w:rPr>
        <w:t>对服务质量保障方面情况的综合评价。</w:t>
      </w:r>
    </w:p>
    <w:p w14:paraId="13810755">
      <w:pPr>
        <w:pStyle w:val="12"/>
        <w:pageBreakBefore w:val="0"/>
        <w:widowControl w:val="0"/>
        <w:tabs>
          <w:tab w:val="left" w:pos="1480"/>
        </w:tabs>
        <w:kinsoku/>
        <w:wordWrap/>
        <w:overflowPunct/>
        <w:topLinePunct w:val="0"/>
        <w:autoSpaceDE/>
        <w:autoSpaceDN/>
        <w:bidi w:val="0"/>
        <w:adjustRightInd/>
        <w:snapToGrid/>
        <w:spacing w:after="0" w:line="540" w:lineRule="exact"/>
        <w:ind w:firstLine="643" w:firstLineChars="200"/>
        <w:jc w:val="both"/>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bookmarkEnd w:id="28"/>
      <w:r>
        <w:rPr>
          <w:rFonts w:hint="eastAsia" w:ascii="仿宋_GB2312" w:hAnsi="仿宋_GB2312" w:eastAsia="仿宋_GB2312" w:cs="仿宋_GB2312"/>
          <w:b/>
          <w:sz w:val="32"/>
          <w:szCs w:val="32"/>
        </w:rPr>
        <w:t>五）评估结果说明</w:t>
      </w:r>
    </w:p>
    <w:p w14:paraId="052C5071">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hAnsi="仿宋_GB2312" w:eastAsia="PMingLiU" w:cs="仿宋_GB2312"/>
          <w:sz w:val="32"/>
          <w:szCs w:val="32"/>
        </w:rPr>
      </w:pPr>
      <w:r>
        <w:rPr>
          <w:rFonts w:hint="eastAsia" w:ascii="仿宋_GB2312" w:hAnsi="仿宋_GB2312" w:eastAsia="仿宋_GB2312" w:cs="仿宋_GB2312"/>
          <w:sz w:val="32"/>
          <w:szCs w:val="32"/>
          <w:lang w:val="en-US"/>
        </w:rPr>
        <w:t>社工站项目评估分值由四方评估分数的总和确定。其中，第三方评估机构评估分值占比</w:t>
      </w:r>
      <w:r>
        <w:rPr>
          <w:rFonts w:ascii="仿宋_GB2312" w:hAnsi="仿宋_GB2312" w:eastAsia="仿宋_GB2312" w:cs="仿宋_GB2312"/>
          <w:sz w:val="32"/>
          <w:szCs w:val="32"/>
          <w:lang w:val="en-US"/>
        </w:rPr>
        <w:t>55</w:t>
      </w:r>
      <w:r>
        <w:rPr>
          <w:rFonts w:hint="eastAsia" w:ascii="仿宋_GB2312" w:hAnsi="仿宋_GB2312" w:eastAsia="仿宋_GB2312" w:cs="仿宋_GB2312"/>
          <w:sz w:val="32"/>
          <w:szCs w:val="32"/>
          <w:lang w:val="en-US"/>
        </w:rPr>
        <w:t>％、督导中心评估分值占比</w:t>
      </w:r>
      <w:r>
        <w:rPr>
          <w:rFonts w:ascii="仿宋_GB2312" w:hAnsi="仿宋_GB2312" w:eastAsia="仿宋_GB2312" w:cs="仿宋_GB2312"/>
          <w:sz w:val="32"/>
          <w:szCs w:val="32"/>
          <w:lang w:val="en-US"/>
        </w:rPr>
        <w:t>15</w:t>
      </w:r>
      <w:r>
        <w:rPr>
          <w:rFonts w:hint="eastAsia" w:ascii="仿宋_GB2312" w:hAnsi="仿宋_GB2312" w:eastAsia="仿宋_GB2312" w:cs="仿宋_GB2312"/>
          <w:sz w:val="32"/>
          <w:szCs w:val="32"/>
          <w:lang w:val="en-US"/>
        </w:rPr>
        <w:t>％、镇人民政府（街道办事处）评估分值占比</w:t>
      </w:r>
      <w:r>
        <w:rPr>
          <w:rFonts w:ascii="仿宋_GB2312" w:hAnsi="仿宋_GB2312" w:eastAsia="仿宋_GB2312" w:cs="仿宋_GB2312"/>
          <w:sz w:val="32"/>
          <w:szCs w:val="32"/>
          <w:lang w:val="en-US"/>
        </w:rPr>
        <w:t>20</w:t>
      </w:r>
      <w:r>
        <w:rPr>
          <w:rFonts w:hint="eastAsia" w:ascii="仿宋_GB2312" w:hAnsi="仿宋_GB2312" w:eastAsia="仿宋_GB2312" w:cs="仿宋_GB2312"/>
          <w:sz w:val="32"/>
          <w:szCs w:val="32"/>
          <w:lang w:val="en-US"/>
        </w:rPr>
        <w:t>％、区民政部门评估分值占比</w:t>
      </w:r>
      <w:r>
        <w:rPr>
          <w:rFonts w:ascii="仿宋_GB2312" w:hAnsi="仿宋_GB2312" w:eastAsia="仿宋_GB2312" w:cs="仿宋_GB2312"/>
          <w:sz w:val="32"/>
          <w:szCs w:val="32"/>
          <w:lang w:val="en-US"/>
        </w:rPr>
        <w:t>10</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rPr>
        <w:t>评估等级分为优秀、良好、合格、不合格四个等级，90分以上为优秀，80分至90分（不含90分）为良好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60分至80分（不含80分）为合格，60分以下（不含60分）为不合格。评估中若发现有下列情形之一的，评估结果</w:t>
      </w:r>
      <w:r>
        <w:rPr>
          <w:rFonts w:hint="eastAsia" w:ascii="仿宋_GB2312" w:hAnsi="仿宋_GB2312" w:eastAsia="仿宋_GB2312" w:cs="仿宋_GB2312"/>
          <w:sz w:val="32"/>
          <w:szCs w:val="32"/>
          <w:lang w:eastAsia="zh-CN"/>
        </w:rPr>
        <w:t>也确</w:t>
      </w:r>
      <w:r>
        <w:rPr>
          <w:rFonts w:hint="eastAsia" w:ascii="仿宋_GB2312" w:hAnsi="仿宋_GB2312" w:eastAsia="仿宋_GB2312" w:cs="仿宋_GB2312"/>
          <w:sz w:val="32"/>
          <w:szCs w:val="32"/>
        </w:rPr>
        <w:t>定为不合格：</w:t>
      </w:r>
    </w:p>
    <w:p w14:paraId="00F2EC74">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（一）</w:t>
      </w:r>
      <w:r>
        <w:rPr>
          <w:rFonts w:hint="eastAsia" w:ascii="仿宋_GB2312" w:eastAsia="仿宋_GB2312"/>
          <w:sz w:val="32"/>
          <w:szCs w:val="32"/>
        </w:rPr>
        <w:t>保洁</w:t>
      </w:r>
      <w:r>
        <w:rPr>
          <w:rFonts w:hint="eastAsia" w:ascii="仿宋_GB2312" w:eastAsia="仿宋_GB2312"/>
          <w:sz w:val="32"/>
          <w:szCs w:val="32"/>
          <w:lang w:eastAsia="zh-CN"/>
        </w:rPr>
        <w:t>、</w:t>
      </w:r>
      <w:r>
        <w:rPr>
          <w:rFonts w:hint="eastAsia" w:ascii="仿宋_GB2312" w:eastAsia="仿宋_GB2312"/>
          <w:sz w:val="32"/>
          <w:szCs w:val="32"/>
        </w:rPr>
        <w:t>安保等人员占用社工名额的；</w:t>
      </w:r>
    </w:p>
    <w:p w14:paraId="39D3DC5F">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（二）</w:t>
      </w:r>
      <w:r>
        <w:rPr>
          <w:rFonts w:hint="eastAsia" w:ascii="仿宋_GB2312" w:eastAsia="仿宋_GB2312"/>
          <w:sz w:val="32"/>
          <w:szCs w:val="32"/>
        </w:rPr>
        <w:t>社工人员配备不足的，其中中期评估累计缺少5人次或以上，末期评估累计缺少10人次或以上；</w:t>
      </w:r>
    </w:p>
    <w:p w14:paraId="7FE4FB18">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持证社工比例不达标的，其中中期评估累计缺少3人次或以上，末期评估累计缺少6人次或以上；</w:t>
      </w:r>
    </w:p>
    <w:p w14:paraId="07AE7467">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（四）</w:t>
      </w:r>
      <w:r>
        <w:rPr>
          <w:rFonts w:hint="eastAsia" w:ascii="仿宋_GB2312" w:eastAsia="仿宋_GB2312"/>
          <w:sz w:val="32"/>
          <w:szCs w:val="32"/>
        </w:rPr>
        <w:t>年度服务期内人员费用支出比例低于80%的；</w:t>
      </w:r>
    </w:p>
    <w:p w14:paraId="772F00AE">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（五）</w:t>
      </w:r>
      <w:r>
        <w:rPr>
          <w:rFonts w:hint="eastAsia" w:ascii="仿宋_GB2312" w:eastAsia="仿宋_GB2312"/>
          <w:sz w:val="32"/>
          <w:szCs w:val="32"/>
        </w:rPr>
        <w:t>限期内整改不及时、不到位的；</w:t>
      </w:r>
    </w:p>
    <w:p w14:paraId="05AA0542">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（六）</w:t>
      </w:r>
      <w:r>
        <w:rPr>
          <w:rFonts w:hint="eastAsia" w:ascii="仿宋_GB2312" w:eastAsia="仿宋_GB2312"/>
          <w:sz w:val="32"/>
          <w:szCs w:val="32"/>
        </w:rPr>
        <w:t>专业评估结果为不合格的；</w:t>
      </w:r>
    </w:p>
    <w:p w14:paraId="024EC6BB">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（七）</w:t>
      </w:r>
      <w:r>
        <w:rPr>
          <w:rFonts w:hint="eastAsia" w:ascii="仿宋_GB2312" w:eastAsia="仿宋_GB2312"/>
          <w:sz w:val="32"/>
          <w:szCs w:val="32"/>
        </w:rPr>
        <w:t>财务评估结果为不合格的；</w:t>
      </w:r>
    </w:p>
    <w:p w14:paraId="3AA6A0F9">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 w:hAnsi="仿宋" w:eastAsia="仿宋"/>
          <w:sz w:val="32"/>
          <w:szCs w:val="32"/>
        </w:rPr>
      </w:pPr>
      <w:r>
        <w:rPr>
          <w:rFonts w:hint="eastAsia" w:ascii="仿宋_GB2312" w:eastAsia="仿宋_GB2312"/>
          <w:sz w:val="32"/>
          <w:szCs w:val="32"/>
          <w:lang w:eastAsia="zh-CN"/>
        </w:rPr>
        <w:t>（八）</w:t>
      </w:r>
      <w:r>
        <w:rPr>
          <w:rFonts w:hint="eastAsia" w:ascii="仿宋_GB2312" w:eastAsia="仿宋_GB2312"/>
          <w:sz w:val="32"/>
          <w:szCs w:val="32"/>
        </w:rPr>
        <w:t>违反国家法律法规及有关规定的其他情形，情节严重的。</w:t>
      </w:r>
    </w:p>
    <w:p w14:paraId="5A7C0485">
      <w:pPr>
        <w:pStyle w:val="10"/>
        <w:keepNext/>
        <w:keepLines/>
        <w:pageBreakBefore w:val="0"/>
        <w:widowControl w:val="0"/>
        <w:kinsoku/>
        <w:wordWrap/>
        <w:overflowPunct/>
        <w:topLinePunct w:val="0"/>
        <w:autoSpaceDE/>
        <w:autoSpaceDN/>
        <w:bidi w:val="0"/>
        <w:adjustRightInd/>
        <w:snapToGrid/>
        <w:spacing w:before="0" w:after="0" w:line="54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二、评估总结</w:t>
      </w:r>
    </w:p>
    <w:p w14:paraId="1EBCDAEF">
      <w:pPr>
        <w:pStyle w:val="12"/>
        <w:pageBreakBefore w:val="0"/>
        <w:widowControl w:val="0"/>
        <w:kinsoku/>
        <w:wordWrap/>
        <w:overflowPunct/>
        <w:topLinePunct w:val="0"/>
        <w:autoSpaceDE/>
        <w:autoSpaceDN/>
        <w:bidi w:val="0"/>
        <w:adjustRightInd/>
        <w:snapToGrid/>
        <w:spacing w:after="0" w:line="54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w:t>
      </w:r>
      <w:r>
        <w:rPr>
          <w:rFonts w:hint="eastAsia" w:ascii="仿宋_GB2312" w:eastAsia="仿宋_GB2312"/>
          <w:b/>
          <w:color w:val="auto"/>
          <w:sz w:val="32"/>
          <w:szCs w:val="32"/>
          <w:lang w:eastAsia="zh-CN"/>
        </w:rPr>
        <w:t>一</w:t>
      </w:r>
      <w:r>
        <w:rPr>
          <w:rFonts w:hint="eastAsia" w:ascii="仿宋_GB2312" w:eastAsia="仿宋_GB2312"/>
          <w:b/>
          <w:color w:val="auto"/>
          <w:sz w:val="32"/>
          <w:szCs w:val="32"/>
        </w:rPr>
        <w:t>）社工站基本情况</w:t>
      </w:r>
    </w:p>
    <w:p w14:paraId="273F498E">
      <w:pPr>
        <w:pStyle w:val="12"/>
        <w:pageBreakBefore w:val="0"/>
        <w:widowControl w:val="0"/>
        <w:kinsoku/>
        <w:wordWrap/>
        <w:overflowPunct/>
        <w:topLinePunct w:val="0"/>
        <w:autoSpaceDE/>
        <w:autoSpaceDN/>
        <w:bidi w:val="0"/>
        <w:adjustRightInd/>
        <w:snapToGrid/>
        <w:spacing w:after="0" w:line="540" w:lineRule="exact"/>
        <w:ind w:firstLine="601"/>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化龙镇社工站位于番禺区化龙镇亭南路15号化龙公园星光老年之家2楼。化龙镇社工服务站挂牌成立于2012年6月29日，至今一直由番禺区普爱社会工作服务社承接运营，社工站主要服务包括：党建引领服务、兜底性民生服务、基础性民生服务、普惠性民生服务四大板块。</w:t>
      </w:r>
    </w:p>
    <w:p w14:paraId="3D46962A">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lang w:eastAsia="zh-CN"/>
        </w:rPr>
        <w:t>截至202</w:t>
      </w:r>
      <w:r>
        <w:rPr>
          <w:rFonts w:hint="eastAsia" w:ascii="仿宋_GB2312" w:eastAsia="仿宋_GB2312" w:cs="宋体"/>
          <w:sz w:val="32"/>
          <w:szCs w:val="32"/>
          <w:lang w:val="en-US" w:eastAsia="zh-CN"/>
        </w:rPr>
        <w:t>6</w:t>
      </w:r>
      <w:r>
        <w:rPr>
          <w:rFonts w:hint="eastAsia" w:ascii="仿宋_GB2312" w:hAnsi="宋体" w:eastAsia="仿宋_GB2312" w:cs="宋体"/>
          <w:sz w:val="32"/>
          <w:szCs w:val="32"/>
          <w:lang w:eastAsia="zh-CN"/>
        </w:rPr>
        <w:t>年</w:t>
      </w:r>
      <w:r>
        <w:rPr>
          <w:rFonts w:hint="eastAsia" w:ascii="仿宋_GB2312" w:eastAsia="仿宋_GB2312" w:cs="宋体"/>
          <w:sz w:val="32"/>
          <w:szCs w:val="32"/>
          <w:lang w:val="en-US" w:eastAsia="zh-CN"/>
        </w:rPr>
        <w:t>7</w:t>
      </w:r>
      <w:r>
        <w:rPr>
          <w:rFonts w:hint="eastAsia" w:ascii="仿宋_GB2312" w:hAnsi="宋体" w:eastAsia="仿宋_GB2312" w:cs="宋体"/>
          <w:sz w:val="32"/>
          <w:szCs w:val="32"/>
          <w:lang w:eastAsia="zh-CN"/>
        </w:rPr>
        <w:t>月3</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17</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1</w:t>
      </w:r>
      <w:r>
        <w:rPr>
          <w:rFonts w:hint="eastAsia" w:ascii="仿宋_GB2312" w:eastAsia="仿宋_GB2312" w:cs="宋体"/>
          <w:sz w:val="32"/>
          <w:szCs w:val="32"/>
          <w:lang w:val="en-US" w:eastAsia="zh-CN"/>
        </w:rPr>
        <w:t>5</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人，助理社会工作师</w:t>
      </w:r>
      <w:r>
        <w:rPr>
          <w:rFonts w:hint="eastAsia" w:ascii="仿宋_GB2312" w:eastAsia="仿宋_GB2312" w:cs="宋体"/>
          <w:sz w:val="32"/>
          <w:szCs w:val="32"/>
          <w:lang w:val="en-US" w:eastAsia="zh-CN"/>
        </w:rPr>
        <w:t>9</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，相关专业1人</w:t>
      </w:r>
      <w:r>
        <w:rPr>
          <w:rFonts w:hint="eastAsia" w:ascii="仿宋_GB2312" w:eastAsia="仿宋_GB2312" w:cs="宋体"/>
          <w:sz w:val="32"/>
          <w:szCs w:val="32"/>
          <w:lang w:val="en-US" w:eastAsia="zh-CN"/>
        </w:rPr>
        <w:t>，其他人员1人</w:t>
      </w:r>
      <w:r>
        <w:rPr>
          <w:rFonts w:hint="eastAsia" w:ascii="仿宋_GB2312" w:hAnsi="宋体" w:eastAsia="仿宋_GB2312" w:cs="宋体"/>
          <w:sz w:val="32"/>
          <w:szCs w:val="32"/>
          <w:lang w:eastAsia="zh-CN"/>
        </w:rPr>
        <w:t>。上次评估统计截止时间至本次评估统计开始时间期间（202</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年</w:t>
      </w:r>
      <w:r>
        <w:rPr>
          <w:rFonts w:hint="eastAsia" w:ascii="仿宋_GB2312" w:hAnsi="宋体" w:eastAsia="仿宋_GB2312" w:cs="宋体"/>
          <w:sz w:val="32"/>
          <w:szCs w:val="32"/>
          <w:lang w:val="en-US" w:eastAsia="zh-CN"/>
        </w:rPr>
        <w:t>7</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31</w:t>
      </w:r>
      <w:r>
        <w:rPr>
          <w:rFonts w:hint="eastAsia" w:ascii="仿宋_GB2312" w:hAnsi="宋体" w:eastAsia="仿宋_GB2312" w:cs="宋体"/>
          <w:sz w:val="32"/>
          <w:szCs w:val="32"/>
          <w:lang w:eastAsia="zh-CN"/>
        </w:rPr>
        <w:t>日—2025年</w:t>
      </w:r>
      <w:r>
        <w:rPr>
          <w:rFonts w:hint="eastAsia" w:ascii="仿宋_GB2312" w:hAnsi="宋体" w:eastAsia="仿宋_GB2312" w:cs="宋体"/>
          <w:sz w:val="32"/>
          <w:szCs w:val="32"/>
          <w:lang w:val="en-US" w:eastAsia="zh-CN"/>
        </w:rPr>
        <w:t>8</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8</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17</w:t>
      </w:r>
      <w:r>
        <w:rPr>
          <w:rFonts w:hint="eastAsia" w:ascii="仿宋_GB2312" w:hAnsi="宋体" w:eastAsia="仿宋_GB2312" w:cs="宋体"/>
          <w:sz w:val="32"/>
          <w:szCs w:val="32"/>
          <w:lang w:eastAsia="zh-CN"/>
        </w:rPr>
        <w:t>名，其中社工专业人员1</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10</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相关专业1人</w:t>
      </w:r>
      <w:r>
        <w:rPr>
          <w:rFonts w:hint="eastAsia" w:ascii="仿宋_GB2312" w:hAnsi="宋体" w:eastAsia="仿宋_GB2312" w:cs="宋体"/>
          <w:sz w:val="32"/>
          <w:szCs w:val="32"/>
          <w:lang w:eastAsia="zh-CN"/>
        </w:rPr>
        <w:t>。此外，社工站配备督导</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名，从事社会服务</w:t>
      </w:r>
      <w:r>
        <w:rPr>
          <w:rFonts w:hint="eastAsia" w:ascii="仿宋_GB2312" w:hAnsi="宋体" w:eastAsia="仿宋_GB2312" w:cs="宋体"/>
          <w:sz w:val="32"/>
          <w:szCs w:val="32"/>
          <w:lang w:val="en-US" w:eastAsia="zh-CN"/>
        </w:rPr>
        <w:t>9.5</w:t>
      </w:r>
      <w:r>
        <w:rPr>
          <w:rFonts w:hint="eastAsia" w:ascii="仿宋_GB2312" w:hAnsi="宋体" w:eastAsia="仿宋_GB2312" w:cs="宋体"/>
          <w:sz w:val="32"/>
          <w:szCs w:val="32"/>
          <w:lang w:eastAsia="zh-CN"/>
        </w:rPr>
        <w:t>年以上。</w:t>
      </w:r>
    </w:p>
    <w:p w14:paraId="67C521CC">
      <w:pPr>
        <w:pStyle w:val="12"/>
        <w:pageBreakBefore w:val="0"/>
        <w:widowControl w:val="0"/>
        <w:kinsoku/>
        <w:wordWrap/>
        <w:overflowPunct/>
        <w:topLinePunct w:val="0"/>
        <w:autoSpaceDE/>
        <w:autoSpaceDN/>
        <w:bidi w:val="0"/>
        <w:adjustRightInd/>
        <w:snapToGrid/>
        <w:spacing w:after="0" w:line="540" w:lineRule="exact"/>
        <w:ind w:firstLine="601"/>
        <w:jc w:val="both"/>
        <w:textAlignment w:val="auto"/>
        <w:rPr>
          <w:rFonts w:ascii="仿宋_GB2312" w:eastAsia="仿宋_GB2312"/>
          <w:color w:val="auto"/>
          <w:sz w:val="32"/>
          <w:szCs w:val="32"/>
        </w:rPr>
      </w:pPr>
      <w:r>
        <w:rPr>
          <w:rFonts w:hint="eastAsia" w:ascii="仿宋_GB2312" w:eastAsia="仿宋_GB2312"/>
          <w:color w:val="auto"/>
          <w:sz w:val="32"/>
          <w:szCs w:val="32"/>
        </w:rPr>
        <w:t>本社工站</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服务经费为</w:t>
      </w:r>
      <w:r>
        <w:rPr>
          <w:rFonts w:hint="eastAsia" w:ascii="仿宋_GB2312" w:eastAsia="仿宋_GB2312"/>
          <w:color w:val="auto"/>
          <w:sz w:val="32"/>
          <w:szCs w:val="32"/>
          <w:lang w:val="en-US" w:eastAsia="zh-CN"/>
        </w:rPr>
        <w:t>204</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项目合同期为202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日至</w:t>
      </w:r>
      <w:r>
        <w:rPr>
          <w:rFonts w:hint="eastAsia" w:ascii="仿宋_GB2312" w:eastAsia="仿宋_GB2312"/>
          <w:color w:val="auto"/>
          <w:sz w:val="32"/>
          <w:szCs w:val="32"/>
          <w:lang w:eastAsia="zh-CN"/>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lang w:eastAsia="zh-CN"/>
        </w:rPr>
        <w:t>年</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日。本次考核期为202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年8月</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日——202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月31日，考核</w:t>
      </w:r>
      <w:r>
        <w:rPr>
          <w:rFonts w:hint="eastAsia" w:ascii="仿宋_GB2312" w:eastAsia="仿宋_GB2312"/>
          <w:color w:val="auto"/>
          <w:sz w:val="32"/>
          <w:szCs w:val="32"/>
          <w:lang w:val="en-US" w:eastAsia="zh-CN"/>
        </w:rPr>
        <w:t>12</w:t>
      </w:r>
      <w:r>
        <w:rPr>
          <w:rFonts w:hint="eastAsia" w:ascii="仿宋_GB2312" w:eastAsia="仿宋_GB2312"/>
          <w:color w:val="auto"/>
          <w:sz w:val="32"/>
          <w:szCs w:val="32"/>
        </w:rPr>
        <w:t>个月。</w:t>
      </w:r>
    </w:p>
    <w:p w14:paraId="0B3F605B">
      <w:pPr>
        <w:pStyle w:val="12"/>
        <w:pageBreakBefore w:val="0"/>
        <w:widowControl w:val="0"/>
        <w:kinsoku/>
        <w:wordWrap/>
        <w:overflowPunct/>
        <w:topLinePunct w:val="0"/>
        <w:autoSpaceDE/>
        <w:autoSpaceDN/>
        <w:bidi w:val="0"/>
        <w:adjustRightInd/>
        <w:snapToGrid/>
        <w:spacing w:after="0" w:line="540" w:lineRule="exact"/>
        <w:ind w:firstLine="743"/>
        <w:jc w:val="both"/>
        <w:textAlignment w:val="auto"/>
        <w:rPr>
          <w:rFonts w:ascii="仿宋_GB2312" w:eastAsia="仿宋_GB2312"/>
          <w:b/>
          <w:color w:val="auto"/>
          <w:sz w:val="32"/>
          <w:szCs w:val="32"/>
        </w:rPr>
      </w:pPr>
      <w:r>
        <w:rPr>
          <w:rFonts w:hint="eastAsia" w:ascii="仿宋_GB2312" w:eastAsia="仿宋_GB2312"/>
          <w:b/>
          <w:color w:val="auto"/>
          <w:sz w:val="32"/>
          <w:szCs w:val="32"/>
        </w:rPr>
        <w:t>（二）各项目服务进度情况</w:t>
      </w:r>
    </w:p>
    <w:p w14:paraId="14ADF7A2">
      <w:pPr>
        <w:pStyle w:val="12"/>
        <w:pageBreakBefore w:val="0"/>
        <w:widowControl w:val="0"/>
        <w:tabs>
          <w:tab w:val="left" w:pos="1355"/>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社工站共完成家访3724户，电访2231户，完成协议指标量的100.00%，分别超额完成协议指标量的20.25%、31.39%；咨询个案38人，专业个案接案32人，服务节数265节，完成协议指标量的100.00%，其中咨询个案、服务节数分别超额完成指标量22.58%、0.38%。开展小组15个，服务节数726节，完成协议指标量的100.00%，其中服务节数超额完成协议指标量的34.44%。完成社区活动40场，服务3966人次，完成协议指标量的100.00%，其中服务人次超额完成协议指标量的125.34%。培育老年志愿者队伍3支，完成指标量的100.00%。（以上数据由社工站提供）。</w:t>
      </w:r>
    </w:p>
    <w:p w14:paraId="6F90A4D9">
      <w:pPr>
        <w:pStyle w:val="12"/>
        <w:pageBreakBefore w:val="0"/>
        <w:widowControl w:val="0"/>
        <w:tabs>
          <w:tab w:val="left" w:pos="1355"/>
        </w:tabs>
        <w:kinsoku/>
        <w:wordWrap/>
        <w:overflowPunct/>
        <w:topLinePunct w:val="0"/>
        <w:autoSpaceDE/>
        <w:autoSpaceDN/>
        <w:bidi w:val="0"/>
        <w:adjustRightInd/>
        <w:snapToGrid/>
        <w:spacing w:after="0" w:line="540" w:lineRule="exact"/>
        <w:ind w:firstLine="640" w:firstLineChars="200"/>
        <w:jc w:val="both"/>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从以上数据可知，化龙镇社工站服务指标完成情况良好，在服务进度方面整体把握到位。</w:t>
      </w:r>
    </w:p>
    <w:p w14:paraId="3AC989DF">
      <w:pPr>
        <w:pStyle w:val="12"/>
        <w:pageBreakBefore w:val="0"/>
        <w:widowControl w:val="0"/>
        <w:kinsoku/>
        <w:wordWrap/>
        <w:overflowPunct/>
        <w:topLinePunct w:val="0"/>
        <w:autoSpaceDE/>
        <w:autoSpaceDN/>
        <w:bidi w:val="0"/>
        <w:adjustRightInd/>
        <w:snapToGrid/>
        <w:spacing w:after="80" w:line="540" w:lineRule="exact"/>
        <w:ind w:firstLine="740"/>
        <w:jc w:val="both"/>
        <w:textAlignment w:val="auto"/>
        <w:rPr>
          <w:rFonts w:ascii="仿宋_GB2312" w:eastAsia="仿宋_GB2312"/>
          <w:color w:val="auto"/>
          <w:sz w:val="32"/>
          <w:szCs w:val="32"/>
        </w:rPr>
      </w:pPr>
      <w:r>
        <w:rPr>
          <w:rFonts w:hint="eastAsia" w:ascii="仿宋_GB2312" w:eastAsia="仿宋_GB2312"/>
          <w:b/>
          <w:bCs/>
          <w:color w:val="auto"/>
          <w:sz w:val="32"/>
          <w:szCs w:val="32"/>
          <w:lang w:eastAsia="zh-CN"/>
        </w:rPr>
        <w:t>（三）</w:t>
      </w:r>
      <w:r>
        <w:rPr>
          <w:rFonts w:hint="eastAsia" w:ascii="仿宋_GB2312" w:eastAsia="仿宋_GB2312"/>
          <w:b/>
          <w:bCs/>
          <w:color w:val="auto"/>
          <w:sz w:val="32"/>
          <w:szCs w:val="32"/>
        </w:rPr>
        <w:t>项目运营管理</w:t>
      </w:r>
    </w:p>
    <w:p w14:paraId="723C4092">
      <w:pPr>
        <w:pStyle w:val="12"/>
        <w:pageBreakBefore w:val="0"/>
        <w:widowControl w:val="0"/>
        <w:kinsoku/>
        <w:wordWrap/>
        <w:overflowPunct/>
        <w:topLinePunct w:val="0"/>
        <w:autoSpaceDE/>
        <w:autoSpaceDN/>
        <w:bidi w:val="0"/>
        <w:adjustRightInd/>
        <w:snapToGrid/>
        <w:spacing w:after="0" w:line="540" w:lineRule="exact"/>
        <w:ind w:firstLine="601"/>
        <w:jc w:val="both"/>
        <w:textAlignment w:val="auto"/>
        <w:rPr>
          <w:rFonts w:ascii="仿宋_GB2312" w:eastAsia="仿宋_GB2312"/>
          <w:color w:val="auto"/>
          <w:sz w:val="32"/>
          <w:szCs w:val="32"/>
        </w:rPr>
      </w:pPr>
      <w:r>
        <w:rPr>
          <w:rFonts w:hint="eastAsia" w:ascii="仿宋_GB2312" w:eastAsia="仿宋_GB2312"/>
          <w:color w:val="auto"/>
          <w:sz w:val="32"/>
          <w:szCs w:val="32"/>
        </w:rPr>
        <w:t>通过与社工站主任、相关</w:t>
      </w:r>
      <w:r>
        <w:rPr>
          <w:rFonts w:hint="eastAsia" w:ascii="仿宋_GB2312" w:eastAsia="仿宋_GB2312"/>
          <w:color w:val="auto"/>
          <w:sz w:val="32"/>
          <w:szCs w:val="32"/>
          <w:lang w:eastAsia="zh-CN"/>
        </w:rPr>
        <w:t>社工</w:t>
      </w:r>
      <w:r>
        <w:rPr>
          <w:rFonts w:hint="eastAsia" w:ascii="仿宋_GB2312" w:eastAsia="仿宋_GB2312"/>
          <w:color w:val="auto"/>
          <w:sz w:val="32"/>
          <w:szCs w:val="32"/>
        </w:rPr>
        <w:t>访谈，查阅相关资料等方式了解社工站运营管理情况，汇总成以下几点：</w:t>
      </w:r>
    </w:p>
    <w:p w14:paraId="4B745955">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441C9C55">
      <w:pPr>
        <w:pStyle w:val="12"/>
        <w:pageBreakBefore w:val="0"/>
        <w:widowControl w:val="0"/>
        <w:tabs>
          <w:tab w:val="left" w:pos="1355"/>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bookmarkStart w:id="30" w:name="bookmark31"/>
      <w:bookmarkEnd w:id="30"/>
      <w:r>
        <w:rPr>
          <w:rFonts w:hint="eastAsia" w:ascii="仿宋_GB2312" w:eastAsia="仿宋_GB2312"/>
          <w:color w:val="auto"/>
          <w:sz w:val="32"/>
          <w:szCs w:val="32"/>
          <w:lang w:val="en-US" w:eastAsia="zh-CN"/>
        </w:rPr>
        <w:t>（1）人员配备符合相关要求，截至2026年7月，社工站配备全职工作人员17人（协议要求17人），应到204人次，实到205人次；其中持证社工15人，持证率88.24%，中级社工师9人，助理社工师6人；从业3年及以上14人，占社工总人数的82.35%；持续在岗15人，稳岗率88%。社工站主任持有中级社工师职业资格水平证书，累计有超过10年的一线社工服务和管理工作经验，资质和资历符合相关要求。机构和社工站注重促进社工专业能力提升，制定有完善的继续教育制度及督导培训机制，定期组织社工参加双百督导、内部督导、双百大讲堂等培训，开展“普爱大学堂”共学课堂等，通过多种方式强化社工继续教育，社工累计参加培训学习时数1274.5小时，达标率104.13%。</w:t>
      </w:r>
    </w:p>
    <w:p w14:paraId="13734A93">
      <w:pPr>
        <w:pStyle w:val="12"/>
        <w:pageBreakBefore w:val="0"/>
        <w:widowControl w:val="0"/>
        <w:tabs>
          <w:tab w:val="left" w:pos="1355"/>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服务规范管理方面，机构建立有完善的服务制度和工作指引，有明确的社工站岗位工作职责，针对财务、行政、人力资源等方面多维度建立一系列管理制度。积极推进上期评估提出问题整改，针对服务规范与伦理短板，已完善专业伦理实践体系，将伦理研讨纳入站点、片区会议固定议程，每季度由社工轮值牵头，围绕保密边界、服务对象过度诉求应对等核心议题开展研讨，落地全流程闭环机制。在服务提升层面，执行《2025-2026社工专业能力提升专项计划》，紧扣兜底民生、特色帮扶等核心业务，聚焦角色定位、服务设计等维度开展常态化专业反思，有效推动服务质量持续优化。</w:t>
      </w:r>
    </w:p>
    <w:p w14:paraId="3342613A">
      <w:pPr>
        <w:pStyle w:val="12"/>
        <w:pageBreakBefore w:val="0"/>
        <w:widowControl w:val="0"/>
        <w:tabs>
          <w:tab w:val="left" w:pos="1355"/>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社工站品牌传播与成果沉淀富有成效：线下社区宣传形式多元、内容扎实，站点线上地图、服务公开信息规范清晰，方便服务对象获取服务资讯。本年度实务研究成果亮点突出，斩获“羊城工匠杯”首届社工技能竞赛市级团体优秀奖，1篇论文获省社工学术年会一等奖，“少年盾·赋能守护”项目获评区级终身学习品牌，累计沉淀18篇优质服务案例，相关成果已纳入机构《社工研究成果汇编》；全周期累计获各级宣传报道64次，其中国家级1次、省级11次、市级29次，有效增强项目社会美誉度和影响力。</w:t>
      </w:r>
    </w:p>
    <w:p w14:paraId="608FB124">
      <w:pPr>
        <w:pStyle w:val="12"/>
        <w:pageBreakBefore w:val="0"/>
        <w:widowControl w:val="0"/>
        <w:tabs>
          <w:tab w:val="left" w:pos="1355"/>
        </w:tabs>
        <w:kinsoku/>
        <w:wordWrap/>
        <w:overflowPunct/>
        <w:topLinePunct w:val="0"/>
        <w:autoSpaceDE/>
        <w:autoSpaceDN/>
        <w:bidi w:val="0"/>
        <w:adjustRightInd/>
        <w:snapToGrid/>
        <w:spacing w:after="0" w:line="540" w:lineRule="exact"/>
        <w:ind w:firstLine="643" w:firstLineChars="200"/>
        <w:jc w:val="both"/>
        <w:textAlignment w:val="auto"/>
        <w:rPr>
          <w:rFonts w:hint="eastAsia" w:ascii="仿宋_GB2312" w:eastAsia="仿宋_GB2312"/>
          <w:b/>
          <w:bCs/>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bookmarkStart w:id="31" w:name="bookmark36"/>
      <w:bookmarkEnd w:id="31"/>
      <w:bookmarkStart w:id="32" w:name="bookmark38"/>
      <w:bookmarkEnd w:id="32"/>
      <w:bookmarkStart w:id="33" w:name="bookmark39"/>
      <w:bookmarkEnd w:id="33"/>
      <w:bookmarkStart w:id="34" w:name="bookmark37"/>
      <w:bookmarkEnd w:id="34"/>
    </w:p>
    <w:p w14:paraId="582D997C">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lang w:eastAsia="zh-CN"/>
        </w:rPr>
        <w:t>）人事管理和档案规范性有待进一步完善：经核查，社工站未严格执行机构《员工手册》第四章第九条、第十条规定，离职社工的书面离职申请、工作交接清单、劳动关系终止协议等核心手续佐证未及时整理归档，人事档案存在合规漏洞；同时发现个别离职员工存在公积金漏缴情况，不符合人事管理相关规范要求。建议对所有离职人员手续回溯补全，按“一人一档”标准归集归档，同步完善社工站管理层职务任免等全链条人事材料。同时建议修订人事管理闭环流程，例如将档案归档、公积金缴存核验等设为离职办结前置环节，筑牢管理防线。</w:t>
      </w:r>
    </w:p>
    <w:p w14:paraId="74282EF9">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lang w:eastAsia="zh-CN"/>
        </w:rPr>
        <w:t>）队伍稳定性存在一定风险，评估周期内4名社工离职，1人调岗，虽然稳岗率达标，但人员更替较大，易出现服务断档、可能直接影响兜底性民生服务的连续性，运营管理中队伍稳定性存在风险，建议持续关注，例如建立月度社工谈心机制，提前识别离职倾向，及时介入疏导，减少人员流动，避免人员突发离岗影响服务的持续性。</w:t>
      </w:r>
    </w:p>
    <w:p w14:paraId="2E8FBC2F">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3" w:firstLineChars="200"/>
        <w:jc w:val="both"/>
        <w:textAlignment w:val="auto"/>
        <w:rPr>
          <w:rFonts w:ascii="仿宋_GB2312" w:eastAsia="仿宋_GB2312"/>
          <w:b/>
          <w:bCs/>
          <w:color w:val="auto"/>
          <w:sz w:val="32"/>
          <w:szCs w:val="32"/>
        </w:rPr>
      </w:pPr>
      <w:r>
        <w:rPr>
          <w:rFonts w:hint="eastAsia" w:ascii="仿宋_GB2312" w:eastAsia="仿宋_GB2312"/>
          <w:b/>
          <w:bCs/>
          <w:color w:val="auto"/>
          <w:sz w:val="32"/>
          <w:szCs w:val="32"/>
          <w:lang w:eastAsia="zh-CN"/>
        </w:rPr>
        <w:t>（四）</w:t>
      </w:r>
      <w:r>
        <w:rPr>
          <w:rFonts w:hint="eastAsia" w:ascii="仿宋_GB2312" w:eastAsia="仿宋_GB2312"/>
          <w:b/>
          <w:bCs/>
          <w:color w:val="auto"/>
          <w:sz w:val="32"/>
          <w:szCs w:val="32"/>
        </w:rPr>
        <w:t>服务成效和服务监测情况</w:t>
      </w:r>
    </w:p>
    <w:p w14:paraId="342510F9">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5F02B7F6">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bookmarkStart w:id="35" w:name="bookmark40"/>
      <w:bookmarkEnd w:id="35"/>
    </w:p>
    <w:p w14:paraId="0F423E9D">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1）服务整改有效度。社工站认真执行《服务持续改进机制》，对评估发现的问题及时形成整改方案，并设定30日期限，以报告的形式呈现，同步强化了服务督查的整改原则以保障成效。一是强化了党的组织建设规范性，并与社工党员组织关系所在党组织建立常态化沟通机制，建档党员社工教育、管理、监督及服务等资料；二是优化了项目顶层设计体系，进一步明确站、片、点三层服务逻辑与侧重；三是整合了各层面服务项目，梳理片层面非核心项目计划，进一步聚焦困难群众和特殊群体服务。</w:t>
      </w:r>
    </w:p>
    <w:p w14:paraId="62E234D3">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2）党建引领有力度。一是重视团队建设优化政治结构，目前有党员社工4名，占比超过23.5%，签订《普爱党员任务清单及承诺书》根据服务方向驻点社区开展专业服务，接受群众监督，发挥先锋引领作用；二是重阵地建设营造党建氛围，建立“党员学习园地”、开展“一月一党课”学习，撰写学习心得32篇，突出知行合一；三是重服务引领突出专业融合，立足“两社三中心”建设重心，以“党建+慈善”为切入口开展“党建连心桥”清单服务，链接价值超9万余元慰问物资，联动党组织开展16次服务，圆梦53个微心愿，惠及群众超3万人次，携手企业党组织开展“社区好伙伴”服务，编织社区爱心网络。与此同时，积极响应配合镇党组织开展社会救助、政策宣导、未成年人保护等工作，党建与专业的融合度高。</w:t>
      </w:r>
    </w:p>
    <w:p w14:paraId="0A3B1C2A">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3）兜底服务有温度。一是机制策略清晰。树立以“益心助困，聚善赋能”为核心，紧扣“1+3+N”策略体系，通过实施“益心守护”支持计划，运用“四大工作机制”，确保服务精准和高效；二是兜底覆盖全面，全面摸查困难群众和特殊群体底数及现状，并汇总完善《服务对象家庭信息汇总表》，落实辖区1125户1267人“一户一档、一人一案 ”全覆盖。入户探访3409人次，电访2087人次，落实分级、分类、动态服务；三是服务受益面高，开展专业个案服务32个，咨询个案38个，微心愿53个，联动了13个社区社会组织、20支志愿者队伍，培育了3支老年志愿者队伍持续开展困难群众和特殊群体服务了103场次，服务了2299人次，咨询解答问题575个，政策宣传18场，覆盖1880人次，确保困难群体及时获取政策支持，实现了“政策找人”目标，通过编印服务手册，体现服务温度。</w:t>
      </w:r>
    </w:p>
    <w:p w14:paraId="15D180C9">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hint="eastAsia" w:ascii="仿宋_GB2312" w:eastAsia="仿宋_GB2312"/>
          <w:bCs/>
          <w:color w:val="auto"/>
          <w:sz w:val="32"/>
          <w:szCs w:val="32"/>
          <w:lang w:val="en-US" w:eastAsia="zh-CN"/>
        </w:rPr>
      </w:pPr>
      <w:r>
        <w:rPr>
          <w:rFonts w:hint="eastAsia" w:ascii="仿宋_GB2312" w:eastAsia="仿宋_GB2312"/>
          <w:bCs/>
          <w:color w:val="auto"/>
          <w:sz w:val="32"/>
          <w:szCs w:val="32"/>
          <w:lang w:val="en-US" w:eastAsia="zh-CN"/>
        </w:rPr>
        <w:t>（4）项目推进有亮度。社工站项目结合辖区特点，充分发挥社会工作专业优势，持续打造围绕困难群众和特殊群体服务项目。其中，特色帮扶、基础民生、慈善创新项目多点开花。一是“社区微管家”居家安全项目深化多方协同服务，完成112名高风险对象排查，改造34户，服务覆盖2137人次，助力构建平安友善社区；二是“少年盾赋能成长”小青龙成长营项目，探索“心理+成长”双轨模式，四位一体，“未”爱护航，服务1155人次，运用“五社联动”提升自我保护，助力青少年心理建设；三是“非遗承光・文益共生”社工慈善创新项目，打造“社工+慈善”融合模式，链接15家爱心企业，20名青年传承人，帮助了93个困难家庭，旨在通过文旅创新，助力乡村振兴。服务评价方面，经问卷调查、电访等方式调查服务对象满意度共有128人参与，其中，117人满意度达95%以上，综合满意度较高。</w:t>
      </w:r>
    </w:p>
    <w:p w14:paraId="5878B615">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015E5116">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经评委评估分析访谈情况和查阅项目调研、服务方案等各类服务工作痕迹记录资料，项目执行和成效总体情况有以下方面</w:t>
      </w:r>
      <w:r>
        <w:rPr>
          <w:rFonts w:hint="eastAsia" w:ascii="仿宋_GB2312" w:eastAsia="仿宋_GB2312"/>
          <w:color w:val="auto"/>
          <w:sz w:val="32"/>
          <w:szCs w:val="32"/>
          <w:lang w:eastAsia="zh-CN"/>
        </w:rPr>
        <w:t>需要</w:t>
      </w:r>
      <w:r>
        <w:rPr>
          <w:rFonts w:hint="eastAsia" w:ascii="仿宋_GB2312" w:eastAsia="仿宋_GB2312"/>
          <w:color w:val="auto"/>
          <w:sz w:val="32"/>
          <w:szCs w:val="32"/>
        </w:rPr>
        <w:t>关注：</w:t>
      </w:r>
      <w:bookmarkStart w:id="36" w:name="bookmark44"/>
      <w:bookmarkEnd w:id="36"/>
      <w:bookmarkStart w:id="37" w:name="bookmark43"/>
      <w:bookmarkEnd w:id="37"/>
      <w:bookmarkStart w:id="38" w:name="bookmark45"/>
      <w:bookmarkEnd w:id="38"/>
    </w:p>
    <w:p w14:paraId="0304F365">
      <w:pPr>
        <w:pStyle w:val="12"/>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1）组织建设需加强。组织覆盖和党员管理依然是制约党建引领服务的瓶颈问题。解决途径有两个，一是目前社工站已经有4名党员社工且分属3个不同党支部，党员人数已经达到建立项目党支部的基本要求，建议加快推进党组织建设步伐，完成党的组织全覆盖要求；二是要进一步完善体现严格按《中国共产党章程》要求对社工党员进行教育、管理、监督和服务的相关文书证明资料，建议补充岑玉霖同志组织关系所在支部补充提供社工党员在思想状态、组织生活、党费缴纳、党员评议等方面的现实表现，通过建档留存，特别要关注组织关系与工作分离的党员社工管理问题。</w:t>
      </w:r>
    </w:p>
    <w:p w14:paraId="419EA7C3">
      <w:pPr>
        <w:pStyle w:val="12"/>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项目打造宜优化。一是当前社工站项目在框架搭建和服务设计中，不能够将“益心助困，聚善赋能”的服务主题与各层面服务项目做有效融入，特别要强化其维度解读与项目打造之间的逻辑关系；二是项目层面略有错位，除了“党建连心桥”之外的“社区微管家”“少年盾赋能成长”和“非遗承光・文益共生”项目，均为在站层面考量的总体成效，建议从片层面上移至站统筹；三是项目化服务占据了成效的主体，会相对弱化“益心守护”兜底性民生服务成效呈现，建议进一步细化“建档及动态管理”“分级分类服务”和“专业个案介入”服务的做法，探索思考创新机制和模式。加强完善广州社工“红棉守护”热线后台服务记录。</w:t>
      </w:r>
    </w:p>
    <w:p w14:paraId="40FB3BD6">
      <w:pPr>
        <w:pStyle w:val="12"/>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3）发展性建议：资源转化待出彩。社工站项目评估周期通过社区慈善基金等自主链接社会资金为9.75万元，自主链接社会物资资源折合价值14.17万元，两项指标均不达标。其中，物资资源完成度仅为35.4%，缺口较大，辖区资源转化率有较大提升空间。建议从供需匹配精准度、联动机制运行、资源链接活动周期、专业策划与资源维护、内生资源平台价值充分释放等原因做分析，思考化龙花卉农业特色和产业布局情况，充分利用在地资源，拓宽慈善创新项目的维度，将文旅、绿植、产业结合起来打造创新服务项目，强化项目的经济效益和可持续性，进一步盘活辖区社会慈善资源，落实清单化摸排、项目化对接、常态化维护、平台化承载，从“零散找资源”转向“系统化运营公益生态”，充分发挥社创综合体、社区慈善基金、校社合作、本土企业乡贤优势，提升资源链接持续性、精准度与实际转化成效。</w:t>
      </w:r>
    </w:p>
    <w:p w14:paraId="4DC7DC40">
      <w:pPr>
        <w:pStyle w:val="12"/>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eastAsia="仿宋_GB2312"/>
          <w:b/>
          <w:bCs/>
          <w:color w:val="auto"/>
          <w:sz w:val="32"/>
          <w:szCs w:val="32"/>
        </w:rPr>
      </w:pPr>
      <w:r>
        <w:rPr>
          <w:rFonts w:hint="eastAsia" w:ascii="仿宋_GB2312" w:eastAsia="仿宋_GB2312"/>
          <w:b/>
          <w:bCs/>
          <w:color w:val="auto"/>
          <w:sz w:val="32"/>
          <w:szCs w:val="32"/>
          <w:lang w:eastAsia="zh-CN"/>
        </w:rPr>
        <w:t>（五）</w:t>
      </w:r>
      <w:r>
        <w:rPr>
          <w:rFonts w:hint="eastAsia" w:ascii="仿宋_GB2312" w:eastAsia="仿宋_GB2312"/>
          <w:b/>
          <w:bCs/>
          <w:color w:val="auto"/>
          <w:sz w:val="32"/>
          <w:szCs w:val="32"/>
        </w:rPr>
        <w:t>服务质量情况</w:t>
      </w:r>
    </w:p>
    <w:p w14:paraId="67BC8FB3">
      <w:pPr>
        <w:pStyle w:val="12"/>
        <w:pageBreakBefore w:val="0"/>
        <w:widowControl w:val="0"/>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第一片区：莘汀村、柏堂村、沙亭村、复甦村、草堂村</w:t>
      </w:r>
    </w:p>
    <w:p w14:paraId="17116A99">
      <w:pPr>
        <w:pStyle w:val="12"/>
        <w:pageBreakBefore w:val="0"/>
        <w:widowControl w:val="0"/>
        <w:kinsoku/>
        <w:wordWrap/>
        <w:overflowPunct/>
        <w:topLinePunct w:val="0"/>
        <w:autoSpaceDE/>
        <w:autoSpaceDN/>
        <w:bidi w:val="0"/>
        <w:adjustRightInd/>
        <w:snapToGrid/>
        <w:spacing w:after="80" w:line="540" w:lineRule="exact"/>
        <w:ind w:firstLine="6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1.值得肯定的地方</w:t>
      </w:r>
    </w:p>
    <w:p w14:paraId="758E1E5F">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经评委评估分析访谈情况和查阅项目调研、服务方案等各类服务工作痕迹记录资料，项目执行和成效总体情况有以下几方面值得肯定：</w:t>
      </w:r>
    </w:p>
    <w:p w14:paraId="1FB53BBC">
      <w:pPr>
        <w:pStyle w:val="12"/>
        <w:pageBreakBefore w:val="0"/>
        <w:widowControl w:val="0"/>
        <w:kinsoku/>
        <w:wordWrap/>
        <w:overflowPunct/>
        <w:topLinePunct w:val="0"/>
        <w:autoSpaceDE/>
        <w:autoSpaceDN/>
        <w:bidi w:val="0"/>
        <w:adjustRightInd/>
        <w:snapToGrid/>
        <w:spacing w:after="80" w:line="540" w:lineRule="exact"/>
        <w:ind w:firstLine="640" w:firstLineChars="200"/>
        <w:jc w:val="both"/>
        <w:textAlignment w:val="auto"/>
        <w:rPr>
          <w:rFonts w:hint="eastAsia" w:ascii="仿宋_GB2312" w:eastAsia="仿宋_GB2312"/>
          <w:color w:val="auto"/>
          <w:sz w:val="32"/>
          <w:szCs w:val="32"/>
          <w:lang w:eastAsia="zh-CN"/>
        </w:rPr>
      </w:pPr>
      <w:bookmarkStart w:id="39" w:name="bookmark47"/>
      <w:bookmarkEnd w:id="39"/>
      <w:bookmarkStart w:id="40" w:name="bookmark46"/>
      <w:bookmarkEnd w:id="40"/>
      <w:bookmarkStart w:id="41" w:name="bookmark48"/>
      <w:bookmarkEnd w:id="41"/>
      <w:r>
        <w:rPr>
          <w:rFonts w:hint="eastAsia" w:ascii="仿宋_GB2312" w:eastAsia="仿宋_GB2312"/>
          <w:color w:val="auto"/>
          <w:sz w:val="32"/>
          <w:szCs w:val="32"/>
          <w:lang w:eastAsia="zh-CN"/>
        </w:rPr>
        <w:t>（1）第一片区重视困难群众和特殊群体的建档及服务。截至7月31日，社工已全面覆盖第一片区的困难群众及特殊群体共计395人（其中离世15人，退档4人），现动态跟进376人，实现100%的档案建立。截至2026年7月，第一片区社工为困难群众和特殊群体提供探访1101人次，电访（红棉热线）835人次。通过大量的电访和探访，有效地落实民政社会工作服务。</w:t>
      </w:r>
    </w:p>
    <w:p w14:paraId="1AB76B2D">
      <w:pPr>
        <w:pStyle w:val="12"/>
        <w:pageBreakBefore w:val="0"/>
        <w:widowControl w:val="0"/>
        <w:kinsoku/>
        <w:wordWrap/>
        <w:overflowPunct/>
        <w:topLinePunct w:val="0"/>
        <w:autoSpaceDE/>
        <w:autoSpaceDN/>
        <w:bidi w:val="0"/>
        <w:adjustRightInd/>
        <w:snapToGrid/>
        <w:spacing w:after="80"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2）第一片区服务执行与产出情况良好，服务社会影响力进一步提升。整体服务计划落实执行情况良好，各项服务指标完成进度合理，部分服务指标还超额完成。本年度第一片区社工服务中，获得媒体报道17篇，包括市级9篇，区级5篇，街级3篇；此外还收到沙亭村村委感谢信1封，困难群众和特殊群体感谢视频1个和感谢信2封。服务的社会影响力和社会美誉度进一步提升。</w:t>
      </w:r>
    </w:p>
    <w:p w14:paraId="6EF7A846">
      <w:pPr>
        <w:pStyle w:val="12"/>
        <w:pageBreakBefore w:val="0"/>
        <w:widowControl w:val="0"/>
        <w:kinsoku/>
        <w:wordWrap/>
        <w:overflowPunct/>
        <w:topLinePunct w:val="0"/>
        <w:autoSpaceDE/>
        <w:autoSpaceDN/>
        <w:bidi w:val="0"/>
        <w:adjustRightInd/>
        <w:snapToGrid/>
        <w:spacing w:after="80"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3）第一片区积极协助政策落实工作，政策落实成效较好。社工联动直聘社工到社区以及有针对性地入户困难群众和特殊群体，进行政策宣传，累计开展6次政策宣传活动，服务771人次。本评估周期社工协助4名困难学生成功申请助学金，合计9200元；协助7人办理低保申请，其中2人已通过审核，获得定期生活救助；协同直聘社工为165名残疾人完成两项补贴的再次申领认证；通过为老服务政策宣传，共收到160名长者提交的长者饭堂配餐服务申请。政策落实工作扎实有效。</w:t>
      </w:r>
    </w:p>
    <w:p w14:paraId="69CBBDDD">
      <w:pPr>
        <w:pStyle w:val="12"/>
        <w:pageBreakBefore w:val="0"/>
        <w:widowControl w:val="0"/>
        <w:kinsoku/>
        <w:wordWrap/>
        <w:overflowPunct/>
        <w:topLinePunct w:val="0"/>
        <w:autoSpaceDE/>
        <w:autoSpaceDN/>
        <w:bidi w:val="0"/>
        <w:adjustRightInd/>
        <w:snapToGrid/>
        <w:spacing w:after="80" w:line="54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4）第一片区重视困难群众和特殊群体的个案服务，疑难案例产出较好。本周期本年度共开展11个个案，服务内容涵盖居家环境改善、居家安全意识提升、药物管理优化、家庭支持增强、职业规划指导、家庭纠纷调解及情绪疏导等多维领域；开展咨询个案服务6人、11节次，为服务对象提供政策解答、求职指引、就医咨询及网络信号问题答疑等即时性支持。同时社工从跟进的个案服务中，归纳总结出4个疑难案例，社工对深度个案服务的归纳总结能力有所提升。</w:t>
      </w:r>
    </w:p>
    <w:p w14:paraId="0FCEB71D">
      <w:pPr>
        <w:pStyle w:val="12"/>
        <w:pageBreakBefore w:val="0"/>
        <w:widowControl w:val="0"/>
        <w:kinsoku/>
        <w:wordWrap/>
        <w:overflowPunct/>
        <w:topLinePunct w:val="0"/>
        <w:autoSpaceDE/>
        <w:autoSpaceDN/>
        <w:bidi w:val="0"/>
        <w:adjustRightInd/>
        <w:snapToGrid/>
        <w:spacing w:after="80" w:line="540" w:lineRule="exact"/>
        <w:ind w:firstLine="643" w:firstLineChars="200"/>
        <w:jc w:val="both"/>
        <w:textAlignment w:val="auto"/>
        <w:rPr>
          <w:rFonts w:ascii="仿宋_GB2312" w:hAnsi="Times New Roman" w:eastAsia="仿宋_GB2312" w:cs="Times New Roman"/>
          <w:b/>
          <w:bCs/>
          <w:color w:val="auto"/>
          <w:sz w:val="32"/>
          <w:szCs w:val="32"/>
        </w:rPr>
      </w:pPr>
      <w:r>
        <w:rPr>
          <w:rFonts w:hint="eastAsia" w:ascii="仿宋_GB2312" w:hAnsi="Times New Roman" w:eastAsia="仿宋_GB2312" w:cs="Times New Roman"/>
          <w:b/>
          <w:bCs/>
          <w:color w:val="auto"/>
          <w:sz w:val="32"/>
          <w:szCs w:val="32"/>
        </w:rPr>
        <w:t>2.需要关注的地方</w:t>
      </w:r>
    </w:p>
    <w:p w14:paraId="2A2E8926">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经评委评估分析访谈情况和查阅项目调研、服务方案等各类服务工作痕迹记录资料，项目执行和成效总体情况有以下几方面</w:t>
      </w:r>
      <w:r>
        <w:rPr>
          <w:rFonts w:hint="eastAsia" w:ascii="仿宋_GB2312" w:eastAsia="仿宋_GB2312"/>
          <w:color w:val="auto"/>
          <w:sz w:val="32"/>
          <w:szCs w:val="32"/>
          <w:lang w:eastAsia="zh-CN"/>
        </w:rPr>
        <w:t>需要</w:t>
      </w:r>
      <w:r>
        <w:rPr>
          <w:rFonts w:hint="eastAsia" w:ascii="仿宋_GB2312" w:eastAsia="仿宋_GB2312"/>
          <w:color w:val="auto"/>
          <w:sz w:val="32"/>
          <w:szCs w:val="32"/>
        </w:rPr>
        <w:t>关注：</w:t>
      </w:r>
    </w:p>
    <w:p w14:paraId="393733E4">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1）社工对困难群众和特殊群体的建档及跟进工作需进一步精准。查阅系统的相关资料，发现个别困难群众和特殊群体部分资料没有及时提交审核，部分资料没有填写，服务对象等级评估结论发生较大的变化时依据不充分，部分咨询个案中缺失了结案登记表和回访记录表等，建议要注意进一步精准落实兜底民生服务。</w:t>
      </w:r>
    </w:p>
    <w:p w14:paraId="5F8CEE85">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2）建议社工进一步提升专业服务能力，做好日常探电访服务与精准服务、深度服务的有效衔接。对困难群众和特殊群体的服务日常探访、电访服务是基础，但是当社工发现他们有特殊困难和问题时，要注意及时通过精准的、深度性的服务回应他们的需求，以便真正落实兜住底兜牢底的目标。</w:t>
      </w:r>
    </w:p>
    <w:p w14:paraId="75B1683D">
      <w:pPr>
        <w:pStyle w:val="12"/>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第二</w:t>
      </w:r>
      <w:r>
        <w:rPr>
          <w:rFonts w:hint="eastAsia" w:ascii="仿宋_GB2312" w:eastAsia="仿宋_GB2312"/>
          <w:b/>
          <w:bCs/>
          <w:color w:val="auto"/>
          <w:sz w:val="32"/>
          <w:szCs w:val="32"/>
          <w:highlight w:val="none"/>
          <w:lang w:eastAsia="zh-CN"/>
        </w:rPr>
        <w:t>片区：</w:t>
      </w:r>
      <w:r>
        <w:rPr>
          <w:rFonts w:hint="eastAsia" w:ascii="仿宋_GB2312" w:eastAsia="仿宋_GB2312"/>
          <w:b/>
          <w:bCs/>
          <w:color w:val="auto"/>
          <w:sz w:val="32"/>
          <w:szCs w:val="32"/>
          <w:highlight w:val="none"/>
          <w:lang w:val="en-US" w:eastAsia="zh-CN"/>
        </w:rPr>
        <w:t>东南村、水门村、塘头村、化龙社区、盛龙社区</w:t>
      </w:r>
    </w:p>
    <w:p w14:paraId="1D3236C5">
      <w:pPr>
        <w:pStyle w:val="12"/>
        <w:pageBreakBefore w:val="0"/>
        <w:widowControl w:val="0"/>
        <w:numPr>
          <w:ilvl w:val="0"/>
          <w:numId w:val="4"/>
        </w:numPr>
        <w:tabs>
          <w:tab w:val="left" w:pos="972"/>
        </w:tabs>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bookmarkStart w:id="42" w:name="bookmark57"/>
      <w:bookmarkEnd w:id="42"/>
      <w:r>
        <w:rPr>
          <w:rFonts w:hint="eastAsia" w:ascii="仿宋_GB2312" w:eastAsia="仿宋_GB2312"/>
          <w:b/>
          <w:bCs/>
          <w:color w:val="auto"/>
          <w:sz w:val="32"/>
          <w:szCs w:val="32"/>
        </w:rPr>
        <w:t>值得肯定的地方</w:t>
      </w:r>
    </w:p>
    <w:p w14:paraId="6A62E98B">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bookmarkStart w:id="43" w:name="bookmark58"/>
      <w:bookmarkEnd w:id="43"/>
      <w:bookmarkStart w:id="44" w:name="bookmark59"/>
      <w:bookmarkEnd w:id="44"/>
    </w:p>
    <w:p w14:paraId="0592918B">
      <w:pPr>
        <w:pStyle w:val="12"/>
        <w:pageBreakBefore w:val="0"/>
        <w:widowControl w:val="0"/>
        <w:numPr>
          <w:ilvl w:val="0"/>
          <w:numId w:val="0"/>
        </w:numPr>
        <w:tabs>
          <w:tab w:val="left" w:pos="986"/>
        </w:tabs>
        <w:kinsoku/>
        <w:wordWrap/>
        <w:overflowPunct/>
        <w:topLinePunct w:val="0"/>
        <w:autoSpaceDE/>
        <w:autoSpaceDN/>
        <w:bidi w:val="0"/>
        <w:adjustRightInd/>
        <w:snapToGrid/>
        <w:spacing w:after="0" w:line="540" w:lineRule="exact"/>
        <w:ind w:firstLine="640" w:firstLineChars="200"/>
        <w:jc w:val="both"/>
        <w:textAlignment w:val="auto"/>
        <w:rPr>
          <w:rFonts w:hint="default" w:ascii="仿宋_GB2312" w:eastAsia="仿宋_GB2312"/>
          <w:color w:val="auto"/>
          <w:sz w:val="32"/>
          <w:szCs w:val="32"/>
          <w:lang w:val="en-US" w:eastAsia="zh-CN"/>
        </w:rPr>
      </w:pPr>
      <w:bookmarkStart w:id="45" w:name="bookmark60"/>
      <w:bookmarkEnd w:id="45"/>
      <w:r>
        <w:rPr>
          <w:rFonts w:hint="eastAsia" w:ascii="仿宋_GB2312" w:eastAsia="仿宋_GB2312"/>
          <w:color w:val="auto"/>
          <w:sz w:val="32"/>
          <w:szCs w:val="32"/>
          <w:lang w:val="en-US" w:eastAsia="zh-CN"/>
        </w:rPr>
        <w:t>（1）第二片区能够依据中期评估意见和建议做好整改工作。</w:t>
      </w:r>
    </w:p>
    <w:p w14:paraId="660A07B1">
      <w:pPr>
        <w:pStyle w:val="12"/>
        <w:pageBreakBefore w:val="0"/>
        <w:widowControl w:val="0"/>
        <w:numPr>
          <w:ilvl w:val="0"/>
          <w:numId w:val="0"/>
        </w:numPr>
        <w:tabs>
          <w:tab w:val="left" w:pos="986"/>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第二片区在服务规范执行到位；政策落实到服务中，为困难群众和特殊群体提供养老、社会救助、未成年人保护、残疾人福利等政策宣传6次，并联合事务岗社工和直聘社工开展社会救助服务，双工联动沟通达120次；指标完成产出较好（本年度累计探访1220人次、电访498人次，开展咨询个案5个，专业个案10个，开展小组5个，共30节，服务286人次）。</w:t>
      </w:r>
    </w:p>
    <w:p w14:paraId="74F5FDB0">
      <w:pPr>
        <w:pStyle w:val="12"/>
        <w:pageBreakBefore w:val="0"/>
        <w:widowControl w:val="0"/>
        <w:numPr>
          <w:ilvl w:val="0"/>
          <w:numId w:val="0"/>
        </w:numPr>
        <w:tabs>
          <w:tab w:val="left" w:pos="986"/>
        </w:tabs>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第二片区在链接资源方面能够链接辖区内资源用于困难群体的帮扶工作上，累计服务276人次，惠及低保、孤寡长者、困境儿童等群体，送出月饼、米、油、面、牛奶等物资，折合15350余元。链接社会慈善资源，为困难群众和特殊群体提供物资支持，圆梦微心愿19个，一定程度上满足其生活物资的需求或进行居家微改造，折合2664.4元。</w:t>
      </w:r>
    </w:p>
    <w:p w14:paraId="513494DC">
      <w:pPr>
        <w:pStyle w:val="12"/>
        <w:pageBreakBefore w:val="0"/>
        <w:widowControl w:val="0"/>
        <w:numPr>
          <w:ilvl w:val="0"/>
          <w:numId w:val="0"/>
        </w:numPr>
        <w:tabs>
          <w:tab w:val="left" w:pos="986"/>
        </w:tabs>
        <w:kinsoku/>
        <w:wordWrap/>
        <w:overflowPunct/>
        <w:topLinePunct w:val="0"/>
        <w:autoSpaceDE/>
        <w:autoSpaceDN/>
        <w:bidi w:val="0"/>
        <w:adjustRightInd/>
        <w:snapToGrid/>
        <w:spacing w:after="0" w:line="540" w:lineRule="exact"/>
        <w:ind w:firstLine="643" w:firstLineChars="200"/>
        <w:jc w:val="both"/>
        <w:textAlignment w:val="auto"/>
        <w:rPr>
          <w:rFonts w:ascii="仿宋_GB2312" w:eastAsia="仿宋_GB2312"/>
          <w:color w:val="auto"/>
          <w:sz w:val="32"/>
          <w:szCs w:val="32"/>
        </w:rPr>
      </w:pPr>
      <w:r>
        <w:rPr>
          <w:rFonts w:hint="eastAsia" w:ascii="仿宋_GB2312" w:eastAsia="仿宋_GB2312"/>
          <w:b/>
          <w:bCs/>
          <w:color w:val="auto"/>
          <w:sz w:val="32"/>
          <w:szCs w:val="32"/>
          <w:lang w:val="en-US" w:eastAsia="zh-CN"/>
        </w:rPr>
        <w:t>2.</w:t>
      </w:r>
      <w:r>
        <w:rPr>
          <w:rFonts w:hint="eastAsia" w:ascii="仿宋_GB2312" w:eastAsia="仿宋_GB2312"/>
          <w:b/>
          <w:bCs/>
          <w:color w:val="auto"/>
          <w:sz w:val="32"/>
          <w:szCs w:val="32"/>
        </w:rPr>
        <w:t>需要关注的地方</w:t>
      </w:r>
    </w:p>
    <w:p w14:paraId="6C9D781A">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hint="eastAsia"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等各类服务工作痕迹记录资料，该项目以下方面需关注：</w:t>
      </w:r>
    </w:p>
    <w:p w14:paraId="295F4C00">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eastAsia="仿宋_GB2312"/>
          <w:color w:val="auto"/>
          <w:sz w:val="32"/>
          <w:szCs w:val="32"/>
          <w:lang w:val="en-US" w:eastAsia="zh-CN"/>
        </w:rPr>
      </w:pPr>
      <w:bookmarkStart w:id="46" w:name="bookmark61"/>
      <w:bookmarkEnd w:id="46"/>
      <w:bookmarkStart w:id="47" w:name="bookmark62"/>
      <w:bookmarkEnd w:id="47"/>
      <w:r>
        <w:rPr>
          <w:rFonts w:hint="eastAsia" w:ascii="仿宋_GB2312" w:eastAsia="仿宋_GB2312"/>
          <w:color w:val="auto"/>
          <w:sz w:val="32"/>
          <w:szCs w:val="32"/>
          <w:lang w:val="en-US" w:eastAsia="zh-CN"/>
        </w:rPr>
        <w:t>（1）第二片区社工对服务对象的动态评估工作在动态方面还有待增强意识，如很多服务对象未在服务周期开展动态评估，需要依据服务对象的动态需求来开展评估工作，建议在周期内至少开展一次动态评估，如服务对象开展个案服务，也需要进行动态评估。</w:t>
      </w:r>
    </w:p>
    <w:p w14:paraId="4479B29A">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第二片区社工的专业能力有待进一步提升，首先在文书中较少体现社工的专业角色和作用，如在开展专业服务探访、小组和个案服务中，社工作为什么角色和发挥了什么专业作用，撰写的服务内容与服务类型的匹配度也不足，如在服务类型为情绪支持，但在记录上没有关于这一部分的描述，社工在发现服务对象需求方面也还有待提升，建议社工在文书中增加体现社工专业角色和作用的专业描述，以及做好服务内容与服务类型的互相呼应和匹配工作和加强专业督导和培训，提升在日常服务中深挖需求的专业能力。</w:t>
      </w:r>
    </w:p>
    <w:p w14:paraId="52E16ED4">
      <w:pPr>
        <w:pStyle w:val="12"/>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第三</w:t>
      </w:r>
      <w:r>
        <w:rPr>
          <w:rFonts w:hint="eastAsia" w:ascii="仿宋_GB2312" w:eastAsia="仿宋_GB2312"/>
          <w:b/>
          <w:bCs/>
          <w:color w:val="auto"/>
          <w:sz w:val="32"/>
          <w:szCs w:val="32"/>
          <w:lang w:eastAsia="zh-CN"/>
        </w:rPr>
        <w:t>片区：</w:t>
      </w:r>
      <w:r>
        <w:rPr>
          <w:rFonts w:hint="eastAsia" w:ascii="仿宋_GB2312" w:eastAsia="仿宋_GB2312"/>
          <w:b/>
          <w:bCs/>
          <w:color w:val="auto"/>
          <w:sz w:val="32"/>
          <w:szCs w:val="32"/>
          <w:lang w:val="en-US" w:eastAsia="zh-CN"/>
        </w:rPr>
        <w:t>明经村、潭山村、西山村、山门村、眉山村</w:t>
      </w:r>
    </w:p>
    <w:p w14:paraId="2D7078A4">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1</w:t>
      </w:r>
      <w:r>
        <w:rPr>
          <w:rFonts w:hint="eastAsia" w:ascii="仿宋_GB2312" w:eastAsia="仿宋_GB2312"/>
          <w:b/>
          <w:bCs/>
          <w:color w:val="auto"/>
          <w:sz w:val="32"/>
          <w:szCs w:val="32"/>
        </w:rPr>
        <w:t>.值得肯定的地方</w:t>
      </w:r>
    </w:p>
    <w:p w14:paraId="198BC4E8">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w:t>
      </w:r>
      <w:r>
        <w:rPr>
          <w:rFonts w:hint="eastAsia" w:ascii="仿宋_GB2312" w:eastAsia="仿宋_GB2312"/>
          <w:color w:val="auto"/>
          <w:sz w:val="32"/>
          <w:szCs w:val="32"/>
          <w:lang w:eastAsia="zh-CN"/>
        </w:rPr>
        <w:t>目在</w:t>
      </w:r>
      <w:r>
        <w:rPr>
          <w:rFonts w:hint="eastAsia" w:ascii="仿宋_GB2312" w:eastAsia="仿宋_GB2312"/>
          <w:color w:val="auto"/>
          <w:sz w:val="32"/>
          <w:szCs w:val="32"/>
        </w:rPr>
        <w:t>以下几方面值得肯定：</w:t>
      </w:r>
    </w:p>
    <w:p w14:paraId="48F4385B">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hint="eastAsia" w:ascii="仿宋_GB2312" w:hAnsi="Times New Roman" w:eastAsia="仿宋_GB2312" w:cs="Times New Roman"/>
          <w:b w:val="0"/>
          <w:bCs w:val="0"/>
          <w:color w:val="auto"/>
          <w:sz w:val="32"/>
          <w:szCs w:val="32"/>
        </w:rPr>
      </w:pPr>
      <w:bookmarkStart w:id="48" w:name="bookmark65"/>
      <w:bookmarkEnd w:id="48"/>
      <w:bookmarkStart w:id="49" w:name="bookmark63"/>
      <w:bookmarkEnd w:id="49"/>
      <w:bookmarkStart w:id="50" w:name="bookmark64"/>
      <w:bookmarkEnd w:id="50"/>
      <w:bookmarkStart w:id="51" w:name="bookmark66"/>
      <w:bookmarkEnd w:id="51"/>
      <w:r>
        <w:rPr>
          <w:rFonts w:hint="eastAsia" w:ascii="仿宋_GB2312" w:hAnsi="Times New Roman" w:eastAsia="仿宋_GB2312" w:cs="Times New Roman"/>
          <w:b w:val="0"/>
          <w:bCs w:val="0"/>
          <w:color w:val="auto"/>
          <w:sz w:val="32"/>
          <w:szCs w:val="32"/>
          <w:lang w:eastAsia="zh-CN"/>
        </w:rPr>
        <w:t>（</w:t>
      </w:r>
      <w:r>
        <w:rPr>
          <w:rFonts w:hint="eastAsia" w:ascii="仿宋_GB2312" w:hAnsi="Times New Roman" w:eastAsia="仿宋_GB2312" w:cs="Times New Roman"/>
          <w:b w:val="0"/>
          <w:bCs w:val="0"/>
          <w:color w:val="auto"/>
          <w:sz w:val="32"/>
          <w:szCs w:val="32"/>
          <w:lang w:val="en-US" w:eastAsia="zh-CN"/>
        </w:rPr>
        <w:t>1）</w:t>
      </w:r>
      <w:r>
        <w:rPr>
          <w:rFonts w:hint="eastAsia" w:ascii="仿宋_GB2312" w:hAnsi="Times New Roman" w:eastAsia="仿宋_GB2312" w:cs="Times New Roman"/>
          <w:b w:val="0"/>
          <w:bCs w:val="0"/>
          <w:color w:val="auto"/>
          <w:sz w:val="32"/>
          <w:szCs w:val="32"/>
          <w:lang w:eastAsia="zh-CN"/>
        </w:rPr>
        <w:t>第三</w:t>
      </w:r>
      <w:r>
        <w:rPr>
          <w:rFonts w:hint="eastAsia" w:ascii="仿宋_GB2312" w:hAnsi="Times New Roman" w:eastAsia="仿宋_GB2312" w:cs="Times New Roman"/>
          <w:b w:val="0"/>
          <w:bCs w:val="0"/>
          <w:color w:val="auto"/>
          <w:sz w:val="32"/>
          <w:szCs w:val="32"/>
        </w:rPr>
        <w:t>片区社工能够依据中期评估意见做好相关的整改工作；</w:t>
      </w:r>
    </w:p>
    <w:p w14:paraId="7E701461">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hint="eastAsia" w:ascii="仿宋_GB2312" w:hAnsi="Times New Roman" w:eastAsia="仿宋_GB2312" w:cs="Times New Roman"/>
          <w:b w:val="0"/>
          <w:bCs w:val="0"/>
          <w:color w:val="auto"/>
          <w:sz w:val="32"/>
          <w:szCs w:val="32"/>
        </w:rPr>
      </w:pPr>
      <w:r>
        <w:rPr>
          <w:rFonts w:hint="eastAsia" w:ascii="仿宋_GB2312" w:hAnsi="Times New Roman" w:eastAsia="仿宋_GB2312" w:cs="Times New Roman"/>
          <w:b w:val="0"/>
          <w:bCs w:val="0"/>
          <w:color w:val="auto"/>
          <w:sz w:val="32"/>
          <w:szCs w:val="32"/>
          <w:lang w:eastAsia="zh-CN"/>
        </w:rPr>
        <w:t>（</w:t>
      </w:r>
      <w:r>
        <w:rPr>
          <w:rFonts w:hint="eastAsia" w:ascii="仿宋_GB2312" w:hAnsi="Times New Roman" w:eastAsia="仿宋_GB2312" w:cs="Times New Roman"/>
          <w:b w:val="0"/>
          <w:bCs w:val="0"/>
          <w:color w:val="auto"/>
          <w:sz w:val="32"/>
          <w:szCs w:val="32"/>
          <w:lang w:val="en-US" w:eastAsia="zh-CN"/>
        </w:rPr>
        <w:t>2</w:t>
      </w:r>
      <w:r>
        <w:rPr>
          <w:rFonts w:hint="eastAsia" w:ascii="仿宋_GB2312" w:hAnsi="Times New Roman" w:eastAsia="仿宋_GB2312" w:cs="Times New Roman"/>
          <w:b w:val="0"/>
          <w:bCs w:val="0"/>
          <w:color w:val="auto"/>
          <w:sz w:val="32"/>
          <w:szCs w:val="32"/>
          <w:lang w:eastAsia="zh-CN"/>
        </w:rPr>
        <w:t>）第三</w:t>
      </w:r>
      <w:r>
        <w:rPr>
          <w:rFonts w:hint="eastAsia" w:ascii="仿宋_GB2312" w:hAnsi="Times New Roman" w:eastAsia="仿宋_GB2312" w:cs="Times New Roman"/>
          <w:b w:val="0"/>
          <w:bCs w:val="0"/>
          <w:color w:val="auto"/>
          <w:sz w:val="32"/>
          <w:szCs w:val="32"/>
        </w:rPr>
        <w:t>片区社工能依据服务规范开展专业服务，为片区</w:t>
      </w:r>
      <w:r>
        <w:rPr>
          <w:rFonts w:hint="eastAsia" w:ascii="仿宋_GB2312" w:hAnsi="Times New Roman" w:eastAsia="仿宋_GB2312" w:cs="Times New Roman"/>
          <w:b w:val="0"/>
          <w:bCs w:val="0"/>
          <w:color w:val="auto"/>
          <w:sz w:val="32"/>
          <w:szCs w:val="32"/>
          <w:lang w:eastAsia="zh-CN"/>
        </w:rPr>
        <w:t>困难群众和特殊群体410人（死亡及退档共21人），现动态服务人数为389人，</w:t>
      </w:r>
      <w:r>
        <w:rPr>
          <w:rFonts w:hint="eastAsia" w:ascii="仿宋_GB2312" w:hAnsi="Times New Roman" w:eastAsia="仿宋_GB2312" w:cs="Times New Roman"/>
          <w:b w:val="0"/>
          <w:bCs w:val="0"/>
          <w:color w:val="auto"/>
          <w:sz w:val="32"/>
          <w:szCs w:val="32"/>
        </w:rPr>
        <w:t>100%建档做到全覆盖</w:t>
      </w:r>
      <w:r>
        <w:rPr>
          <w:rFonts w:hint="eastAsia" w:ascii="仿宋_GB2312" w:hAnsi="Times New Roman" w:eastAsia="仿宋_GB2312" w:cs="Times New Roman"/>
          <w:b w:val="0"/>
          <w:bCs w:val="0"/>
          <w:color w:val="auto"/>
          <w:sz w:val="32"/>
          <w:szCs w:val="32"/>
          <w:lang w:eastAsia="zh-CN"/>
        </w:rPr>
        <w:t>，</w:t>
      </w:r>
      <w:r>
        <w:rPr>
          <w:rFonts w:hint="eastAsia" w:ascii="仿宋_GB2312" w:hAnsi="Times New Roman" w:eastAsia="仿宋_GB2312" w:cs="Times New Roman"/>
          <w:b w:val="0"/>
          <w:bCs w:val="0"/>
          <w:color w:val="auto"/>
          <w:sz w:val="32"/>
          <w:szCs w:val="32"/>
        </w:rPr>
        <w:t>采用多种方式摸查社区问题，做好该片区的需求分析工作，制定片区服务计划并按计划推进和实施，取得了一定的服务成效；</w:t>
      </w:r>
    </w:p>
    <w:p w14:paraId="3357686A">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hint="eastAsia" w:ascii="仿宋_GB2312" w:hAnsi="Times New Roman" w:eastAsia="仿宋_GB2312" w:cs="Times New Roman"/>
          <w:b w:val="0"/>
          <w:bCs w:val="0"/>
          <w:color w:val="auto"/>
          <w:sz w:val="32"/>
          <w:szCs w:val="32"/>
        </w:rPr>
      </w:pPr>
      <w:r>
        <w:rPr>
          <w:rFonts w:hint="eastAsia" w:ascii="仿宋_GB2312" w:hAnsi="Times New Roman" w:eastAsia="仿宋_GB2312" w:cs="Times New Roman"/>
          <w:b w:val="0"/>
          <w:bCs w:val="0"/>
          <w:color w:val="auto"/>
          <w:sz w:val="32"/>
          <w:szCs w:val="32"/>
          <w:lang w:eastAsia="zh-CN"/>
        </w:rPr>
        <w:t>（</w:t>
      </w:r>
      <w:r>
        <w:rPr>
          <w:rFonts w:hint="eastAsia" w:ascii="仿宋_GB2312" w:hAnsi="Times New Roman" w:eastAsia="仿宋_GB2312" w:cs="Times New Roman"/>
          <w:b w:val="0"/>
          <w:bCs w:val="0"/>
          <w:color w:val="auto"/>
          <w:sz w:val="32"/>
          <w:szCs w:val="32"/>
          <w:lang w:val="en-US" w:eastAsia="zh-CN"/>
        </w:rPr>
        <w:t>3</w:t>
      </w:r>
      <w:r>
        <w:rPr>
          <w:rFonts w:hint="eastAsia" w:ascii="仿宋_GB2312" w:hAnsi="Times New Roman" w:eastAsia="仿宋_GB2312" w:cs="Times New Roman"/>
          <w:b w:val="0"/>
          <w:bCs w:val="0"/>
          <w:color w:val="auto"/>
          <w:sz w:val="32"/>
          <w:szCs w:val="32"/>
          <w:lang w:eastAsia="zh-CN"/>
        </w:rPr>
        <w:t>）第三</w:t>
      </w:r>
      <w:r>
        <w:rPr>
          <w:rFonts w:hint="eastAsia" w:ascii="仿宋_GB2312" w:hAnsi="Times New Roman" w:eastAsia="仿宋_GB2312" w:cs="Times New Roman"/>
          <w:b w:val="0"/>
          <w:bCs w:val="0"/>
          <w:color w:val="auto"/>
          <w:sz w:val="32"/>
          <w:szCs w:val="32"/>
        </w:rPr>
        <w:t>片区在落实政策和有关机制方面做</w:t>
      </w:r>
      <w:r>
        <w:rPr>
          <w:rFonts w:hint="eastAsia" w:ascii="仿宋_GB2312" w:hAnsi="Times New Roman" w:eastAsia="仿宋_GB2312" w:cs="Times New Roman"/>
          <w:b w:val="0"/>
          <w:bCs w:val="0"/>
          <w:color w:val="auto"/>
          <w:sz w:val="32"/>
          <w:szCs w:val="32"/>
          <w:lang w:eastAsia="zh-CN"/>
        </w:rPr>
        <w:t>得</w:t>
      </w:r>
      <w:r>
        <w:rPr>
          <w:rFonts w:hint="eastAsia" w:ascii="仿宋_GB2312" w:hAnsi="Times New Roman" w:eastAsia="仿宋_GB2312" w:cs="Times New Roman"/>
          <w:b w:val="0"/>
          <w:bCs w:val="0"/>
          <w:color w:val="auto"/>
          <w:sz w:val="32"/>
          <w:szCs w:val="32"/>
        </w:rPr>
        <w:t>比较好</w:t>
      </w:r>
      <w:r>
        <w:rPr>
          <w:rFonts w:hint="eastAsia" w:ascii="仿宋_GB2312" w:hAnsi="Times New Roman" w:eastAsia="仿宋_GB2312" w:cs="Times New Roman"/>
          <w:b w:val="0"/>
          <w:bCs w:val="0"/>
          <w:color w:val="auto"/>
          <w:sz w:val="32"/>
          <w:szCs w:val="32"/>
          <w:lang w:eastAsia="zh-CN"/>
        </w:rPr>
        <w:t>，</w:t>
      </w:r>
      <w:r>
        <w:rPr>
          <w:rFonts w:hint="eastAsia" w:ascii="仿宋_GB2312" w:hAnsi="Times New Roman" w:eastAsia="仿宋_GB2312" w:cs="Times New Roman"/>
          <w:b w:val="0"/>
          <w:bCs w:val="0"/>
          <w:color w:val="auto"/>
          <w:sz w:val="32"/>
          <w:szCs w:val="32"/>
        </w:rPr>
        <w:t>按计划开展6次社区宣传活动，在运用回访机制到实际服务中，同时做好相关的服务记录。</w:t>
      </w:r>
    </w:p>
    <w:p w14:paraId="0CB931BD">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4F0B6F23">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ascii="仿宋_GB2312" w:eastAsia="仿宋_GB2312"/>
          <w:color w:val="auto"/>
          <w:sz w:val="32"/>
          <w:szCs w:val="32"/>
        </w:rPr>
      </w:pPr>
      <w:r>
        <w:rPr>
          <w:rFonts w:hint="eastAsia" w:ascii="仿宋_GB2312" w:eastAsia="仿宋_GB2312"/>
          <w:color w:val="auto"/>
          <w:sz w:val="32"/>
          <w:szCs w:val="32"/>
        </w:rPr>
        <w:t>经评委评估分析访谈情况和查阅项目调研、</w:t>
      </w:r>
      <w:r>
        <w:rPr>
          <w:rFonts w:hint="eastAsia" w:ascii="仿宋_GB2312" w:eastAsia="仿宋_GB2312"/>
          <w:color w:val="auto"/>
          <w:sz w:val="32"/>
          <w:szCs w:val="32"/>
          <w:lang w:eastAsia="zh-CN"/>
        </w:rPr>
        <w:t>服务方案</w:t>
      </w:r>
      <w:r>
        <w:rPr>
          <w:rFonts w:hint="eastAsia" w:ascii="仿宋_GB2312" w:eastAsia="仿宋_GB2312"/>
          <w:color w:val="auto"/>
          <w:sz w:val="32"/>
          <w:szCs w:val="32"/>
        </w:rPr>
        <w:t>等各类服务工作痕迹记录资料，该项目以下几方面需关注：</w:t>
      </w:r>
    </w:p>
    <w:p w14:paraId="02D01EFC">
      <w:pPr>
        <w:pStyle w:val="12"/>
        <w:pageBreakBefore w:val="0"/>
        <w:widowControl w:val="0"/>
        <w:kinsoku/>
        <w:wordWrap/>
        <w:overflowPunct/>
        <w:topLinePunct w:val="0"/>
        <w:autoSpaceDE/>
        <w:autoSpaceDN/>
        <w:bidi w:val="0"/>
        <w:adjustRightInd/>
        <w:snapToGrid/>
        <w:spacing w:after="0" w:line="540" w:lineRule="exact"/>
        <w:ind w:firstLine="740"/>
        <w:jc w:val="both"/>
        <w:textAlignment w:val="auto"/>
        <w:rPr>
          <w:rFonts w:hint="eastAsia" w:ascii="仿宋_GB2312" w:eastAsia="仿宋_GB2312"/>
          <w:color w:val="auto"/>
          <w:sz w:val="32"/>
          <w:szCs w:val="32"/>
          <w:lang w:eastAsia="zh-CN"/>
        </w:rPr>
      </w:pPr>
      <w:bookmarkStart w:id="52" w:name="bookmark67"/>
      <w:bookmarkEnd w:id="52"/>
      <w:bookmarkStart w:id="53" w:name="bookmark68"/>
      <w:bookmarkEnd w:id="53"/>
      <w:bookmarkStart w:id="54" w:name="bookmark69"/>
      <w:bookmarkEnd w:id="54"/>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1</w:t>
      </w:r>
      <w:r>
        <w:rPr>
          <w:rFonts w:hint="eastAsia" w:ascii="仿宋_GB2312" w:eastAsia="仿宋_GB2312"/>
          <w:color w:val="auto"/>
          <w:sz w:val="32"/>
          <w:szCs w:val="32"/>
          <w:lang w:eastAsia="zh-CN"/>
        </w:rPr>
        <w:t>）社工的专业能力有待提升，建议加强专业督导和培训，如目标制定在SMART原则下制定，形成从问题中发现需求，制定目标和计划，到计划执行和评估的专业逻辑闭环工作；</w:t>
      </w:r>
    </w:p>
    <w:p w14:paraId="423CD1F3">
      <w:pPr>
        <w:pStyle w:val="12"/>
        <w:pageBreakBefore w:val="0"/>
        <w:widowControl w:val="0"/>
        <w:kinsoku/>
        <w:wordWrap/>
        <w:overflowPunct/>
        <w:topLinePunct w:val="0"/>
        <w:autoSpaceDE/>
        <w:autoSpaceDN/>
        <w:bidi w:val="0"/>
        <w:adjustRightInd/>
        <w:snapToGrid/>
        <w:spacing w:after="0" w:line="540" w:lineRule="exact"/>
        <w:ind w:firstLine="74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2</w:t>
      </w:r>
      <w:r>
        <w:rPr>
          <w:rFonts w:hint="eastAsia" w:ascii="仿宋_GB2312" w:eastAsia="仿宋_GB2312"/>
          <w:color w:val="auto"/>
          <w:sz w:val="32"/>
          <w:szCs w:val="32"/>
          <w:lang w:eastAsia="zh-CN"/>
        </w:rPr>
        <w:t>）在服务文书记录体现专业性方面还有待提升，如服务内容与服务类型的呼应性不足，社工专业角色和作用发挥情况在文书中体现较少，督导给予的专业意见和建议在后续的服务跟进中体现不足，建议加强以上的文书专业撰写培训。</w:t>
      </w:r>
    </w:p>
    <w:p w14:paraId="7C208036">
      <w:pPr>
        <w:pStyle w:val="12"/>
        <w:pageBreakBefore w:val="0"/>
        <w:widowControl w:val="0"/>
        <w:kinsoku/>
        <w:wordWrap/>
        <w:overflowPunct/>
        <w:topLinePunct w:val="0"/>
        <w:autoSpaceDE/>
        <w:autoSpaceDN/>
        <w:bidi w:val="0"/>
        <w:adjustRightInd/>
        <w:snapToGrid/>
        <w:spacing w:after="0" w:line="54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lang w:eastAsia="zh-CN"/>
        </w:rPr>
        <w:t>（六）</w:t>
      </w:r>
      <w:r>
        <w:rPr>
          <w:rFonts w:hint="eastAsia" w:ascii="仿宋_GB2312" w:eastAsia="仿宋_GB2312"/>
          <w:b/>
          <w:bCs/>
          <w:color w:val="auto"/>
          <w:sz w:val="32"/>
          <w:szCs w:val="32"/>
        </w:rPr>
        <w:t>购买方反馈情况</w:t>
      </w:r>
    </w:p>
    <w:p w14:paraId="0FD52752">
      <w:pPr>
        <w:pStyle w:val="12"/>
        <w:pageBreakBefore w:val="0"/>
        <w:widowControl w:val="0"/>
        <w:kinsoku/>
        <w:wordWrap/>
        <w:overflowPunct/>
        <w:topLinePunct w:val="0"/>
        <w:autoSpaceDE/>
        <w:autoSpaceDN/>
        <w:bidi w:val="0"/>
        <w:adjustRightInd/>
        <w:snapToGrid/>
        <w:spacing w:after="80" w:line="540" w:lineRule="exact"/>
        <w:ind w:firstLine="740"/>
        <w:jc w:val="both"/>
        <w:textAlignment w:val="auto"/>
        <w:rPr>
          <w:rFonts w:ascii="仿宋_GB2312" w:eastAsia="仿宋_GB2312"/>
          <w:b/>
          <w:bCs/>
          <w:color w:val="auto"/>
          <w:sz w:val="32"/>
          <w:szCs w:val="32"/>
        </w:rPr>
      </w:pPr>
      <w:r>
        <w:rPr>
          <w:rFonts w:hint="eastAsia" w:ascii="仿宋_GB2312" w:eastAsia="仿宋_GB2312"/>
          <w:b/>
          <w:bCs/>
          <w:color w:val="auto"/>
          <w:sz w:val="32"/>
          <w:szCs w:val="32"/>
        </w:rPr>
        <w:t>1.值得肯定的地方</w:t>
      </w:r>
    </w:p>
    <w:p w14:paraId="2EADF410">
      <w:pPr>
        <w:pStyle w:val="12"/>
        <w:pageBreakBefore w:val="0"/>
        <w:widowControl w:val="0"/>
        <w:kinsoku/>
        <w:wordWrap/>
        <w:overflowPunct/>
        <w:topLinePunct w:val="0"/>
        <w:autoSpaceDE/>
        <w:autoSpaceDN/>
        <w:bidi w:val="0"/>
        <w:adjustRightInd/>
        <w:snapToGrid/>
        <w:spacing w:after="0" w:line="540" w:lineRule="exact"/>
        <w:ind w:firstLine="578"/>
        <w:jc w:val="both"/>
        <w:textAlignment w:val="auto"/>
        <w:rPr>
          <w:rFonts w:hint="default" w:ascii="仿宋_GB2312" w:hAnsi="宋体" w:eastAsia="仿宋_GB2312"/>
          <w:color w:val="auto"/>
          <w:sz w:val="32"/>
          <w:szCs w:val="32"/>
          <w:lang w:val="en-US"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val="en-US" w:eastAsia="zh-CN"/>
        </w:rPr>
        <w:t>化龙镇人民政府</w:t>
      </w:r>
      <w:r>
        <w:rPr>
          <w:rFonts w:hint="eastAsia" w:ascii="仿宋_GB2312" w:eastAsia="仿宋_GB2312"/>
          <w:color w:val="auto"/>
          <w:sz w:val="32"/>
          <w:szCs w:val="32"/>
        </w:rPr>
        <w:t>）认为，</w:t>
      </w:r>
      <w:r>
        <w:rPr>
          <w:rFonts w:hint="eastAsia" w:ascii="仿宋_GB2312" w:eastAsia="仿宋_GB2312"/>
          <w:color w:val="auto"/>
          <w:sz w:val="32"/>
          <w:szCs w:val="32"/>
          <w:lang w:eastAsia="zh-CN"/>
        </w:rPr>
        <w:t>社工站团队专业素质强，工作态度好，有效链接辖区慈善资源和力量，积极开展各类活动，切实解决服务对象实际困难；注重案例提炼和经验总结，积极推广成熟做法，将服务实践转化为可复制、可推广的典型经验。</w:t>
      </w:r>
    </w:p>
    <w:p w14:paraId="651D0EA4">
      <w:pPr>
        <w:pStyle w:val="12"/>
        <w:pageBreakBefore w:val="0"/>
        <w:widowControl w:val="0"/>
        <w:kinsoku/>
        <w:wordWrap/>
        <w:overflowPunct/>
        <w:topLinePunct w:val="0"/>
        <w:autoSpaceDE/>
        <w:autoSpaceDN/>
        <w:bidi w:val="0"/>
        <w:adjustRightInd/>
        <w:snapToGrid/>
        <w:spacing w:after="0" w:line="540" w:lineRule="exact"/>
        <w:ind w:firstLine="580"/>
        <w:jc w:val="both"/>
        <w:textAlignment w:val="auto"/>
        <w:rPr>
          <w:rFonts w:ascii="仿宋_GB2312" w:eastAsia="仿宋_GB2312"/>
          <w:color w:val="auto"/>
          <w:sz w:val="32"/>
          <w:szCs w:val="32"/>
        </w:rPr>
      </w:pPr>
      <w:r>
        <w:rPr>
          <w:rFonts w:hint="eastAsia" w:ascii="仿宋_GB2312" w:hAnsi="Times New Roman" w:eastAsia="仿宋_GB2312" w:cs="Times New Roman"/>
          <w:b/>
          <w:bCs/>
          <w:color w:val="auto"/>
          <w:sz w:val="32"/>
          <w:szCs w:val="32"/>
        </w:rPr>
        <w:t>2</w:t>
      </w:r>
      <w:r>
        <w:rPr>
          <w:rFonts w:hint="eastAsia" w:ascii="仿宋_GB2312" w:eastAsia="仿宋_GB2312"/>
          <w:b/>
          <w:bCs/>
          <w:color w:val="auto"/>
          <w:sz w:val="32"/>
          <w:szCs w:val="32"/>
        </w:rPr>
        <w:t>.需要关注的地方</w:t>
      </w:r>
    </w:p>
    <w:p w14:paraId="64D9C11B">
      <w:pPr>
        <w:pStyle w:val="12"/>
        <w:pageBreakBefore w:val="0"/>
        <w:widowControl w:val="0"/>
        <w:kinsoku/>
        <w:wordWrap/>
        <w:overflowPunct/>
        <w:topLinePunct w:val="0"/>
        <w:autoSpaceDE/>
        <w:autoSpaceDN/>
        <w:bidi w:val="0"/>
        <w:adjustRightInd/>
        <w:snapToGrid/>
        <w:spacing w:after="0" w:line="540" w:lineRule="exact"/>
        <w:ind w:firstLine="74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rPr>
        <w:t>购买方（</w:t>
      </w:r>
      <w:r>
        <w:rPr>
          <w:rFonts w:hint="eastAsia" w:ascii="仿宋_GB2312" w:eastAsia="仿宋_GB2312"/>
          <w:color w:val="auto"/>
          <w:sz w:val="32"/>
          <w:szCs w:val="32"/>
          <w:lang w:val="en-US" w:eastAsia="zh-CN"/>
        </w:rPr>
        <w:t>化龙镇人民政府</w:t>
      </w:r>
      <w:r>
        <w:rPr>
          <w:rFonts w:hint="eastAsia" w:ascii="仿宋_GB2312" w:eastAsia="仿宋_GB2312"/>
          <w:color w:val="auto"/>
          <w:sz w:val="32"/>
          <w:szCs w:val="32"/>
        </w:rPr>
        <w:t>）认为，</w:t>
      </w:r>
      <w:r>
        <w:rPr>
          <w:rFonts w:hint="eastAsia" w:ascii="仿宋_GB2312" w:eastAsia="仿宋_GB2312"/>
          <w:color w:val="auto"/>
          <w:sz w:val="32"/>
          <w:szCs w:val="32"/>
          <w:lang w:eastAsia="zh-CN"/>
        </w:rPr>
        <w:t>社工站需进一步深入开展精细化社工服务，织密筑牢民生保障底线。</w:t>
      </w:r>
    </w:p>
    <w:p w14:paraId="2510C0C3">
      <w:pPr>
        <w:pStyle w:val="12"/>
        <w:keepNext w:val="0"/>
        <w:keepLines w:val="0"/>
        <w:pageBreakBefore w:val="0"/>
        <w:widowControl w:val="0"/>
        <w:numPr>
          <w:ilvl w:val="0"/>
          <w:numId w:val="5"/>
        </w:numPr>
        <w:kinsoku/>
        <w:wordWrap/>
        <w:overflowPunct/>
        <w:topLinePunct w:val="0"/>
        <w:autoSpaceDE/>
        <w:autoSpaceDN/>
        <w:bidi w:val="0"/>
        <w:adjustRightInd/>
        <w:snapToGrid/>
        <w:spacing w:after="120" w:line="540" w:lineRule="exact"/>
        <w:ind w:firstLine="643" w:firstLineChars="200"/>
        <w:jc w:val="both"/>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市督导中心反馈</w:t>
      </w:r>
    </w:p>
    <w:p w14:paraId="2EAF262B">
      <w:pPr>
        <w:pStyle w:val="12"/>
        <w:keepNext w:val="0"/>
        <w:keepLines w:val="0"/>
        <w:pageBreakBefore w:val="0"/>
        <w:widowControl w:val="0"/>
        <w:kinsoku/>
        <w:wordWrap/>
        <w:overflowPunct/>
        <w:topLinePunct w:val="0"/>
        <w:autoSpaceDE/>
        <w:autoSpaceDN/>
        <w:bidi w:val="0"/>
        <w:adjustRightInd/>
        <w:snapToGrid/>
        <w:spacing w:after="0" w:line="540" w:lineRule="exact"/>
        <w:ind w:firstLine="643" w:firstLineChars="200"/>
        <w:jc w:val="both"/>
        <w:textAlignment w:val="auto"/>
        <w:rPr>
          <w:rFonts w:hint="eastAsia"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1E9DCC5C">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hint="eastAsia"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p>
    <w:p w14:paraId="7D95ABAA">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hAnsi="宋体" w:eastAsia="仿宋_GB2312"/>
          <w:color w:val="auto"/>
          <w:sz w:val="32"/>
          <w:szCs w:val="32"/>
          <w:lang w:val="en-US" w:eastAsia="zh-CN"/>
        </w:rPr>
      </w:pPr>
      <w:r>
        <w:rPr>
          <w:rFonts w:hint="eastAsia" w:ascii="仿宋_GB2312" w:eastAsia="仿宋_GB2312"/>
          <w:color w:val="auto"/>
          <w:sz w:val="32"/>
          <w:szCs w:val="32"/>
          <w:lang w:val="en-US" w:eastAsia="zh-CN"/>
        </w:rPr>
        <w:t>（1）</w:t>
      </w:r>
      <w:r>
        <w:rPr>
          <w:rFonts w:hint="eastAsia" w:ascii="仿宋_GB2312" w:hAnsi="宋体" w:eastAsia="仿宋_GB2312"/>
          <w:color w:val="auto"/>
          <w:sz w:val="32"/>
          <w:szCs w:val="32"/>
          <w:lang w:val="en-US" w:eastAsia="zh-CN"/>
        </w:rPr>
        <w:t>项目专业人才能力建设扎实推进。在内部共学组织方面，持续组织定期学习，共学内容主要涵盖民生政策、专业服务技巧、品牌项目打造等，尤其是“房树人自我审视”“服务生命线”等议题，匹配心理干预工具实操成长需求，本年度还组织4次互访活动，聚焦兜底民生服务的建档评估定级工作、疑难个案跟进、特色服务项目打造等，交流经验成果，研讨难点问题，并推进项目规划完善。团队整体学习氛围浓厚，积极参与“羊城工匠杯”首届社会工作专业人才技能竞赛并荣获团体赛优秀奖。</w:t>
      </w:r>
    </w:p>
    <w:p w14:paraId="2184EC99">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hAnsi="宋体" w:eastAsia="仿宋_GB2312"/>
          <w:color w:val="auto"/>
          <w:sz w:val="32"/>
          <w:szCs w:val="32"/>
          <w:lang w:val="en-US" w:eastAsia="zh-CN"/>
        </w:rPr>
      </w:pPr>
      <w:r>
        <w:rPr>
          <w:rFonts w:hint="eastAsia" w:ascii="仿宋_GB2312" w:eastAsia="仿宋_GB2312"/>
          <w:color w:val="auto"/>
          <w:sz w:val="32"/>
          <w:szCs w:val="32"/>
          <w:lang w:val="en-US" w:eastAsia="zh-CN"/>
        </w:rPr>
        <w:t>（2）</w:t>
      </w:r>
      <w:r>
        <w:rPr>
          <w:rFonts w:hint="eastAsia" w:ascii="仿宋_GB2312" w:hAnsi="宋体" w:eastAsia="仿宋_GB2312"/>
          <w:color w:val="auto"/>
          <w:sz w:val="32"/>
          <w:szCs w:val="32"/>
          <w:lang w:val="en-US" w:eastAsia="zh-CN"/>
        </w:rPr>
        <w:t>项目紧密联系社区，与直聘社工恒常合作。项目每月定期与村（居）对接服务动态，在购买方的指导下，项目代</w:t>
      </w:r>
      <w:r>
        <w:rPr>
          <w:rFonts w:hint="eastAsia" w:ascii="仿宋_GB2312" w:eastAsia="仿宋_GB2312"/>
          <w:color w:val="auto"/>
          <w:sz w:val="32"/>
          <w:szCs w:val="32"/>
          <w:lang w:val="en-US" w:eastAsia="zh-CN"/>
        </w:rPr>
        <w:t>表每</w:t>
      </w:r>
      <w:r>
        <w:rPr>
          <w:rFonts w:hint="eastAsia" w:ascii="仿宋_GB2312" w:hAnsi="宋体" w:eastAsia="仿宋_GB2312"/>
          <w:color w:val="auto"/>
          <w:sz w:val="32"/>
          <w:szCs w:val="32"/>
          <w:lang w:val="en-US" w:eastAsia="zh-CN"/>
        </w:rPr>
        <w:t>季度定期参加“双工”联动专题会，针对社工点服务计划、社区基金运营及服务难点进行主题研讨，助推社工扎根社区，把握辖区困难群众和特殊群体需求，进而提供更加贴合实际的精准化服务。“双工”每月至少联动1次，共同开展摸排、个案跟踪、探访及活动策划，实现联动全覆盖，有效落实兜底民生服务。</w:t>
      </w:r>
    </w:p>
    <w:p w14:paraId="3FC6C900">
      <w:pPr>
        <w:pStyle w:val="12"/>
        <w:pageBreakBefore w:val="0"/>
        <w:widowControl w:val="0"/>
        <w:kinsoku/>
        <w:wordWrap/>
        <w:overflowPunct/>
        <w:topLinePunct w:val="0"/>
        <w:autoSpaceDE/>
        <w:autoSpaceDN/>
        <w:bidi w:val="0"/>
        <w:adjustRightInd/>
        <w:snapToGrid/>
        <w:spacing w:after="0" w:line="540" w:lineRule="exact"/>
        <w:ind w:left="0" w:leftChars="0" w:firstLine="640" w:firstLineChars="200"/>
        <w:jc w:val="both"/>
        <w:textAlignment w:val="auto"/>
        <w:rPr>
          <w:rFonts w:hint="eastAsia" w:ascii="仿宋_GB2312" w:hAnsi="宋体"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hAnsi="宋体" w:eastAsia="仿宋_GB2312"/>
          <w:color w:val="auto"/>
          <w:sz w:val="32"/>
          <w:szCs w:val="32"/>
          <w:lang w:val="en-US" w:eastAsia="zh-CN"/>
        </w:rPr>
        <w:t>项目经验推广成效显著。项目围绕成果宣传与经验推广，构建线上线下融合的传播矩阵。线上充分利用微信公众号、居民社群等平台，及时推送项目动态、服务成效；线下通过项目宣传栏、村居宣传栏，派发《月报》等宣传资料，多渠道提升项目知晓度及美誉度。此外，还积极对接国家、省、市级宣传平台，主动分享项目服务模式与实践经验，养老服务案例《织起帮扶网，架牢信任桥》刊登于《中国社会工作》2026年2月（中），系统阐释了创新的“3C”养老服务模式，有效扩大项目影响力。</w:t>
      </w:r>
    </w:p>
    <w:p w14:paraId="77C606AE">
      <w:pPr>
        <w:pStyle w:val="12"/>
        <w:pageBreakBefore w:val="0"/>
        <w:widowControl w:val="0"/>
        <w:kinsoku/>
        <w:wordWrap/>
        <w:overflowPunct/>
        <w:topLinePunct w:val="0"/>
        <w:autoSpaceDE/>
        <w:autoSpaceDN/>
        <w:bidi w:val="0"/>
        <w:adjustRightInd/>
        <w:snapToGrid/>
        <w:spacing w:after="0" w:line="540" w:lineRule="exact"/>
        <w:ind w:left="0" w:leftChars="0" w:firstLine="643" w:firstLineChars="200"/>
        <w:jc w:val="both"/>
        <w:textAlignment w:val="auto"/>
        <w:rPr>
          <w:rFonts w:ascii="仿宋_GB2312" w:hAnsi="Times New Roman" w:eastAsia="仿宋_GB2312" w:cs="Times New Roman"/>
          <w:b/>
          <w:bCs/>
          <w:color w:val="auto"/>
          <w:sz w:val="32"/>
          <w:szCs w:val="32"/>
          <w:lang w:val="zh-CN" w:eastAsia="zh-CN" w:bidi="zh-CN"/>
        </w:rPr>
      </w:pPr>
      <w:r>
        <w:rPr>
          <w:rFonts w:hint="eastAsia" w:ascii="仿宋_GB2312" w:hAnsi="Times New Roman" w:eastAsia="仿宋_GB2312" w:cs="Times New Roman"/>
          <w:b/>
          <w:bCs/>
          <w:color w:val="auto"/>
          <w:sz w:val="32"/>
          <w:szCs w:val="32"/>
          <w:lang w:val="zh-CN" w:eastAsia="zh-CN" w:bidi="zh-CN"/>
        </w:rPr>
        <w:t>2</w:t>
      </w:r>
      <w:r>
        <w:rPr>
          <w:rFonts w:ascii="仿宋_GB2312" w:hAnsi="Times New Roman" w:eastAsia="仿宋_GB2312" w:cs="Times New Roman"/>
          <w:b/>
          <w:bCs/>
          <w:color w:val="auto"/>
          <w:sz w:val="32"/>
          <w:szCs w:val="32"/>
          <w:lang w:val="zh-CN" w:eastAsia="zh-CN" w:bidi="zh-CN"/>
        </w:rPr>
        <w:t>.需要关注的地方</w:t>
      </w:r>
    </w:p>
    <w:p w14:paraId="6FB878C0">
      <w:pPr>
        <w:pStyle w:val="12"/>
        <w:pageBreakBefore w:val="0"/>
        <w:widowControl w:val="0"/>
        <w:kinsoku/>
        <w:wordWrap/>
        <w:overflowPunct/>
        <w:topLinePunct w:val="0"/>
        <w:autoSpaceDE/>
        <w:autoSpaceDN/>
        <w:bidi w:val="0"/>
        <w:adjustRightInd/>
        <w:snapToGrid/>
        <w:spacing w:after="0" w:line="540" w:lineRule="exact"/>
        <w:ind w:firstLine="600"/>
        <w:jc w:val="both"/>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经评委评估分析访谈情况和查阅项目调研、</w:t>
      </w:r>
      <w:r>
        <w:rPr>
          <w:rFonts w:hint="eastAsia" w:ascii="仿宋_GB2312" w:eastAsia="仿宋_GB2312"/>
          <w:color w:val="auto"/>
          <w:sz w:val="32"/>
          <w:szCs w:val="32"/>
          <w:lang w:eastAsia="zh-CN"/>
        </w:rPr>
        <w:t>服务方案</w:t>
      </w:r>
      <w:r>
        <w:rPr>
          <w:rFonts w:hint="eastAsia" w:ascii="仿宋_GB2312" w:hAnsi="宋体" w:eastAsia="仿宋_GB2312"/>
          <w:color w:val="auto"/>
          <w:sz w:val="32"/>
          <w:szCs w:val="32"/>
          <w:lang w:eastAsia="zh-CN"/>
        </w:rPr>
        <w:t>等各类服务工作痕迹记录资料，该项目以下几方面需关注：</w:t>
      </w:r>
    </w:p>
    <w:p w14:paraId="6BB0DAE2">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宋体" w:eastAsia="仿宋_GB2312"/>
          <w:color w:val="auto"/>
          <w:sz w:val="32"/>
          <w:szCs w:val="32"/>
          <w:lang w:val="en-US" w:eastAsia="zh-CN"/>
        </w:rPr>
      </w:pPr>
      <w:r>
        <w:rPr>
          <w:rFonts w:hint="eastAsia" w:ascii="仿宋_GB2312" w:eastAsia="仿宋_GB2312"/>
          <w:color w:val="auto"/>
          <w:sz w:val="32"/>
          <w:szCs w:val="32"/>
          <w:lang w:val="en-US" w:eastAsia="zh-CN"/>
        </w:rPr>
        <w:t>（1）</w:t>
      </w:r>
      <w:r>
        <w:rPr>
          <w:rFonts w:hint="eastAsia" w:ascii="仿宋_GB2312" w:hAnsi="宋体" w:eastAsia="仿宋_GB2312"/>
          <w:color w:val="auto"/>
          <w:sz w:val="32"/>
          <w:szCs w:val="32"/>
          <w:lang w:val="en-US" w:eastAsia="zh-CN"/>
        </w:rPr>
        <w:t>项目专业成长体系建设有待进一步优化。建议下一年度重点完善分层精细化培育，并</w:t>
      </w:r>
      <w:r>
        <w:rPr>
          <w:rFonts w:hint="eastAsia" w:ascii="仿宋_GB2312" w:eastAsia="仿宋_GB2312"/>
          <w:color w:val="auto"/>
          <w:sz w:val="32"/>
          <w:szCs w:val="32"/>
          <w:lang w:val="en-US" w:eastAsia="zh-CN"/>
        </w:rPr>
        <w:t>将互访交流</w:t>
      </w:r>
      <w:r>
        <w:rPr>
          <w:rFonts w:hint="eastAsia" w:ascii="仿宋_GB2312" w:hAnsi="宋体" w:eastAsia="仿宋_GB2312"/>
          <w:color w:val="auto"/>
          <w:sz w:val="32"/>
          <w:szCs w:val="32"/>
          <w:lang w:val="en-US" w:eastAsia="zh-CN"/>
        </w:rPr>
        <w:t>正式纳入制度化安排，强化学习落地转化的长效跟踪，建立贯穿全年的阶段性检视节点，推动能力提升体系从“有运行”走向“可衡量、可持续”。</w:t>
      </w:r>
    </w:p>
    <w:p w14:paraId="27FC2332">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hAnsi="宋体" w:eastAsia="仿宋_GB2312"/>
          <w:color w:val="auto"/>
          <w:sz w:val="32"/>
          <w:szCs w:val="32"/>
          <w:lang w:val="en-US" w:eastAsia="zh-CN"/>
        </w:rPr>
      </w:pPr>
      <w:r>
        <w:rPr>
          <w:rFonts w:hint="eastAsia" w:ascii="仿宋_GB2312" w:eastAsia="仿宋_GB2312"/>
          <w:color w:val="auto"/>
          <w:sz w:val="32"/>
          <w:szCs w:val="32"/>
          <w:lang w:val="en-US" w:eastAsia="zh-CN"/>
        </w:rPr>
        <w:t>（2）</w:t>
      </w:r>
      <w:r>
        <w:rPr>
          <w:rFonts w:hint="eastAsia" w:ascii="仿宋_GB2312" w:hAnsi="宋体" w:eastAsia="仿宋_GB2312"/>
          <w:color w:val="auto"/>
          <w:sz w:val="32"/>
          <w:szCs w:val="32"/>
          <w:lang w:val="en-US" w:eastAsia="zh-CN"/>
        </w:rPr>
        <w:t>项目平台工作管理水平需进一步提升。据社工站综合管理平台信息填写显示，存在规范化月度检查未常态化填写、离职员工账号未及时停用等情况，评估期间，部分社工触发“社工15天及以上未更新服务记录”系统预警。建议项目团队强化社工站综合管理平台的学习与有效运用，及时填写、更新服务信息、内部月度检查以及经费支出情况，清晰完整呈现服务过程与成效，为精准评估服务效果、优化服务方案提供依据。同时，需完善人员异动管理流程，确保离职员工账号及时停用，避免因账号权限未回收带来的数据安全风险与管理混乱。</w:t>
      </w:r>
    </w:p>
    <w:p w14:paraId="77605C8E">
      <w:pPr>
        <w:pStyle w:val="12"/>
        <w:pageBreakBefore w:val="0"/>
        <w:widowControl w:val="0"/>
        <w:numPr>
          <w:ilvl w:val="0"/>
          <w:numId w:val="0"/>
        </w:numPr>
        <w:kinsoku/>
        <w:wordWrap/>
        <w:overflowPunct/>
        <w:topLinePunct w:val="0"/>
        <w:autoSpaceDE/>
        <w:autoSpaceDN/>
        <w:bidi w:val="0"/>
        <w:adjustRightInd/>
        <w:snapToGrid/>
        <w:spacing w:after="0" w:line="54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三、评估反馈</w:t>
      </w:r>
    </w:p>
    <w:p w14:paraId="3600C8B7">
      <w:pPr>
        <w:pStyle w:val="12"/>
        <w:pageBreakBefore w:val="0"/>
        <w:widowControl w:val="0"/>
        <w:kinsoku/>
        <w:wordWrap/>
        <w:overflowPunct/>
        <w:topLinePunct w:val="0"/>
        <w:autoSpaceDE/>
        <w:autoSpaceDN/>
        <w:bidi w:val="0"/>
        <w:adjustRightInd/>
        <w:snapToGrid/>
        <w:spacing w:after="120" w:line="540" w:lineRule="exact"/>
        <w:ind w:firstLine="640"/>
        <w:jc w:val="both"/>
        <w:textAlignment w:val="auto"/>
        <w:rPr>
          <w:rFonts w:ascii="仿宋_GB2312" w:eastAsia="仿宋_GB2312"/>
          <w:color w:val="auto"/>
          <w:sz w:val="32"/>
          <w:szCs w:val="32"/>
        </w:rPr>
      </w:pPr>
      <w:r>
        <w:rPr>
          <w:rFonts w:hint="eastAsia" w:ascii="仿宋_GB2312" w:eastAsia="仿宋_GB2312"/>
          <w:color w:val="auto"/>
          <w:sz w:val="32"/>
          <w:szCs w:val="32"/>
        </w:rPr>
        <w:t>评估反馈主要分为两大环节，一是现场反馈环节，二是对评估报告初稿的意见反馈环节。本次</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社工站的反馈如下：</w:t>
      </w:r>
      <w:bookmarkStart w:id="55" w:name="bookmark85"/>
      <w:bookmarkEnd w:id="55"/>
    </w:p>
    <w:p w14:paraId="645B5A5C">
      <w:pPr>
        <w:pStyle w:val="12"/>
        <w:pageBreakBefore w:val="0"/>
        <w:widowControl w:val="0"/>
        <w:kinsoku/>
        <w:wordWrap/>
        <w:overflowPunct/>
        <w:topLinePunct w:val="0"/>
        <w:autoSpaceDE/>
        <w:autoSpaceDN/>
        <w:bidi w:val="0"/>
        <w:adjustRightInd/>
        <w:snapToGrid/>
        <w:spacing w:after="0" w:line="540" w:lineRule="exact"/>
        <w:ind w:firstLine="720"/>
        <w:jc w:val="both"/>
        <w:textAlignment w:val="auto"/>
        <w:rPr>
          <w:rFonts w:ascii="仿宋_GB2312" w:hAnsi="宋体" w:eastAsia="仿宋_GB2312"/>
          <w:color w:val="auto"/>
          <w:sz w:val="32"/>
          <w:szCs w:val="32"/>
          <w:lang w:eastAsia="zh-CN"/>
        </w:rPr>
      </w:pPr>
      <w:r>
        <w:rPr>
          <w:rFonts w:hint="eastAsia" w:ascii="仿宋_GB2312" w:hAnsi="宋体" w:eastAsia="仿宋_GB2312"/>
          <w:b/>
          <w:color w:val="auto"/>
          <w:sz w:val="32"/>
          <w:szCs w:val="32"/>
          <w:lang w:eastAsia="zh-CN"/>
        </w:rPr>
        <w:t>1.现场反馈：</w:t>
      </w:r>
      <w:r>
        <w:rPr>
          <w:rFonts w:hint="eastAsia" w:ascii="仿宋_GB2312" w:hAnsi="宋体" w:eastAsia="仿宋_GB2312"/>
          <w:color w:val="auto"/>
          <w:sz w:val="32"/>
          <w:szCs w:val="32"/>
          <w:lang w:eastAsia="zh-CN"/>
        </w:rPr>
        <w:t>经过为期一天的评估，评委针对</w:t>
      </w:r>
      <w:r>
        <w:rPr>
          <w:rFonts w:hint="eastAsia" w:ascii="仿宋_GB2312" w:hAnsi="宋体" w:eastAsia="仿宋_GB2312"/>
          <w:color w:val="auto"/>
          <w:sz w:val="32"/>
          <w:szCs w:val="32"/>
          <w:lang w:val="en-US" w:eastAsia="zh-CN"/>
        </w:rPr>
        <w:t>化龙镇</w:t>
      </w:r>
      <w:r>
        <w:rPr>
          <w:rFonts w:hint="eastAsia" w:ascii="仿宋_GB2312" w:hAnsi="宋体" w:eastAsia="仿宋_GB2312"/>
          <w:color w:val="auto"/>
          <w:sz w:val="32"/>
          <w:szCs w:val="32"/>
          <w:lang w:eastAsia="zh-CN"/>
        </w:rPr>
        <w:t>社工站的情况，进行了现场总结反馈，在总结反馈环节，</w:t>
      </w:r>
      <w:r>
        <w:rPr>
          <w:rFonts w:hint="eastAsia" w:ascii="仿宋_GB2312" w:hAnsi="宋体" w:eastAsia="仿宋_GB2312"/>
          <w:color w:val="auto"/>
          <w:sz w:val="32"/>
          <w:szCs w:val="32"/>
          <w:lang w:val="en-US" w:eastAsia="zh-CN"/>
        </w:rPr>
        <w:t>化龙镇</w:t>
      </w:r>
      <w:r>
        <w:rPr>
          <w:rFonts w:hint="eastAsia" w:ascii="仿宋_GB2312" w:hAnsi="宋体" w:eastAsia="仿宋_GB2312"/>
          <w:color w:val="auto"/>
          <w:sz w:val="32"/>
          <w:szCs w:val="32"/>
          <w:lang w:eastAsia="zh-CN"/>
        </w:rPr>
        <w:t>社工站表示对评委们提出的意见和建议无异议。</w:t>
      </w:r>
    </w:p>
    <w:p w14:paraId="10547A78">
      <w:pPr>
        <w:pStyle w:val="12"/>
        <w:pageBreakBefore w:val="0"/>
        <w:widowControl w:val="0"/>
        <w:kinsoku/>
        <w:wordWrap/>
        <w:overflowPunct/>
        <w:topLinePunct w:val="0"/>
        <w:autoSpaceDE/>
        <w:autoSpaceDN/>
        <w:bidi w:val="0"/>
        <w:adjustRightInd/>
        <w:snapToGrid/>
        <w:spacing w:after="0" w:line="540" w:lineRule="exact"/>
        <w:ind w:firstLine="720"/>
        <w:jc w:val="both"/>
        <w:textAlignment w:val="auto"/>
        <w:rPr>
          <w:rFonts w:ascii="仿宋_GB2312" w:hAnsi="宋体" w:eastAsia="仿宋_GB2312"/>
          <w:color w:val="auto"/>
          <w:sz w:val="32"/>
          <w:szCs w:val="32"/>
          <w:lang w:eastAsia="zh-CN"/>
        </w:rPr>
      </w:pPr>
      <w:r>
        <w:rPr>
          <w:rFonts w:hint="eastAsia" w:ascii="仿宋_GB2312" w:hAnsi="宋体" w:eastAsia="仿宋_GB2312"/>
          <w:b/>
          <w:color w:val="auto"/>
          <w:sz w:val="32"/>
          <w:szCs w:val="32"/>
          <w:lang w:eastAsia="zh-CN"/>
        </w:rPr>
        <w:t>2.对评估报告初稿的反馈：</w:t>
      </w:r>
      <w:r>
        <w:rPr>
          <w:rFonts w:hint="eastAsia" w:ascii="仿宋_GB2312" w:hAnsi="宋体" w:eastAsia="仿宋_GB2312"/>
          <w:color w:val="auto"/>
          <w:sz w:val="32"/>
          <w:szCs w:val="32"/>
          <w:lang w:eastAsia="zh-CN"/>
        </w:rPr>
        <w:t>番禺区民政局、</w:t>
      </w:r>
      <w:r>
        <w:rPr>
          <w:rFonts w:hint="eastAsia" w:ascii="仿宋_GB2312" w:hAnsi="宋体" w:eastAsia="仿宋_GB2312"/>
          <w:color w:val="auto"/>
          <w:sz w:val="32"/>
          <w:szCs w:val="32"/>
          <w:lang w:val="en-US" w:eastAsia="zh-CN"/>
        </w:rPr>
        <w:t>化龙镇人民政府</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化龙镇</w:t>
      </w:r>
      <w:r>
        <w:rPr>
          <w:rFonts w:hint="eastAsia" w:ascii="仿宋_GB2312" w:hAnsi="宋体" w:eastAsia="仿宋_GB2312"/>
          <w:color w:val="auto"/>
          <w:sz w:val="32"/>
          <w:szCs w:val="32"/>
          <w:lang w:eastAsia="zh-CN"/>
        </w:rPr>
        <w:t>社工站对评估报告初稿无异议。</w:t>
      </w:r>
    </w:p>
    <w:p w14:paraId="61A6F147">
      <w:pPr>
        <w:pStyle w:val="10"/>
        <w:keepNext/>
        <w:keepLines/>
        <w:pageBreakBefore w:val="0"/>
        <w:widowControl w:val="0"/>
        <w:kinsoku/>
        <w:wordWrap/>
        <w:overflowPunct/>
        <w:topLinePunct w:val="0"/>
        <w:autoSpaceDE/>
        <w:autoSpaceDN/>
        <w:bidi w:val="0"/>
        <w:adjustRightInd/>
        <w:snapToGrid/>
        <w:spacing w:before="0" w:after="0" w:line="540" w:lineRule="exact"/>
        <w:ind w:firstLine="643" w:firstLineChars="200"/>
        <w:jc w:val="both"/>
        <w:textAlignment w:val="auto"/>
        <w:rPr>
          <w:rFonts w:ascii="方正小标宋简体" w:eastAsia="方正小标宋简体"/>
          <w:b/>
          <w:bCs/>
          <w:color w:val="auto"/>
          <w:sz w:val="32"/>
          <w:szCs w:val="28"/>
          <w:lang w:val="en-US"/>
        </w:rPr>
      </w:pPr>
      <w:bookmarkStart w:id="56" w:name="bookmark86"/>
      <w:r>
        <w:rPr>
          <w:rFonts w:hint="eastAsia" w:ascii="方正小标宋简体" w:eastAsia="方正小标宋简体"/>
          <w:b/>
          <w:bCs/>
          <w:color w:val="auto"/>
          <w:sz w:val="32"/>
          <w:szCs w:val="28"/>
          <w:lang w:val="en-US"/>
        </w:rPr>
        <w:t>四</w:t>
      </w:r>
      <w:bookmarkEnd w:id="56"/>
      <w:r>
        <w:rPr>
          <w:rFonts w:hint="eastAsia" w:ascii="方正小标宋简体" w:eastAsia="方正小标宋简体"/>
          <w:b/>
          <w:bCs/>
          <w:color w:val="auto"/>
          <w:sz w:val="32"/>
          <w:szCs w:val="28"/>
          <w:lang w:val="en-US"/>
        </w:rPr>
        <w:t>、评估等级</w:t>
      </w:r>
    </w:p>
    <w:p w14:paraId="145A6A2B">
      <w:pPr>
        <w:pStyle w:val="12"/>
        <w:pageBreakBefore w:val="0"/>
        <w:widowControl w:val="0"/>
        <w:kinsoku/>
        <w:wordWrap/>
        <w:overflowPunct/>
        <w:topLinePunct w:val="0"/>
        <w:autoSpaceDE/>
        <w:autoSpaceDN/>
        <w:bidi w:val="0"/>
        <w:adjustRightInd/>
        <w:snapToGrid/>
        <w:spacing w:after="120" w:line="540" w:lineRule="exact"/>
        <w:ind w:firstLine="64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总分为100分，其中，第三方评估机构占比55%、街道办事处（镇人民政府）占比20%、市督导中心占15%、区民政局占比10%。评估结果由四方评估分数的总和确定。评估等级分为优秀、良好、合格、不合格四个等级，90分以上为优秀，80分至90分（不含90分）为良好， 60分至80分（不含80分）为合格，60分以下（不含60分）为不合格。</w:t>
      </w:r>
    </w:p>
    <w:p w14:paraId="77AAC7A1">
      <w:pPr>
        <w:pStyle w:val="12"/>
        <w:pageBreakBefore w:val="0"/>
        <w:widowControl w:val="0"/>
        <w:kinsoku/>
        <w:wordWrap/>
        <w:overflowPunct/>
        <w:topLinePunct w:val="0"/>
        <w:autoSpaceDE/>
        <w:autoSpaceDN/>
        <w:bidi w:val="0"/>
        <w:adjustRightInd/>
        <w:snapToGrid/>
        <w:spacing w:after="120" w:line="540" w:lineRule="exact"/>
        <w:ind w:firstLine="640"/>
        <w:jc w:val="both"/>
        <w:textAlignment w:val="auto"/>
        <w:rPr>
          <w:rFonts w:ascii="仿宋_GB2312" w:eastAsia="PMingLiU"/>
          <w:color w:val="auto"/>
          <w:sz w:val="32"/>
          <w:szCs w:val="32"/>
        </w:rPr>
      </w:pPr>
      <w:r>
        <w:rPr>
          <w:rFonts w:hint="eastAsia" w:ascii="仿宋_GB2312" w:eastAsia="仿宋_GB2312"/>
          <w:color w:val="auto"/>
          <w:sz w:val="32"/>
          <w:szCs w:val="32"/>
        </w:rPr>
        <w:t>经过评估</w:t>
      </w:r>
      <w:r>
        <w:rPr>
          <w:rFonts w:hint="eastAsia" w:ascii="仿宋_GB2312" w:eastAsia="仿宋_GB2312"/>
          <w:color w:val="auto"/>
          <w:sz w:val="32"/>
          <w:szCs w:val="32"/>
          <w:lang w:eastAsia="zh-CN"/>
        </w:rPr>
        <w:t>，</w:t>
      </w:r>
      <w:r>
        <w:rPr>
          <w:rFonts w:hint="eastAsia" w:ascii="仿宋_GB2312" w:hAnsi="宋体" w:eastAsia="仿宋_GB2312"/>
          <w:color w:val="auto"/>
          <w:sz w:val="32"/>
          <w:szCs w:val="32"/>
          <w:lang w:val="en-US" w:eastAsia="zh-CN"/>
        </w:rPr>
        <w:t>化龙镇</w:t>
      </w:r>
      <w:r>
        <w:rPr>
          <w:rFonts w:hint="eastAsia" w:ascii="仿宋_GB2312" w:eastAsia="仿宋_GB2312"/>
          <w:color w:val="auto"/>
          <w:sz w:val="32"/>
          <w:szCs w:val="32"/>
        </w:rPr>
        <w:t>社工站本次</w:t>
      </w:r>
      <w:r>
        <w:rPr>
          <w:rFonts w:hint="eastAsia" w:ascii="仿宋_GB2312" w:eastAsia="仿宋_GB2312"/>
          <w:color w:val="auto"/>
          <w:sz w:val="32"/>
          <w:szCs w:val="32"/>
          <w:lang w:eastAsia="zh-CN"/>
        </w:rPr>
        <w:t>末期</w:t>
      </w:r>
      <w:r>
        <w:rPr>
          <w:rFonts w:hint="eastAsia" w:ascii="仿宋_GB2312" w:eastAsia="仿宋_GB2312"/>
          <w:color w:val="auto"/>
          <w:sz w:val="32"/>
          <w:szCs w:val="32"/>
        </w:rPr>
        <w:t>评估的等级</w:t>
      </w:r>
      <w:r>
        <w:rPr>
          <w:rFonts w:hint="eastAsia" w:ascii="仿宋_GB2312" w:eastAsia="仿宋_GB2312"/>
          <w:color w:val="auto"/>
          <w:sz w:val="32"/>
          <w:szCs w:val="32"/>
          <w:highlight w:val="none"/>
        </w:rPr>
        <w:t>为</w:t>
      </w:r>
      <w:r>
        <w:rPr>
          <w:rFonts w:hint="eastAsia" w:ascii="仿宋_GB2312" w:eastAsia="仿宋_GB2312"/>
          <w:b/>
          <w:color w:val="auto"/>
          <w:sz w:val="32"/>
          <w:szCs w:val="32"/>
          <w:highlight w:val="none"/>
        </w:rPr>
        <w:t>“</w:t>
      </w:r>
      <w:r>
        <w:rPr>
          <w:rFonts w:hint="eastAsia" w:ascii="仿宋_GB2312" w:eastAsia="仿宋_GB2312"/>
          <w:b/>
          <w:color w:val="auto"/>
          <w:sz w:val="32"/>
          <w:szCs w:val="32"/>
          <w:highlight w:val="none"/>
          <w:lang w:val="en-US" w:eastAsia="zh-CN"/>
        </w:rPr>
        <w:t>优秀</w:t>
      </w:r>
      <w:r>
        <w:rPr>
          <w:rFonts w:hint="eastAsia" w:ascii="仿宋_GB2312" w:eastAsia="仿宋_GB2312"/>
          <w:b/>
          <w:color w:val="auto"/>
          <w:sz w:val="32"/>
          <w:szCs w:val="32"/>
          <w:highlight w:val="none"/>
        </w:rPr>
        <w:t>”</w:t>
      </w:r>
      <w:r>
        <w:rPr>
          <w:rFonts w:hint="eastAsia" w:ascii="仿宋_GB2312" w:eastAsia="仿宋_GB2312"/>
          <w:b/>
          <w:color w:val="auto"/>
          <w:sz w:val="32"/>
          <w:szCs w:val="32"/>
          <w:highlight w:val="none"/>
          <w:lang w:eastAsia="zh-CN"/>
        </w:rPr>
        <w:t>（</w:t>
      </w:r>
      <w:r>
        <w:rPr>
          <w:rFonts w:hint="eastAsia" w:ascii="仿宋_GB2312" w:eastAsia="仿宋_GB2312"/>
          <w:b/>
          <w:color w:val="auto"/>
          <w:sz w:val="32"/>
          <w:szCs w:val="32"/>
          <w:highlight w:val="none"/>
          <w:lang w:val="en-US" w:eastAsia="zh-CN"/>
        </w:rPr>
        <w:t>90.26</w:t>
      </w:r>
      <w:r>
        <w:rPr>
          <w:rFonts w:ascii="仿宋_GB2312" w:eastAsia="仿宋_GB2312"/>
          <w:b/>
          <w:sz w:val="32"/>
          <w:szCs w:val="32"/>
          <w:highlight w:val="none"/>
          <w:lang w:val="en-US" w:eastAsia="zh-CN"/>
        </w:rPr>
        <w:t>分</w:t>
      </w:r>
      <w:r>
        <w:rPr>
          <w:rFonts w:hint="eastAsia" w:ascii="仿宋_GB2312" w:eastAsia="仿宋_GB2312"/>
          <w:b/>
          <w:color w:val="auto"/>
          <w:sz w:val="32"/>
          <w:szCs w:val="32"/>
          <w:highlight w:val="none"/>
          <w:lang w:eastAsia="zh-CN"/>
        </w:rPr>
        <w:t>）</w:t>
      </w:r>
      <w:r>
        <w:rPr>
          <w:rFonts w:hint="eastAsia" w:ascii="仿宋_GB2312" w:eastAsia="仿宋_GB2312"/>
          <w:color w:val="auto"/>
          <w:sz w:val="32"/>
          <w:szCs w:val="32"/>
        </w:rPr>
        <w:t>。</w:t>
      </w:r>
    </w:p>
    <w:p w14:paraId="28E8F28E">
      <w:pPr>
        <w:pStyle w:val="12"/>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ascii="仿宋_GB2312" w:eastAsia="仿宋_GB2312"/>
          <w:sz w:val="32"/>
          <w:szCs w:val="32"/>
          <w:lang w:val="en-US" w:eastAsia="zh-CN"/>
        </w:rPr>
      </w:pPr>
      <w:r>
        <w:rPr>
          <w:rFonts w:hint="eastAsia" w:ascii="仿宋_GB2312" w:eastAsia="仿宋_GB2312"/>
          <w:sz w:val="32"/>
          <w:szCs w:val="32"/>
          <w:lang w:val="en-US" w:eastAsia="zh-CN"/>
        </w:rPr>
        <w:t>以下是详细的评分情况：</w:t>
      </w:r>
    </w:p>
    <w:tbl>
      <w:tblPr>
        <w:tblStyle w:val="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8"/>
        <w:gridCol w:w="1471"/>
        <w:gridCol w:w="1481"/>
        <w:gridCol w:w="1717"/>
      </w:tblGrid>
      <w:tr w14:paraId="1FE2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48756686">
            <w:pPr>
              <w:pStyle w:val="12"/>
              <w:spacing w:after="0" w:line="560" w:lineRule="exact"/>
              <w:jc w:val="center"/>
              <w:rPr>
                <w:rFonts w:ascii="仿宋_GB2312" w:hAnsi="仿宋_GB2312" w:eastAsia="仿宋_GB2312" w:cs="仿宋_GB2312"/>
                <w:b/>
                <w:bCs/>
                <w:lang w:val="en-US" w:eastAsia="zh-CN"/>
              </w:rPr>
            </w:pPr>
            <w:bookmarkStart w:id="57" w:name="bookmark87"/>
            <w:r>
              <w:rPr>
                <w:rFonts w:hint="eastAsia" w:ascii="仿宋_GB2312" w:hAnsi="仿宋_GB2312" w:eastAsia="仿宋_GB2312" w:cs="仿宋_GB2312"/>
                <w:b/>
                <w:bCs/>
                <w:lang w:val="en-US" w:eastAsia="zh-CN"/>
              </w:rPr>
              <w:t>评估内容</w:t>
            </w:r>
          </w:p>
        </w:tc>
        <w:tc>
          <w:tcPr>
            <w:tcW w:w="727" w:type="pct"/>
            <w:vAlign w:val="center"/>
          </w:tcPr>
          <w:p w14:paraId="3A79ED65">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标准分</w:t>
            </w:r>
          </w:p>
        </w:tc>
        <w:tc>
          <w:tcPr>
            <w:tcW w:w="731" w:type="pct"/>
            <w:vAlign w:val="center"/>
          </w:tcPr>
          <w:p w14:paraId="0539EAE9">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评分</w:t>
            </w:r>
          </w:p>
        </w:tc>
        <w:tc>
          <w:tcPr>
            <w:tcW w:w="848" w:type="pct"/>
            <w:vAlign w:val="center"/>
          </w:tcPr>
          <w:p w14:paraId="20AB9C80">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折算分</w:t>
            </w:r>
          </w:p>
        </w:tc>
      </w:tr>
      <w:tr w14:paraId="1354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1E3B1906">
            <w:pPr>
              <w:widowControl/>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服务板块</w:t>
            </w:r>
          </w:p>
        </w:tc>
        <w:tc>
          <w:tcPr>
            <w:tcW w:w="727" w:type="pct"/>
            <w:vAlign w:val="center"/>
          </w:tcPr>
          <w:p w14:paraId="5D347ED9">
            <w:pPr>
              <w:pStyle w:val="12"/>
              <w:spacing w:after="0" w:line="560" w:lineRule="exact"/>
              <w:ind w:firstLine="0"/>
              <w:jc w:val="center"/>
              <w:rPr>
                <w:rFonts w:hint="default" w:ascii="仿宋_GB2312" w:eastAsia="仿宋_GB2312"/>
                <w:b w:val="0"/>
                <w:bCs w:val="0"/>
                <w:lang w:val="en-US" w:eastAsia="zh-CN"/>
              </w:rPr>
            </w:pPr>
            <w:r>
              <w:rPr>
                <w:rFonts w:hint="eastAsia" w:ascii="仿宋_GB2312" w:eastAsia="仿宋_GB2312"/>
                <w:b w:val="0"/>
                <w:bCs w:val="0"/>
                <w:lang w:val="en-US" w:eastAsia="zh-CN"/>
              </w:rPr>
              <w:t>55</w:t>
            </w:r>
          </w:p>
        </w:tc>
        <w:tc>
          <w:tcPr>
            <w:tcW w:w="731" w:type="pct"/>
            <w:vAlign w:val="center"/>
          </w:tcPr>
          <w:p w14:paraId="7657F8E9">
            <w:pPr>
              <w:pStyle w:val="12"/>
              <w:spacing w:after="0" w:line="560" w:lineRule="exact"/>
              <w:ind w:firstLine="0"/>
              <w:jc w:val="center"/>
              <w:rPr>
                <w:rFonts w:hint="default" w:ascii="仿宋_GB2312" w:eastAsia="仿宋_GB2312"/>
                <w:b w:val="0"/>
                <w:bCs w:val="0"/>
                <w:lang w:val="en-US" w:eastAsia="zh-CN"/>
              </w:rPr>
            </w:pPr>
            <w:r>
              <w:rPr>
                <w:rFonts w:hint="eastAsia" w:ascii="仿宋_GB2312" w:eastAsia="仿宋_GB2312"/>
                <w:b w:val="0"/>
                <w:bCs w:val="0"/>
                <w:lang w:val="en-US" w:eastAsia="zh-CN"/>
              </w:rPr>
              <w:t>46.86</w:t>
            </w:r>
          </w:p>
        </w:tc>
        <w:tc>
          <w:tcPr>
            <w:tcW w:w="848" w:type="pct"/>
            <w:vAlign w:val="center"/>
          </w:tcPr>
          <w:p w14:paraId="1D8827A3">
            <w:pPr>
              <w:pStyle w:val="12"/>
              <w:spacing w:after="0" w:line="560" w:lineRule="exact"/>
              <w:ind w:firstLine="0"/>
              <w:jc w:val="center"/>
              <w:rPr>
                <w:rFonts w:hint="default" w:ascii="仿宋_GB2312" w:eastAsia="仿宋_GB2312"/>
                <w:b w:val="0"/>
                <w:bCs w:val="0"/>
                <w:lang w:val="en-US" w:eastAsia="zh-CN"/>
              </w:rPr>
            </w:pPr>
            <w:r>
              <w:rPr>
                <w:rFonts w:hint="eastAsia" w:ascii="仿宋_GB2312" w:eastAsia="仿宋_GB2312"/>
                <w:b w:val="0"/>
                <w:bCs w:val="0"/>
                <w:lang w:val="en-US" w:eastAsia="zh-CN"/>
              </w:rPr>
              <w:t>46.86</w:t>
            </w:r>
          </w:p>
        </w:tc>
      </w:tr>
      <w:tr w14:paraId="2424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31298E26">
            <w:pPr>
              <w:widowControl/>
              <w:jc w:val="center"/>
              <w:textAlignment w:val="center"/>
              <w:rPr>
                <w:rFonts w:ascii="仿宋_GB2312" w:hAnsi="仿宋_GB2312" w:eastAsia="仿宋_GB2312" w:cs="仿宋_GB2312"/>
                <w:sz w:val="28"/>
                <w:szCs w:val="28"/>
                <w:lang w:eastAsia="zh-CN"/>
              </w:rPr>
            </w:pPr>
            <w:r>
              <w:rPr>
                <w:rStyle w:val="31"/>
                <w:rFonts w:hint="default" w:ascii="仿宋_GB2312" w:hAnsi="仿宋_GB2312" w:eastAsia="仿宋_GB2312" w:cs="仿宋_GB2312"/>
                <w:sz w:val="28"/>
                <w:szCs w:val="28"/>
                <w:lang w:eastAsia="zh-CN"/>
              </w:rPr>
              <w:t>购买方</w:t>
            </w:r>
          </w:p>
        </w:tc>
        <w:tc>
          <w:tcPr>
            <w:tcW w:w="727" w:type="pct"/>
            <w:vAlign w:val="center"/>
          </w:tcPr>
          <w:p w14:paraId="6367E455">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w:t>
            </w:r>
          </w:p>
        </w:tc>
        <w:tc>
          <w:tcPr>
            <w:tcW w:w="731" w:type="pct"/>
            <w:vAlign w:val="center"/>
          </w:tcPr>
          <w:p w14:paraId="1E58A27D">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c>
          <w:tcPr>
            <w:tcW w:w="848" w:type="pct"/>
            <w:vAlign w:val="center"/>
          </w:tcPr>
          <w:p w14:paraId="111229F5">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r>
      <w:tr w14:paraId="6C73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219CEBBB">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highlight w:val="none"/>
                <w:lang w:eastAsia="zh-CN"/>
              </w:rPr>
              <w:t>督导中心</w:t>
            </w:r>
          </w:p>
        </w:tc>
        <w:tc>
          <w:tcPr>
            <w:tcW w:w="727" w:type="pct"/>
            <w:vAlign w:val="center"/>
          </w:tcPr>
          <w:p w14:paraId="18072851">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15</w:t>
            </w:r>
          </w:p>
        </w:tc>
        <w:tc>
          <w:tcPr>
            <w:tcW w:w="731" w:type="pct"/>
            <w:vAlign w:val="center"/>
          </w:tcPr>
          <w:p w14:paraId="430D93D8">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w:t>
            </w:r>
          </w:p>
        </w:tc>
        <w:tc>
          <w:tcPr>
            <w:tcW w:w="848" w:type="pct"/>
            <w:vAlign w:val="center"/>
          </w:tcPr>
          <w:p w14:paraId="6280E4FD">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14.3</w:t>
            </w:r>
          </w:p>
        </w:tc>
      </w:tr>
      <w:tr w14:paraId="6351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22A171FB">
            <w:pPr>
              <w:widowControl/>
              <w:jc w:val="center"/>
              <w:textAlignment w:val="center"/>
              <w:rPr>
                <w:rFonts w:ascii="仿宋_GB2312" w:hAnsi="仿宋_GB2312" w:eastAsia="仿宋_GB2312" w:cs="仿宋_GB2312"/>
                <w:sz w:val="28"/>
                <w:szCs w:val="28"/>
                <w:highlight w:val="yellow"/>
                <w:lang w:eastAsia="zh-CN"/>
              </w:rPr>
            </w:pPr>
            <w:r>
              <w:rPr>
                <w:rFonts w:hint="default" w:ascii="仿宋_GB2312" w:hAnsi="仿宋_GB2312" w:eastAsia="仿宋_GB2312" w:cs="仿宋_GB2312"/>
                <w:sz w:val="28"/>
                <w:szCs w:val="28"/>
                <w:lang w:eastAsia="zh-CN"/>
              </w:rPr>
              <w:t>监督方</w:t>
            </w:r>
          </w:p>
        </w:tc>
        <w:tc>
          <w:tcPr>
            <w:tcW w:w="727" w:type="pct"/>
            <w:vAlign w:val="center"/>
          </w:tcPr>
          <w:p w14:paraId="45E7BE5C">
            <w:pPr>
              <w:widowControl/>
              <w:jc w:val="center"/>
              <w:textAlignment w:val="center"/>
              <w:rPr>
                <w:rFonts w:ascii="仿宋_GB2312" w:hAnsi="仿宋_GB2312" w:eastAsia="仿宋_GB2312" w:cs="仿宋_GB2312"/>
                <w:sz w:val="28"/>
                <w:szCs w:val="28"/>
                <w:highlight w:val="yellow"/>
                <w:lang w:eastAsia="zh-CN"/>
              </w:rPr>
            </w:pPr>
            <w:r>
              <w:rPr>
                <w:rFonts w:hint="eastAsia" w:ascii="仿宋_GB2312" w:hAnsi="仿宋_GB2312" w:eastAsia="仿宋_GB2312" w:cs="仿宋_GB2312"/>
                <w:sz w:val="28"/>
                <w:szCs w:val="28"/>
                <w:lang w:eastAsia="zh-CN"/>
              </w:rPr>
              <w:t>10</w:t>
            </w:r>
          </w:p>
        </w:tc>
        <w:tc>
          <w:tcPr>
            <w:tcW w:w="731" w:type="pct"/>
            <w:vAlign w:val="center"/>
          </w:tcPr>
          <w:p w14:paraId="2F97E9AC">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c>
          <w:tcPr>
            <w:tcW w:w="848" w:type="pct"/>
            <w:vAlign w:val="center"/>
          </w:tcPr>
          <w:p w14:paraId="5CBEC978">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r>
      <w:tr w14:paraId="2CD1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1" w:type="pct"/>
            <w:gridSpan w:val="3"/>
            <w:vAlign w:val="center"/>
          </w:tcPr>
          <w:p w14:paraId="5685C5D0">
            <w:pPr>
              <w:pStyle w:val="12"/>
              <w:spacing w:after="0" w:line="560" w:lineRule="exact"/>
              <w:ind w:firstLine="0"/>
              <w:jc w:val="center"/>
              <w:rPr>
                <w:rFonts w:ascii="仿宋_GB2312" w:eastAsia="仿宋_GB2312"/>
                <w:b/>
                <w:lang w:val="en-US" w:eastAsia="zh-CN"/>
              </w:rPr>
            </w:pPr>
            <w:r>
              <w:rPr>
                <w:rFonts w:hint="eastAsia" w:ascii="仿宋_GB2312" w:eastAsia="仿宋_GB2312"/>
                <w:b/>
                <w:lang w:val="en-US" w:eastAsia="zh-CN"/>
              </w:rPr>
              <w:t>总分</w:t>
            </w:r>
          </w:p>
        </w:tc>
        <w:tc>
          <w:tcPr>
            <w:tcW w:w="848" w:type="pct"/>
            <w:vAlign w:val="center"/>
          </w:tcPr>
          <w:p w14:paraId="4AF42EAE">
            <w:pPr>
              <w:widowControl/>
              <w:jc w:val="center"/>
              <w:textAlignment w:val="center"/>
              <w:rPr>
                <w:rFonts w:hint="default"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90.26</w:t>
            </w:r>
          </w:p>
        </w:tc>
      </w:tr>
    </w:tbl>
    <w:p w14:paraId="75E583A4">
      <w:pPr>
        <w:pStyle w:val="10"/>
        <w:keepNext/>
        <w:keepLines/>
        <w:pageBreakBefore w:val="0"/>
        <w:widowControl w:val="0"/>
        <w:kinsoku/>
        <w:wordWrap/>
        <w:overflowPunct/>
        <w:topLinePunct w:val="0"/>
        <w:autoSpaceDE/>
        <w:autoSpaceDN/>
        <w:bidi w:val="0"/>
        <w:adjustRightInd/>
        <w:snapToGrid/>
        <w:spacing w:before="0" w:after="0" w:line="540" w:lineRule="exact"/>
        <w:ind w:firstLine="643" w:firstLineChars="200"/>
        <w:jc w:val="both"/>
        <w:textAlignment w:val="auto"/>
        <w:rPr>
          <w:rFonts w:ascii="方正小标宋简体" w:eastAsia="方正小标宋简体"/>
          <w:b/>
          <w:bCs/>
          <w:color w:val="auto"/>
          <w:sz w:val="32"/>
          <w:szCs w:val="28"/>
          <w:lang w:val="en-US"/>
        </w:rPr>
      </w:pPr>
      <w:r>
        <w:rPr>
          <w:rFonts w:hint="eastAsia" w:ascii="方正小标宋简体" w:eastAsia="方正小标宋简体"/>
          <w:b/>
          <w:bCs/>
          <w:color w:val="auto"/>
          <w:sz w:val="32"/>
          <w:szCs w:val="28"/>
          <w:lang w:val="en-US"/>
        </w:rPr>
        <w:t>五</w:t>
      </w:r>
      <w:bookmarkEnd w:id="57"/>
      <w:r>
        <w:rPr>
          <w:rFonts w:hint="eastAsia" w:ascii="方正小标宋简体" w:eastAsia="方正小标宋简体"/>
          <w:b/>
          <w:bCs/>
          <w:color w:val="auto"/>
          <w:sz w:val="32"/>
          <w:szCs w:val="28"/>
          <w:lang w:val="en-US"/>
        </w:rPr>
        <w:t>、结语</w:t>
      </w:r>
    </w:p>
    <w:p w14:paraId="1BA35986">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default" w:ascii="仿宋_GB2312" w:eastAsia="仿宋_GB2312"/>
          <w:color w:val="auto"/>
          <w:sz w:val="32"/>
          <w:szCs w:val="32"/>
          <w:lang w:val="en-US" w:eastAsia="zh-CN"/>
        </w:rPr>
      </w:pPr>
      <w:r>
        <w:rPr>
          <w:rFonts w:hint="eastAsia" w:ascii="仿宋_GB2312" w:hAnsi="宋体" w:eastAsia="仿宋_GB2312"/>
          <w:color w:val="auto"/>
          <w:sz w:val="32"/>
          <w:szCs w:val="32"/>
          <w:lang w:val="en-US" w:eastAsia="zh-CN"/>
        </w:rPr>
        <w:t>化龙镇</w:t>
      </w:r>
      <w:r>
        <w:rPr>
          <w:rFonts w:hint="eastAsia" w:ascii="仿宋_GB2312" w:eastAsia="仿宋_GB2312"/>
          <w:color w:val="auto"/>
          <w:sz w:val="32"/>
          <w:szCs w:val="32"/>
        </w:rPr>
        <w:t>社工服务站在番禺区民政局、</w:t>
      </w:r>
      <w:r>
        <w:rPr>
          <w:rFonts w:hint="eastAsia" w:ascii="仿宋_GB2312" w:eastAsia="仿宋_GB2312"/>
          <w:color w:val="auto"/>
          <w:sz w:val="32"/>
          <w:szCs w:val="32"/>
          <w:lang w:val="en-US" w:eastAsia="zh-CN"/>
        </w:rPr>
        <w:t>化龙镇党委</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化龙镇人民政府</w:t>
      </w:r>
      <w:r>
        <w:rPr>
          <w:rFonts w:hint="eastAsia" w:ascii="仿宋_GB2312" w:eastAsia="仿宋_GB2312"/>
          <w:color w:val="auto"/>
          <w:sz w:val="32"/>
          <w:szCs w:val="32"/>
        </w:rPr>
        <w:t>的大力支持下，在</w:t>
      </w:r>
      <w:r>
        <w:rPr>
          <w:rFonts w:hint="eastAsia" w:ascii="仿宋_GB2312" w:eastAsia="仿宋_GB2312"/>
          <w:color w:val="auto"/>
          <w:sz w:val="32"/>
          <w:szCs w:val="32"/>
          <w:lang w:val="en-US" w:eastAsia="zh-CN"/>
        </w:rPr>
        <w:t>广州市番禺区普爱社会工作服务社</w:t>
      </w:r>
      <w:r>
        <w:rPr>
          <w:rFonts w:hint="eastAsia" w:ascii="仿宋_GB2312" w:eastAsia="仿宋_GB2312"/>
          <w:color w:val="auto"/>
          <w:sz w:val="32"/>
          <w:szCs w:val="32"/>
        </w:rPr>
        <w:t>的努力下，</w:t>
      </w:r>
      <w:r>
        <w:rPr>
          <w:rFonts w:hint="eastAsia" w:ascii="仿宋_GB2312" w:eastAsia="仿宋_GB2312"/>
          <w:color w:val="auto"/>
          <w:sz w:val="32"/>
          <w:szCs w:val="32"/>
          <w:lang w:eastAsia="zh-CN"/>
        </w:rPr>
        <w:t>能</w:t>
      </w:r>
      <w:r>
        <w:rPr>
          <w:rFonts w:hint="eastAsia" w:ascii="仿宋_GB2312" w:eastAsia="仿宋_GB2312"/>
          <w:color w:val="auto"/>
          <w:sz w:val="32"/>
          <w:szCs w:val="32"/>
          <w:lang w:val="en-US" w:eastAsia="zh-CN"/>
        </w:rPr>
        <w:t>坚持党的领导，积极配合镇政府的相关工作；社工站团队专业素质强，工作态度好；社工站建立有完善的服务制度和工作指引，线下社区宣传形式多元、内容扎实，站点线上地图、服务公开信息规范清晰。</w:t>
      </w:r>
      <w:r>
        <w:rPr>
          <w:rFonts w:hint="eastAsia" w:ascii="仿宋_GB2312" w:eastAsia="仿宋_GB2312"/>
          <w:color w:val="auto"/>
          <w:sz w:val="32"/>
          <w:szCs w:val="32"/>
          <w:lang w:eastAsia="zh-CN"/>
        </w:rPr>
        <w:t>结合辖区特点，充分发挥社会工作专业优势，持续打造围绕困难群众和特殊群体服务项目，有效链接辖区慈善资源和力量，积极开展各类活动，切实解决服务对象实际困难；注重案例提炼和经验总结，积极推广成熟做法，将服务实践转化为可复制、可推广的典型经验。</w:t>
      </w:r>
    </w:p>
    <w:p w14:paraId="39E7CB55">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建议社工站需要加强党的组织建设严谨性；进一步提升专业服务能力，做好日常探访电访服务与精准服务、深度服务的有效衔接，加强专业督导和培训，提升</w:t>
      </w:r>
      <w:r>
        <w:rPr>
          <w:rFonts w:hint="eastAsia" w:ascii="仿宋_GB2312" w:hAnsi="宋体" w:eastAsia="仿宋_GB2312"/>
          <w:color w:val="auto"/>
          <w:sz w:val="32"/>
          <w:szCs w:val="32"/>
          <w:lang w:val="en-US" w:eastAsia="zh-CN"/>
        </w:rPr>
        <w:t>项目平台工作管理水平</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细化“建档及动态管理”“分级分类服务”和“专业个案介入”服务的做法，探索思考创新机制和模式。盘活辖区社会慈善资源，落实清单化摸排、项目化对接、常态化维护、平台化承载，从“零散找资源”转向“系统化运营公益生态”，充分发挥社创综合体、社区慈善基金、校社合作、本土企业乡贤优势，提升资源链接持续性、精准度与实际转化成效。</w:t>
      </w:r>
    </w:p>
    <w:p w14:paraId="54320EC6">
      <w:pPr>
        <w:pStyle w:val="12"/>
        <w:pageBreakBefore w:val="0"/>
        <w:widowControl w:val="0"/>
        <w:kinsoku/>
        <w:wordWrap/>
        <w:overflowPunct/>
        <w:topLinePunct w:val="0"/>
        <w:autoSpaceDE/>
        <w:autoSpaceDN/>
        <w:bidi w:val="0"/>
        <w:adjustRightInd/>
        <w:snapToGrid/>
        <w:spacing w:after="160" w:line="540" w:lineRule="exact"/>
        <w:ind w:firstLine="640"/>
        <w:jc w:val="both"/>
        <w:textAlignment w:val="auto"/>
        <w:rPr>
          <w:rFonts w:ascii="仿宋_GB2312" w:eastAsia="仿宋_GB2312"/>
          <w:color w:val="auto"/>
          <w:sz w:val="32"/>
          <w:szCs w:val="32"/>
        </w:rPr>
      </w:pPr>
      <w:r>
        <w:rPr>
          <w:rFonts w:hint="eastAsia" w:ascii="仿宋_GB2312" w:eastAsia="仿宋_GB2312"/>
          <w:color w:val="auto"/>
          <w:sz w:val="32"/>
          <w:szCs w:val="32"/>
        </w:rPr>
        <w:t>附件：</w:t>
      </w:r>
      <w:r>
        <w:rPr>
          <w:rFonts w:hint="eastAsia" w:ascii="仿宋_GB2312" w:hAnsi="Times New Roman" w:eastAsia="仿宋_GB2312" w:cs="Times New Roman"/>
          <w:color w:val="auto"/>
          <w:sz w:val="32"/>
          <w:szCs w:val="32"/>
        </w:rPr>
        <w:t>1</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社工服务站指标完成情况统计表</w:t>
      </w:r>
    </w:p>
    <w:p w14:paraId="4EE3B2C0">
      <w:pPr>
        <w:pageBreakBefore w:val="0"/>
        <w:widowControl w:val="0"/>
        <w:tabs>
          <w:tab w:val="left" w:pos="7330"/>
        </w:tabs>
        <w:kinsoku/>
        <w:wordWrap/>
        <w:overflowPunct/>
        <w:topLinePunct w:val="0"/>
        <w:autoSpaceDE/>
        <w:autoSpaceDN/>
        <w:bidi w:val="0"/>
        <w:adjustRightInd/>
        <w:snapToGrid/>
        <w:spacing w:line="540" w:lineRule="exact"/>
        <w:ind w:firstLine="1600" w:firstLineChars="500"/>
        <w:jc w:val="both"/>
        <w:textAlignment w:val="auto"/>
        <w:rPr>
          <w:rFonts w:hint="eastAsia" w:ascii="仿宋_GB2312" w:eastAsia="仿宋_GB2312"/>
          <w:color w:val="auto"/>
          <w:sz w:val="32"/>
          <w:szCs w:val="32"/>
        </w:rPr>
      </w:pPr>
      <w:r>
        <w:rPr>
          <w:rFonts w:hint="eastAsia" w:ascii="仿宋_GB2312" w:hAnsi="Times New Roman" w:eastAsia="仿宋_GB2312" w:cs="Times New Roman"/>
          <w:color w:val="auto"/>
          <w:sz w:val="32"/>
          <w:szCs w:val="32"/>
        </w:rPr>
        <w:t>2</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化龙镇</w:t>
      </w:r>
      <w:r>
        <w:rPr>
          <w:rFonts w:hint="eastAsia" w:ascii="仿宋_GB2312" w:eastAsia="仿宋_GB2312"/>
          <w:color w:val="auto"/>
          <w:sz w:val="32"/>
          <w:szCs w:val="32"/>
        </w:rPr>
        <w:t>社工服务站工作人员情况统计表</w:t>
      </w:r>
    </w:p>
    <w:p w14:paraId="23A4EBEB">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eastAsia="仿宋_GB2312"/>
          <w:color w:val="auto"/>
          <w:sz w:val="32"/>
          <w:szCs w:val="32"/>
          <w:lang w:eastAsia="zh-CN"/>
        </w:rPr>
      </w:pPr>
    </w:p>
    <w:p w14:paraId="144B7C63">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eastAsia="仿宋_GB2312"/>
          <w:color w:val="auto"/>
          <w:sz w:val="32"/>
          <w:szCs w:val="32"/>
          <w:lang w:eastAsia="zh-CN"/>
        </w:rPr>
      </w:pPr>
    </w:p>
    <w:p w14:paraId="64C4013F">
      <w:pPr>
        <w:pageBreakBefore w:val="0"/>
        <w:widowControl w:val="0"/>
        <w:tabs>
          <w:tab w:val="left" w:pos="7330"/>
        </w:tabs>
        <w:kinsoku/>
        <w:wordWrap/>
        <w:overflowPunct/>
        <w:topLinePunct w:val="0"/>
        <w:autoSpaceDE/>
        <w:autoSpaceDN/>
        <w:bidi w:val="0"/>
        <w:adjustRightInd/>
        <w:snapToGrid/>
        <w:spacing w:line="540" w:lineRule="exact"/>
        <w:jc w:val="both"/>
        <w:textAlignment w:val="auto"/>
        <w:rPr>
          <w:rFonts w:hint="eastAsia" w:ascii="仿宋_GB2312" w:eastAsia="仿宋_GB2312"/>
          <w:color w:val="auto"/>
          <w:sz w:val="32"/>
          <w:szCs w:val="32"/>
          <w:lang w:eastAsia="zh-CN"/>
        </w:rPr>
      </w:pPr>
    </w:p>
    <w:p w14:paraId="50666B9C">
      <w:pPr>
        <w:tabs>
          <w:tab w:val="left" w:pos="7330"/>
        </w:tabs>
        <w:spacing w:line="560" w:lineRule="exact"/>
        <w:ind w:firstLine="5120" w:firstLineChars="1600"/>
        <w:jc w:val="both"/>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广州市番禺区社会组织联合会</w:t>
      </w:r>
    </w:p>
    <w:p w14:paraId="3D397CC0">
      <w:pPr>
        <w:pStyle w:val="12"/>
        <w:spacing w:after="160" w:line="360" w:lineRule="auto"/>
        <w:ind w:firstLine="6080" w:firstLineChars="1900"/>
        <w:rPr>
          <w:rFonts w:hint="default"/>
          <w:lang w:val="en-US" w:eastAsia="zh-CN"/>
        </w:rPr>
      </w:pP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3日</w:t>
      </w:r>
      <w:bookmarkStart w:id="58" w:name="_GoBack"/>
      <w:bookmarkEnd w:id="58"/>
    </w:p>
    <w:sectPr>
      <w:footerReference r:id="rId3" w:type="default"/>
      <w:footerReference r:id="rId4" w:type="even"/>
      <w:pgSz w:w="11900" w:h="16840"/>
      <w:pgMar w:top="1301" w:right="876" w:bottom="1373" w:left="885" w:header="457" w:footer="44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3850">
    <w:pPr>
      <w:pStyle w:val="4"/>
    </w:pPr>
    <w:r>
      <w:rPr>
        <w:lang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2ED7F4E">
                          <w:pPr>
                            <w:pStyle w:val="4"/>
                          </w:pPr>
                          <w:r>
                            <w:fldChar w:fldCharType="begin"/>
                          </w:r>
                          <w:r>
                            <w:instrText xml:space="preserve"> PAGE  \* MERGEFORMAT </w:instrText>
                          </w:r>
                          <w:r>
                            <w:fldChar w:fldCharType="separate"/>
                          </w:r>
                          <w:r>
                            <w:t>19</w:t>
                          </w:r>
                          <w: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Eb63XJAQAAk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cgLw7tjpPKZWyo2Vpg4UKuyumms0iw8zvOth19p+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8RvrdckBAACSAwAADgAAAAAAAAABACAAAAAfAQAAZHJzL2Uyb0Rv&#10;Yy54bWxQSwUGAAAAAAYABgBZAQAAWgUAAAAA&#10;">
              <v:fill on="f" focussize="0,0"/>
              <v:stroke on="f"/>
              <v:imagedata o:title=""/>
              <o:lock v:ext="edit" aspectratio="f"/>
              <v:textbox inset="0mm,0mm,0mm,0mm" style="mso-fit-shape-to-text:t;">
                <w:txbxContent>
                  <w:p w14:paraId="32ED7F4E">
                    <w:pPr>
                      <w:pStyle w:val="4"/>
                    </w:pPr>
                    <w:r>
                      <w:fldChar w:fldCharType="begin"/>
                    </w:r>
                    <w:r>
                      <w:instrText xml:space="preserve"> PAGE  \* MERGEFORMAT </w:instrText>
                    </w:r>
                    <w:r>
                      <w:fldChar w:fldCharType="separate"/>
                    </w:r>
                    <w:r>
                      <w:t>19</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4BD6">
    <w:pPr>
      <w:pStyle w:val="4"/>
    </w:pPr>
    <w:r>
      <w:rPr>
        <w:lang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87C4D5D">
                          <w:pPr>
                            <w:pStyle w:val="4"/>
                          </w:pPr>
                          <w:r>
                            <w:fldChar w:fldCharType="begin"/>
                          </w:r>
                          <w:r>
                            <w:instrText xml:space="preserve"> PAGE  \* MERGEFORMAT </w:instrText>
                          </w:r>
                          <w:r>
                            <w:fldChar w:fldCharType="separate"/>
                          </w:r>
                          <w:r>
                            <w:t>18</w:t>
                          </w:r>
                          <w: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HwkrQrKAQAAkgMAAA4AAAAAAAAAAQAgAAAAHwEAAGRycy9lMm9E&#10;b2MueG1sUEsFBgAAAAAGAAYAWQEAAFsFAAAAAA==&#10;">
              <v:fill on="f" focussize="0,0"/>
              <v:stroke on="f"/>
              <v:imagedata o:title=""/>
              <o:lock v:ext="edit" aspectratio="f"/>
              <v:textbox inset="0mm,0mm,0mm,0mm" style="mso-fit-shape-to-text:t;">
                <w:txbxContent>
                  <w:p w14:paraId="287C4D5D">
                    <w:pPr>
                      <w:pStyle w:val="4"/>
                    </w:pPr>
                    <w:r>
                      <w:fldChar w:fldCharType="begin"/>
                    </w:r>
                    <w:r>
                      <w:instrText xml:space="preserve"> PAGE  \* MERGEFORMAT </w:instrText>
                    </w:r>
                    <w:r>
                      <w:fldChar w:fldCharType="separate"/>
                    </w:r>
                    <w:r>
                      <w:t>18</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7"/>
      <w:numFmt w:val="chineseCounting"/>
      <w:suff w:val="nothing"/>
      <w:lvlText w:val="（%1）"/>
      <w:lvlJc w:val="left"/>
      <w:rPr>
        <w:rFonts w:hint="eastAsia"/>
      </w:rPr>
    </w:lvl>
  </w:abstractNum>
  <w:abstractNum w:abstractNumId="1">
    <w:nsid w:val="00000004"/>
    <w:multiLevelType w:val="singleLevel"/>
    <w:tmpl w:val="00000004"/>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abstractNum w:abstractNumId="2">
    <w:nsid w:val="00000005"/>
    <w:multiLevelType w:val="singleLevel"/>
    <w:tmpl w:val="00000005"/>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abstractNum w:abstractNumId="3">
    <w:nsid w:val="00000006"/>
    <w:multiLevelType w:val="singleLevel"/>
    <w:tmpl w:val="00000006"/>
    <w:lvl w:ilvl="0" w:tentative="0">
      <w:start w:val="1"/>
      <w:numFmt w:val="decimal"/>
      <w:lvlText w:val="%1."/>
      <w:lvlJc w:val="left"/>
      <w:rPr>
        <w:rFonts w:ascii="Times New Roman" w:hAnsi="Times New Roman" w:eastAsia="Times New Roman" w:cs="Times New Roman"/>
        <w:b/>
        <w:bCs/>
        <w:i w:val="0"/>
        <w:iCs w:val="0"/>
        <w:smallCaps w:val="0"/>
        <w:color w:val="000000"/>
        <w:spacing w:val="0"/>
        <w:w w:val="100"/>
        <w:position w:val="0"/>
        <w:sz w:val="30"/>
        <w:szCs w:val="30"/>
        <w:u w:val="none"/>
        <w:shd w:val="clear" w:color="auto" w:fill="auto"/>
        <w:lang w:val="zh-TW" w:eastAsia="zh-TW" w:bidi="zh-TW"/>
      </w:rPr>
    </w:lvl>
  </w:abstractNum>
  <w:abstractNum w:abstractNumId="4">
    <w:nsid w:val="00000007"/>
    <w:multiLevelType w:val="singleLevel"/>
    <w:tmpl w:val="00000007"/>
    <w:lvl w:ilvl="0" w:tentative="0">
      <w:start w:val="1"/>
      <w:numFmt w:val="decimal"/>
      <w:lvlText w:val="%1."/>
      <w:lvlJc w:val="left"/>
      <w:rPr>
        <w:rFonts w:ascii="仿宋" w:hAnsi="仿宋" w:eastAsia="仿宋" w:cs="Times New Roman"/>
        <w:b/>
        <w:bCs w:val="0"/>
        <w:i w:val="0"/>
        <w:iCs w:val="0"/>
        <w:smallCaps w:val="0"/>
        <w:color w:val="000000"/>
        <w:spacing w:val="0"/>
        <w:w w:val="100"/>
        <w:position w:val="0"/>
        <w:sz w:val="32"/>
        <w:szCs w:val="28"/>
        <w:u w:val="none"/>
        <w:shd w:val="clear" w:color="auto" w:fill="auto"/>
        <w:lang w:val="zh-TW" w:eastAsia="zh-TW" w:bidi="zh-TW"/>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81"/>
  <w:drawingGridVerticalSpacing w:val="181"/>
  <w:displayHorizontalDrawingGridEvery w:val="1"/>
  <w:displayVerticalDrawingGridEvery w:val="1"/>
  <w:noPunctuationKerning w:val="1"/>
  <w:characterSpacingControl w:val="compressPunctuation"/>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E1722B"/>
    <w:rsid w:val="2AAF24C3"/>
    <w:rsid w:val="495B0655"/>
    <w:rsid w:val="4BD50ABE"/>
    <w:rsid w:val="57C97173"/>
    <w:rsid w:val="74C07CAE"/>
    <w:rsid w:val="7ACE2838"/>
    <w:rsid w:val="7D0E2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2"/>
    <w:basedOn w:val="1"/>
    <w:next w:val="1"/>
    <w:qFormat/>
    <w:uiPriority w:val="0"/>
    <w:pPr>
      <w:keepNext/>
      <w:keepLines/>
      <w:spacing w:before="260" w:after="260" w:line="413" w:lineRule="auto"/>
      <w:outlineLvl w:val="1"/>
    </w:pPr>
    <w:rPr>
      <w:rFonts w:ascii="Arial" w:hAnsi="Arial" w:eastAsia="宋体"/>
      <w:b/>
      <w:sz w:val="32"/>
    </w:rPr>
  </w:style>
  <w:style w:type="character" w:default="1" w:styleId="8">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3">
    <w:name w:val="Body Text"/>
    <w:basedOn w:val="1"/>
    <w:link w:val="30"/>
    <w:qFormat/>
    <w:uiPriority w:val="0"/>
    <w:pPr>
      <w:spacing w:after="120"/>
    </w:pPr>
  </w:style>
  <w:style w:type="paragraph" w:styleId="4">
    <w:name w:val="footer"/>
    <w:basedOn w:val="1"/>
    <w:link w:val="28"/>
    <w:qFormat/>
    <w:uiPriority w:val="0"/>
    <w:pPr>
      <w:tabs>
        <w:tab w:val="center" w:pos="4153"/>
        <w:tab w:val="right" w:pos="8306"/>
      </w:tabs>
      <w:snapToGrid w:val="0"/>
    </w:pPr>
    <w:rPr>
      <w:sz w:val="18"/>
      <w:szCs w:val="18"/>
    </w:rPr>
  </w:style>
  <w:style w:type="paragraph" w:styleId="5">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1_"/>
    <w:basedOn w:val="8"/>
    <w:link w:val="10"/>
    <w:qFormat/>
    <w:uiPriority w:val="0"/>
    <w:rPr>
      <w:rFonts w:ascii="宋体" w:hAnsi="宋体" w:eastAsia="宋体" w:cs="宋体"/>
      <w:sz w:val="40"/>
      <w:szCs w:val="40"/>
      <w:u w:val="none"/>
      <w:shd w:val="clear" w:color="auto" w:fill="auto"/>
      <w:lang w:val="zh-TW" w:eastAsia="zh-TW" w:bidi="zh-TW"/>
    </w:rPr>
  </w:style>
  <w:style w:type="paragraph" w:customStyle="1" w:styleId="10">
    <w:name w:val="Heading #1|1"/>
    <w:basedOn w:val="1"/>
    <w:link w:val="9"/>
    <w:qFormat/>
    <w:uiPriority w:val="0"/>
    <w:pPr>
      <w:spacing w:before="320" w:after="4320" w:line="541" w:lineRule="exact"/>
      <w:jc w:val="center"/>
      <w:outlineLvl w:val="0"/>
    </w:pPr>
    <w:rPr>
      <w:rFonts w:ascii="宋体" w:hAnsi="宋体" w:eastAsia="宋体" w:cs="宋体"/>
      <w:sz w:val="40"/>
      <w:szCs w:val="40"/>
      <w:lang w:val="zh-TW" w:eastAsia="zh-TW" w:bidi="zh-TW"/>
    </w:rPr>
  </w:style>
  <w:style w:type="character" w:customStyle="1" w:styleId="11">
    <w:name w:val="Body text|1_"/>
    <w:basedOn w:val="8"/>
    <w:link w:val="12"/>
    <w:qFormat/>
    <w:uiPriority w:val="0"/>
    <w:rPr>
      <w:rFonts w:ascii="宋体" w:hAnsi="宋体" w:eastAsia="宋体" w:cs="宋体"/>
      <w:sz w:val="28"/>
      <w:szCs w:val="28"/>
      <w:u w:val="none"/>
      <w:shd w:val="clear" w:color="auto" w:fill="auto"/>
      <w:lang w:val="zh-TW" w:eastAsia="zh-TW" w:bidi="zh-TW"/>
    </w:rPr>
  </w:style>
  <w:style w:type="paragraph" w:customStyle="1" w:styleId="12">
    <w:name w:val="Body text|1"/>
    <w:basedOn w:val="1"/>
    <w:link w:val="11"/>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13">
    <w:name w:val="Header or footer|2_"/>
    <w:basedOn w:val="8"/>
    <w:link w:val="14"/>
    <w:qFormat/>
    <w:uiPriority w:val="0"/>
    <w:rPr>
      <w:sz w:val="20"/>
      <w:szCs w:val="20"/>
      <w:u w:val="none"/>
      <w:shd w:val="clear" w:color="auto" w:fill="auto"/>
      <w:lang w:val="zh-TW" w:eastAsia="zh-TW" w:bidi="zh-TW"/>
    </w:rPr>
  </w:style>
  <w:style w:type="paragraph" w:customStyle="1" w:styleId="14">
    <w:name w:val="Header or footer|2"/>
    <w:basedOn w:val="1"/>
    <w:link w:val="13"/>
    <w:qFormat/>
    <w:uiPriority w:val="0"/>
    <w:rPr>
      <w:sz w:val="20"/>
      <w:szCs w:val="20"/>
      <w:lang w:val="zh-TW" w:eastAsia="zh-TW" w:bidi="zh-TW"/>
    </w:rPr>
  </w:style>
  <w:style w:type="character" w:customStyle="1" w:styleId="15">
    <w:name w:val="Header or footer|1_"/>
    <w:basedOn w:val="8"/>
    <w:link w:val="16"/>
    <w:qFormat/>
    <w:uiPriority w:val="0"/>
    <w:rPr>
      <w:rFonts w:ascii="宋体" w:hAnsi="宋体" w:eastAsia="宋体" w:cs="宋体"/>
      <w:sz w:val="26"/>
      <w:szCs w:val="26"/>
      <w:u w:val="none"/>
      <w:shd w:val="clear" w:color="auto" w:fill="auto"/>
      <w:lang w:val="zh-TW" w:eastAsia="zh-TW" w:bidi="zh-TW"/>
    </w:rPr>
  </w:style>
  <w:style w:type="paragraph" w:customStyle="1" w:styleId="16">
    <w:name w:val="Header or footer|1"/>
    <w:basedOn w:val="1"/>
    <w:link w:val="15"/>
    <w:qFormat/>
    <w:uiPriority w:val="0"/>
    <w:rPr>
      <w:rFonts w:ascii="宋体" w:hAnsi="宋体" w:eastAsia="宋体" w:cs="宋体"/>
      <w:sz w:val="26"/>
      <w:szCs w:val="26"/>
      <w:lang w:val="zh-TW" w:eastAsia="zh-TW" w:bidi="zh-TW"/>
    </w:rPr>
  </w:style>
  <w:style w:type="character" w:customStyle="1" w:styleId="17">
    <w:name w:val="Body text|2_"/>
    <w:basedOn w:val="8"/>
    <w:link w:val="18"/>
    <w:qFormat/>
    <w:uiPriority w:val="0"/>
    <w:rPr>
      <w:rFonts w:ascii="宋体" w:hAnsi="宋体" w:eastAsia="宋体" w:cs="宋体"/>
      <w:sz w:val="22"/>
      <w:szCs w:val="22"/>
      <w:u w:val="none"/>
      <w:shd w:val="clear" w:color="auto" w:fill="auto"/>
      <w:lang w:val="zh-TW" w:eastAsia="zh-TW" w:bidi="zh-TW"/>
    </w:rPr>
  </w:style>
  <w:style w:type="paragraph" w:customStyle="1" w:styleId="18">
    <w:name w:val="Body text|2"/>
    <w:basedOn w:val="1"/>
    <w:link w:val="17"/>
    <w:qFormat/>
    <w:uiPriority w:val="0"/>
    <w:pPr>
      <w:spacing w:after="240"/>
    </w:pPr>
    <w:rPr>
      <w:rFonts w:ascii="宋体" w:hAnsi="宋体" w:eastAsia="宋体" w:cs="宋体"/>
      <w:sz w:val="22"/>
      <w:szCs w:val="22"/>
      <w:lang w:val="zh-TW" w:eastAsia="zh-TW" w:bidi="zh-TW"/>
    </w:rPr>
  </w:style>
  <w:style w:type="character" w:customStyle="1" w:styleId="19">
    <w:name w:val="Other|1_"/>
    <w:basedOn w:val="8"/>
    <w:link w:val="20"/>
    <w:qFormat/>
    <w:uiPriority w:val="0"/>
    <w:rPr>
      <w:rFonts w:ascii="宋体" w:hAnsi="宋体" w:eastAsia="宋体" w:cs="宋体"/>
      <w:sz w:val="28"/>
      <w:szCs w:val="28"/>
      <w:u w:val="none"/>
      <w:shd w:val="clear" w:color="auto" w:fill="auto"/>
      <w:lang w:val="zh-TW" w:eastAsia="zh-TW" w:bidi="zh-TW"/>
    </w:rPr>
  </w:style>
  <w:style w:type="paragraph" w:customStyle="1" w:styleId="20">
    <w:name w:val="Other|1"/>
    <w:basedOn w:val="1"/>
    <w:link w:val="19"/>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21">
    <w:name w:val="Other|2_"/>
    <w:basedOn w:val="8"/>
    <w:link w:val="22"/>
    <w:qFormat/>
    <w:uiPriority w:val="0"/>
    <w:rPr>
      <w:rFonts w:ascii="宋体" w:hAnsi="宋体" w:eastAsia="宋体" w:cs="宋体"/>
      <w:sz w:val="15"/>
      <w:szCs w:val="15"/>
      <w:u w:val="none"/>
      <w:shd w:val="clear" w:color="auto" w:fill="auto"/>
      <w:lang w:val="zh-TW" w:eastAsia="zh-TW" w:bidi="zh-TW"/>
    </w:rPr>
  </w:style>
  <w:style w:type="paragraph" w:customStyle="1" w:styleId="22">
    <w:name w:val="Other|2"/>
    <w:basedOn w:val="1"/>
    <w:link w:val="21"/>
    <w:qFormat/>
    <w:uiPriority w:val="0"/>
    <w:pPr>
      <w:spacing w:line="177" w:lineRule="exact"/>
      <w:jc w:val="center"/>
    </w:pPr>
    <w:rPr>
      <w:rFonts w:ascii="宋体" w:hAnsi="宋体" w:eastAsia="宋体" w:cs="宋体"/>
      <w:sz w:val="15"/>
      <w:szCs w:val="15"/>
      <w:lang w:val="zh-TW" w:eastAsia="zh-TW" w:bidi="zh-TW"/>
    </w:rPr>
  </w:style>
  <w:style w:type="character" w:customStyle="1" w:styleId="23">
    <w:name w:val="Body text|3_"/>
    <w:basedOn w:val="8"/>
    <w:link w:val="24"/>
    <w:qFormat/>
    <w:uiPriority w:val="0"/>
    <w:rPr>
      <w:rFonts w:ascii="宋体" w:hAnsi="宋体" w:eastAsia="宋体" w:cs="宋体"/>
      <w:sz w:val="15"/>
      <w:szCs w:val="15"/>
      <w:u w:val="none"/>
      <w:shd w:val="clear" w:color="auto" w:fill="auto"/>
      <w:lang w:val="zh-TW" w:eastAsia="zh-TW" w:bidi="zh-TW"/>
    </w:rPr>
  </w:style>
  <w:style w:type="paragraph" w:customStyle="1" w:styleId="24">
    <w:name w:val="Body text|3"/>
    <w:basedOn w:val="1"/>
    <w:link w:val="23"/>
    <w:qFormat/>
    <w:uiPriority w:val="0"/>
    <w:rPr>
      <w:rFonts w:ascii="宋体" w:hAnsi="宋体" w:eastAsia="宋体" w:cs="宋体"/>
      <w:sz w:val="15"/>
      <w:szCs w:val="15"/>
      <w:lang w:val="zh-TW" w:eastAsia="zh-TW" w:bidi="zh-TW"/>
    </w:rPr>
  </w:style>
  <w:style w:type="character" w:customStyle="1" w:styleId="25">
    <w:name w:val="Picture caption|1_"/>
    <w:basedOn w:val="8"/>
    <w:link w:val="26"/>
    <w:qFormat/>
    <w:uiPriority w:val="0"/>
    <w:rPr>
      <w:rFonts w:ascii="宋体" w:hAnsi="宋体" w:eastAsia="宋体" w:cs="宋体"/>
      <w:sz w:val="20"/>
      <w:szCs w:val="20"/>
      <w:u w:val="none"/>
      <w:shd w:val="clear" w:color="auto" w:fill="auto"/>
      <w:lang w:val="zh-TW" w:eastAsia="zh-TW" w:bidi="zh-TW"/>
    </w:rPr>
  </w:style>
  <w:style w:type="paragraph" w:customStyle="1" w:styleId="26">
    <w:name w:val="Picture caption|1"/>
    <w:basedOn w:val="1"/>
    <w:link w:val="25"/>
    <w:qFormat/>
    <w:uiPriority w:val="0"/>
    <w:pPr>
      <w:jc w:val="center"/>
    </w:pPr>
    <w:rPr>
      <w:rFonts w:ascii="宋体" w:hAnsi="宋体" w:eastAsia="宋体" w:cs="宋体"/>
      <w:sz w:val="20"/>
      <w:szCs w:val="20"/>
      <w:lang w:val="zh-TW" w:eastAsia="zh-TW" w:bidi="zh-TW"/>
    </w:rPr>
  </w:style>
  <w:style w:type="character" w:customStyle="1" w:styleId="27">
    <w:name w:val="页眉 Char"/>
    <w:basedOn w:val="8"/>
    <w:link w:val="5"/>
    <w:qFormat/>
    <w:uiPriority w:val="0"/>
    <w:rPr>
      <w:rFonts w:eastAsia="Times New Roman"/>
      <w:color w:val="000000"/>
      <w:sz w:val="18"/>
      <w:szCs w:val="18"/>
      <w:lang w:eastAsia="en-US" w:bidi="en-US"/>
    </w:rPr>
  </w:style>
  <w:style w:type="character" w:customStyle="1" w:styleId="28">
    <w:name w:val="页脚 Char"/>
    <w:basedOn w:val="8"/>
    <w:link w:val="4"/>
    <w:qFormat/>
    <w:uiPriority w:val="0"/>
    <w:rPr>
      <w:rFonts w:eastAsia="Times New Roman"/>
      <w:color w:val="000000"/>
      <w:sz w:val="18"/>
      <w:szCs w:val="18"/>
      <w:lang w:eastAsia="en-US" w:bidi="en-US"/>
    </w:rPr>
  </w:style>
  <w:style w:type="paragraph" w:customStyle="1" w:styleId="29">
    <w:name w:val="NOTE_Normal"/>
    <w:basedOn w:val="1"/>
    <w:next w:val="3"/>
    <w:qFormat/>
    <w:uiPriority w:val="0"/>
    <w:pPr>
      <w:spacing w:after="160" w:line="259" w:lineRule="auto"/>
      <w:jc w:val="both"/>
    </w:pPr>
    <w:rPr>
      <w:rFonts w:ascii="Calibri" w:hAnsi="Calibri" w:eastAsia="宋体" w:cs="Arial"/>
      <w:color w:val="auto"/>
      <w:kern w:val="2"/>
      <w:sz w:val="21"/>
      <w:lang w:eastAsia="zh-CN" w:bidi="ar-SA"/>
    </w:rPr>
  </w:style>
  <w:style w:type="character" w:customStyle="1" w:styleId="30">
    <w:name w:val="正文文本 Char"/>
    <w:basedOn w:val="8"/>
    <w:link w:val="3"/>
    <w:qFormat/>
    <w:uiPriority w:val="0"/>
    <w:rPr>
      <w:rFonts w:eastAsia="Times New Roman"/>
      <w:color w:val="000000"/>
      <w:sz w:val="24"/>
      <w:szCs w:val="24"/>
      <w:lang w:eastAsia="en-US" w:bidi="en-US"/>
    </w:rPr>
  </w:style>
  <w:style w:type="character" w:customStyle="1" w:styleId="31">
    <w:name w:val="font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22228430-2634-4941-9d6b-346fc9224739</errorID>
      <errorWord>，以及</errorWord>
      <group>L1_Grammar</group>
      <groupName>语法问题</groupName>
      <ability>L2_Grammar</ability>
      <abilityName>语法错误</abilityName>
      <candidateList>
        <item>和</item>
      </candidateList>
      <explain/>
      <paraID>71A973CD</paraID>
      <start>79</start>
      <end>80</end>
      <status>modified</status>
      <modifiedWord>和</modifiedWord>
      <trackRevisions>false</trackRevisions>
    </reviewItem>
    <reviewItem>
      <errorID>2b20ceaa-71ba-40b9-a9d6-d26a38a1e353</errorID>
      <errorWord>成效体现</errorWord>
      <group>L1_Grammar</group>
      <groupName>语法问题</groupName>
      <ability>L2_Grammar</ability>
      <abilityName>语法错误</abilityName>
      <candidateList>
        <item>成效</item>
      </candidateList>
      <explain/>
      <paraID>71A973CD</paraID>
      <start>82</start>
      <end>84</end>
      <status>modified</status>
      <modifiedWord>成效</modifiedWord>
      <trackRevisions>false</trackRevisions>
    </reviewItem>
    <reviewItem>
      <errorID>b91c76b0-3957-4f8d-8dc8-c11b032400f8</errorID>
      <errorWord>、面谈（</errorWord>
      <group>L1_Grammar</group>
      <groupName>语法问题</groupName>
      <ability>L2_Grammar</ability>
      <abilityName>语法错误</abilityName>
      <candidateList>
        <item>、</item>
      </candidateList>
      <explain/>
      <paraID> 6A68373</paraID>
      <start>80</start>
      <end>84</end>
      <status>unmodified</status>
      <modifiedWord/>
      <trackRevisions>false</trackRevisions>
    </reviewItem>
    <reviewItem>
      <errorID>d5e989b3-90a1-45c3-bca3-ffde6b2329e6</errorID>
      <errorWord>）</errorWord>
      <group>L1_Punc</group>
      <groupName>标点问题</groupName>
      <ability>L2_Punc_CN</ability>
      <abilityName>标点符号问题</abilityName>
      <candidateList>
        <item/>
      </candidateList>
      <explain/>
      <paraID> 6A68373</paraID>
      <start>86</start>
      <end>87</end>
      <status>unmodified</status>
      <modifiedWord/>
      <trackRevisions>false</trackRevisions>
    </reviewItem>
    <reviewItem>
      <errorID>45a5e6db-4b06-493c-b1f0-4b2d23daddd9</errorID>
      <errorWord>困难群众询问</errorWord>
      <group>L1_Grammar</group>
      <groupName>语法问题</groupName>
      <ability>L2_Grammar</ability>
      <abilityName>语法错误</abilityName>
      <candidateList>
        <item>困难群众</item>
      </candidateList>
      <explain/>
      <paraID> 6A68373</paraID>
      <start>95</start>
      <end>101</end>
      <status>unmodified</status>
      <modifiedWord/>
      <trackRevisions>false</trackRevisions>
    </reviewItem>
    <reviewItem>
      <errorID>4440cf42-2202-44a5-a148-397b259153aa</errorID>
      <errorWord>职责</errorWord>
      <group>L1_Word</group>
      <groupName>字词问题</groupName>
      <ability>L2_Typo</ability>
      <abilityName>字词错误</abilityName>
      <candidateList>
        <item>责任</item>
      </candidateList>
      <explain/>
      <paraID>2B5C28E3</paraID>
      <start>61</start>
      <end>63</end>
      <status>unmodified</status>
      <modifiedWord/>
      <trackRevisions>false</trackRevisions>
    </reviewItem>
    <reviewItem>
      <errorID>9cb524cc-4782-4100-9943-d95a46fe3d48</errorID>
      <errorWord>职责</errorWord>
      <group>L1_Word</group>
      <groupName>字词问题</groupName>
      <ability>L2_Typo</ability>
      <abilityName>字词错误</abilityName>
      <candidateList>
        <item>责任</item>
      </candidateList>
      <explain/>
      <paraID>2B5C28E3</paraID>
      <start>107</start>
      <end>109</end>
      <status>unmodified</status>
      <modifiedWord/>
      <trackRevisions>false</trackRevisions>
    </reviewItem>
    <reviewItem>
      <errorID>39ebf2b5-efbb-45da-9ef6-c3d8f0a2cfc0</errorID>
      <errorWord>（不</errorWord>
      <group>L1_Word</group>
      <groupName>字词问题</groupName>
      <ability>L2_Typo</ability>
      <abilityName>字词错误</abilityName>
      <candidateList>
        <item>（</item>
      </candidateList>
      <explain/>
      <paraID> 52C5071</paraID>
      <start>167</start>
      <end>169</end>
      <status>unmodified</status>
      <modifiedWord/>
      <trackRevisions>false</trackRevisions>
    </reviewItem>
    <reviewItem>
      <errorID>68deab14-0036-4fb4-b152-6d290ba605a0</errorID>
      <errorWord>——</errorWord>
      <group>L1_Word</group>
      <groupName>字词问题</groupName>
      <ability>L2_Typo</ability>
      <abilityName>字词错误</abilityName>
      <candidateList>
        <item>至</item>
      </candidateList>
      <explain/>
      <paraID>67C521CC</paraID>
      <start>64</start>
      <end>66</end>
      <status>unmodified</status>
      <modifiedWord/>
      <trackRevisions>false</trackRevisions>
    </reviewItem>
    <reviewItem>
      <errorID>b1a46ebc-d512-411c-8b84-410ca6ab609b</errorID>
      <errorWord>。</errorWord>
      <group>L1_Punc</group>
      <groupName>标点问题</groupName>
      <ability>L2_Punc_CN</ability>
      <abilityName>标点符号问题</abilityName>
      <candidateList>
        <item/>
      </candidateList>
      <explain/>
      <paraID>14ADF7A2</paraID>
      <start>293</start>
      <end>294</end>
      <status>unmodified</status>
      <modifiedWord/>
      <trackRevisions>false</trackRevisions>
    </reviewItem>
    <reviewItem>
      <errorID>698a0b17-8c24-4254-99e2-1c173eb71de1</errorID>
      <errorWord>、</errorWord>
      <group>L1_Punc</group>
      <groupName>标点问题</groupName>
      <ability>L2_Punc_CN</ability>
      <abilityName>标点符号问题</abilityName>
      <candidateList>
        <item>，</item>
      </candidateList>
      <explain/>
      <paraID>74282EF9</paraID>
      <start>55</start>
      <end>56</end>
      <status>unmodified</status>
      <modifiedWord/>
      <trackRevisions>false</trackRevisions>
    </reviewItem>
    <reviewItem>
      <errorID>73436175-3165-477b-8789-ec713f0504a0</errorID>
      <errorWord>建档</errorWord>
      <group>L1_Word</group>
      <groupName>字词问题</groupName>
      <ability>L2_Typo</ability>
      <abilityName>字词错误</abilityName>
      <candidateList>
        <item>建立</item>
      </candidateList>
      <explain/>
      <paraID> F423E9D</paraID>
      <start>129</start>
      <end>131</end>
      <status>unmodified</status>
      <modifiedWord/>
      <trackRevisions>false</trackRevisions>
    </reviewItem>
    <reviewItem>
      <errorID>ad9b3a76-1f27-4f9b-adaa-5d034e0604a9</errorID>
      <errorWord>根据</errorWord>
      <group>L1_Punc</group>
      <groupName>标点问题</groupName>
      <ability>L2_Punc_CN</ability>
      <abilityName>标点符号问题</abilityName>
      <candidateList>
        <item>，根据</item>
      </candidateList>
      <explain/>
      <paraID>62E234D3</paraID>
      <start>62</start>
      <end>64</end>
      <status>unmodified</status>
      <modifiedWord/>
      <trackRevisions>false</trackRevisions>
    </reviewItem>
    <reviewItem>
      <errorID>de6ac738-8ca1-40e3-9617-a2344f73353d</errorID>
      <errorWord>万余元</errorWord>
      <group>L1_Word</group>
      <groupName>字词问题</groupName>
      <ability>L2_Typo</ability>
      <abilityName>字词错误</abilityName>
      <candidateList>
        <item>万元</item>
      </candidateList>
      <explain/>
      <paraID>62E234D3</paraID>
      <start>209</start>
      <end>212</end>
      <status>unmodified</status>
      <modifiedWord/>
      <trackRevisions>false</trackRevisions>
    </reviewItem>
    <reviewItem>
      <errorID>77d3f308-b195-4216-8488-ddec48e4b04c</errorID>
      <errorWord>，</errorWord>
      <group>L1_Grammar</group>
      <groupName>语法问题</groupName>
      <ability>L2_Grammar</ability>
      <abilityName>语法错误</abilityName>
      <candidateList>
        <item>的理念，</item>
      </candidateList>
      <explain/>
      <paraID> A3B1C2A</paraID>
      <start>37</start>
      <end>38</end>
      <status>unmodified</status>
      <modifiedWord/>
      <trackRevisions>false</trackRevisions>
    </reviewItem>
    <reviewItem>
      <errorID>3138c6f0-4332-426d-8c2a-d0d976f75d65</errorID>
      <errorWord>持续</errorWord>
      <group>L1_Punc</group>
      <groupName>标点问题</groupName>
      <ability>L2_Punc_CN</ability>
      <abilityName>标点符号问题</abilityName>
      <candidateList>
        <item>，持续</item>
      </candidateList>
      <explain/>
      <paraID> A3B1C2A</paraID>
      <start>268</start>
      <end>270</end>
      <status>unmodified</status>
      <modifiedWord/>
      <trackRevisions>false</trackRevisions>
    </reviewItem>
    <reviewItem>
      <errorID>714cb1ac-0ca8-4334-aed1-d2669f683007</errorID>
      <errorWord>服务了</errorWord>
      <group>L1_Word</group>
      <groupName>字词问题</groupName>
      <ability>L2_Typo</ability>
      <abilityName>字词错误</abilityName>
      <candidateList>
        <item>服务</item>
      </candidateList>
      <explain/>
      <paraID> A3B1C2A</paraID>
      <start>281</start>
      <end>284</end>
      <status>unmodified</status>
      <modifiedWord/>
      <trackRevisions>false</trackRevisions>
    </reviewItem>
    <reviewItem>
      <errorID>35ca8366-e942-4cae-9a3c-b5c71b0e2ad9</errorID>
      <errorWord>服务项目</errorWord>
      <group>L1_Word</group>
      <groupName>字词问题</groupName>
      <ability>L2_Typo</ability>
      <abilityName>字词错误</abilityName>
      <candidateList>
        <item>的服务项目</item>
      </candidateList>
      <explain/>
      <paraID>15D180C9</paraID>
      <start>51</start>
      <end>55</end>
      <status>unmodified</status>
      <modifiedWord/>
      <trackRevisions>false</trackRevisions>
    </reviewItem>
    <reviewItem>
      <errorID>fb4d44d5-63c8-4405-967b-f2f2cf4d0f3a</errorID>
      <errorWord>建议补充</errorWord>
      <group>L1_Grammar</group>
      <groupName>语法问题</groupName>
      <ability>L2_Grammar</ability>
      <abilityName>语法错误</abilityName>
      <candidateList>
        <item>建议</item>
      </candidateList>
      <explain/>
      <paraID> 304F365</paraID>
      <start>171</start>
      <end>175</end>
      <status>unmodified</status>
      <modifiedWord/>
      <trackRevisions>false</trackRevisions>
    </reviewItem>
    <reviewItem>
      <errorID>05c604d1-a790-4d7e-beea-7f93656969ac</errorID>
      <errorWord>原因</errorWord>
      <group>L1_Word</group>
      <groupName>字词问题</groupName>
      <ability>L2_Typo</ability>
      <abilityName>字词错误</abilityName>
      <candidateList>
        <item>方面</item>
      </candidateList>
      <explain/>
      <paraID>40FB3BD6</paraID>
      <start>170</start>
      <end>172</end>
      <status>unmodified</status>
      <modifiedWord/>
      <trackRevisions>false</trackRevisions>
    </reviewItem>
    <reviewItem>
      <errorID>59b57b22-a667-4e5d-9067-666a45fc6e17</errorID>
      <errorWord>化</errorWord>
      <group>L1_Grammar</group>
      <groupName>语法问题</groupName>
      <ability>L2_Grammar</ability>
      <abilityName>语法错误</abilityName>
      <candidateList>
        <item>，结合化</item>
      </candidateList>
      <explain/>
      <paraID>40FB3BD6</paraID>
      <start>177</start>
      <end>178</end>
      <status>unmodified</status>
      <modifiedWord/>
      <trackRevisions>false</trackRevisions>
    </reviewItem>
    <reviewItem>
      <errorID>6846eb99-adea-44ee-92d7-e253c7fcdc55</errorID>
      <errorWord>以及</errorWord>
      <group>L1_Word</group>
      <groupName>字词问题</groupName>
      <ability>L2_Typo</ability>
      <abilityName>字词错误</abilityName>
      <candidateList>
        <item>，</item>
      </candidateList>
      <explain/>
      <paraID>6EF7A846</paraID>
      <start>38</start>
      <end>40</end>
      <status>unmodified</status>
      <modifiedWord/>
      <trackRevisions>false</trackRevisions>
    </reviewItem>
    <reviewItem>
      <errorID>79f133e5-df9d-4cf8-beec-68954f8a3a27</errorID>
      <errorWord>本周期本年度</errorWord>
      <group>L1_Grammar</group>
      <groupName>语法问题</groupName>
      <ability>L2_Grammar</ability>
      <abilityName>语法错误</abilityName>
      <candidateList>
        <item>本年度</item>
      </candidateList>
      <explain/>
      <paraID>69CBBDDD</paraID>
      <start>30</start>
      <end>36</end>
      <status>unmodified</status>
      <modifiedWord/>
      <trackRevisions>false</trackRevisions>
    </reviewItem>
    <reviewItem>
      <errorID>6bc12db4-cae0-43b9-90c2-ca93d14c3a2d</errorID>
      <errorWord>用于</errorWord>
      <group>L1_Punc</group>
      <groupName>标点问题</groupName>
      <ability>L2_Punc_CN</ability>
      <abilityName>标点符号问题</abilityName>
      <candidateList>
        <item>，用于</item>
      </candidateList>
      <explain/>
      <paraID>74F5FDB0</paraID>
      <start>23</start>
      <end>25</end>
      <status>unmodified</status>
      <modifiedWord/>
      <trackRevisions>false</trackRevisions>
    </reviewItem>
    <reviewItem>
      <errorID>5eef8a9f-d477-41a9-99fd-0b78b1949da1</errorID>
      <errorWord>开展</errorWord>
      <group>L1_Word</group>
      <groupName>字词问题</groupName>
      <ability>L2_Typo</ability>
      <abilityName>字词错误</abilityName>
      <candidateList>
        <item>内开展</item>
      </candidateList>
      <explain/>
      <paraID>295F4C00</paraID>
      <start>47</start>
      <end>49</end>
      <status>unmodified</status>
      <modifiedWord/>
      <trackRevisions>false</trackRevisions>
    </reviewItem>
    <reviewItem>
      <errorID>2bebf2c3-d60a-47f6-8b53-5f846a23c5d4</errorID>
      <errorWord>的互相</errorWord>
      <group>L1_Grammar</group>
      <groupName>语法问题</groupName>
      <ability>L2_Grammar</ability>
      <abilityName>语法错误</abilityName>
      <candidateList>
        <item>的</item>
      </candidateList>
      <explain/>
      <paraID>4479B29A</paraID>
      <start>191</start>
      <end>194</end>
      <status>unmodified</status>
      <modifiedWord/>
      <trackRevisions>false</trackRevisions>
    </reviewItem>
    <reviewItem>
      <errorID>c693535a-701e-4b0a-9087-9f0202fc7dbb</errorID>
      <errorWord>和</errorWord>
      <group>L1_Word</group>
      <groupName>字词问题</groupName>
      <ability>L2_Typo</ability>
      <abilityName>字词错误</abilityName>
      <candidateList>
        <item>，</item>
      </candidateList>
      <explain/>
      <paraID>4479B29A</paraID>
      <start>201</start>
      <end>202</end>
      <status>unmodified</status>
      <modifiedWord/>
      <trackRevisions>false</trackRevisions>
    </reviewItem>
    <reviewItem>
      <errorID>150a8299-edcc-4774-8b98-950e1d2f795c</errorID>
      <errorWord>如目标制定</errorWord>
      <group>L1_Grammar</group>
      <groupName>语法问题</groupName>
      <ability>L2_Grammar</ability>
      <abilityName>语法错误</abilityName>
      <candidateList>
        <item>如</item>
      </candidateList>
      <explain/>
      <paraID> 2D01EFC</paraID>
      <start>27</start>
      <end>32</end>
      <status>unmodified</status>
      <modifiedWord/>
      <trackRevisions>false</trackRevisions>
    </reviewItem>
    <reviewItem>
      <errorID>121998ff-4f89-4aec-bc8f-c9b4b1b93bec</errorID>
      <errorWord>，</errorWord>
      <group>L1_Grammar</group>
      <groupName>语法问题</groupName>
      <ability>L2_Grammar</ability>
      <abilityName>语法错误</abilityName>
      <candidateList>
        <item>目标，</item>
      </candidateList>
      <explain/>
      <paraID> 2D01EFC</paraID>
      <start>43</start>
      <end>44</end>
      <status>unmodified</status>
      <modifiedWord/>
      <trackRevisions>false</trackRevisions>
    </reviewItem>
    <reviewItem>
      <errorID>049eb632-8f5e-4f6a-9f5e-817bcf0e8421</errorID>
      <errorWord>，</errorWord>
      <group>L1_Punc</group>
      <groupName>标点问题</groupName>
      <ability>L2_Punc_CN</ability>
      <abilityName>标点符号问题</abilityName>
      <candidateList>
        <item>、</item>
      </candidateList>
      <explain/>
      <paraID> 2D01EFC</paraID>
      <start>54</start>
      <end>55</end>
      <status>unmodified</status>
      <modifiedWord/>
      <trackRevisions>false</trackRevisions>
    </reviewItem>
    <reviewItem>
      <errorID>7b1a9ef6-4f6a-4729-bfad-edd2e78aec08</errorID>
      <errorWord>评估分析</errorWord>
      <group>L1_Grammar</group>
      <groupName>语法问题</groupName>
      <ability>L2_Grammar</ability>
      <abilityName>语法错误</abilityName>
      <candidateList>
        <item>评估</item>
      </candidateList>
      <explain/>
      <paraID>1E9DCC5C</paraID>
      <start>3</start>
      <end>7</end>
      <status>unmodified</status>
      <modifiedWord/>
      <trackRevisions>false</trackRevisions>
    </reviewItem>
    <reviewItem>
      <errorID>06903c1a-7e3b-4659-9aac-30919aae7f86</errorID>
      <errorWord>和查阅</errorWord>
      <group>L1_Word</group>
      <groupName>字词问题</groupName>
      <ability>L2_Typo</ability>
      <abilityName>字词错误</abilityName>
      <candidateList>
        <item>、分析</item>
      </candidateList>
      <explain/>
      <paraID>1E9DCC5C</paraID>
      <start>11</start>
      <end>14</end>
      <status>unmodified</status>
      <modifiedWord/>
      <trackRevisions>false</trackRevisions>
    </reviewItem>
    <reviewItem>
      <errorID>289c4704-1346-45c7-8736-a451754a1a59</errorID>
      <errorWord>评估分析</errorWord>
      <group>L1_Grammar</group>
      <groupName>语法问题</groupName>
      <ability>L2_Grammar</ability>
      <abilityName>语法错误</abilityName>
      <candidateList>
        <item>评估</item>
      </candidateList>
      <explain/>
      <paraID>6FB878C0</paraID>
      <start>3</start>
      <end>7</end>
      <status>unmodified</status>
      <modifiedWord/>
      <trackRevisions>false</trackRevisions>
    </reviewItem>
    <reviewItem>
      <errorID>b44560b2-7078-4a8d-bce6-2da28d139cc1</errorID>
      <errorWord>和查阅</errorWord>
      <group>L1_Word</group>
      <groupName>字词问题</groupName>
      <ability>L2_Typo</ability>
      <abilityName>字词错误</abilityName>
      <candidateList>
        <item>、分析</item>
      </candidateList>
      <explain/>
      <paraID>6FB878C0</paraID>
      <start>11</start>
      <end>14</end>
      <status>unmodified</status>
      <modifiedWord/>
      <trackRevisions>false</trackRevisions>
    </reviewItem>
    <reviewItem>
      <errorID>8905ba95-369c-4994-bc6b-a6c47930148e</errorID>
      <errorWord>以下</errorWord>
      <group>L1_Word</group>
      <groupName>字词问题</groupName>
      <ability>L2_Typo</ability>
      <abilityName>字词错误</abilityName>
      <candidateList>
        <item>在以下</item>
      </candidateList>
      <explain/>
      <paraID>6FB878C0</paraID>
      <start>40</start>
      <end>42</end>
      <status>unmodified</status>
      <modifiedWord/>
      <trackRevisions>false</trackRevisions>
    </reviewItem>
    <reviewItem>
      <errorID>04e3769d-c6a7-4796-863c-ec0d916fefaf</errorID>
      <errorWord>站需要</errorWord>
      <group>L1_Grammar</group>
      <groupName>语法问题</groupName>
      <ability>L2_Grammar</ability>
      <abilityName>语法错误</abilityName>
      <candidateList>
        <item>站</item>
      </candidateList>
      <explain/>
      <paraID>3F738CE5</paraID>
      <start>4</start>
      <end>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444563-cc0f-4f6c-b1c7-5742e6a4ba71}">
  <ds:schemaRefs/>
</ds:datastoreItem>
</file>

<file path=customXml/itemProps3.xml><?xml version="1.0" encoding="utf-8"?>
<ds:datastoreItem xmlns:ds="http://schemas.openxmlformats.org/officeDocument/2006/customXml" ds:itemID="{76255780-2BA4-4433-9966-2B7DCE716B1E}">
  <ds:schemaRefs/>
</ds:datastoreItem>
</file>

<file path=docProps/app.xml><?xml version="1.0" encoding="utf-8"?>
<Properties xmlns="http://schemas.openxmlformats.org/officeDocument/2006/extended-properties" xmlns:vt="http://schemas.openxmlformats.org/officeDocument/2006/docPropsVTypes">
  <Template>Normal</Template>
  <Pages>19</Pages>
  <Words>11440</Words>
  <Characters>11856</Characters>
  <Paragraphs>213</Paragraphs>
  <TotalTime>129</TotalTime>
  <ScaleCrop>false</ScaleCrop>
  <LinksUpToDate>false</LinksUpToDate>
  <CharactersWithSpaces>11859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2023-08-15T07:15:00Z</dcterms:created>
  <dc:creator>WPS Office</dc:creator>
  <cp:lastModifiedBy>番禺区社联会</cp:lastModifiedBy>
  <dcterms:modified xsi:type="dcterms:W3CDTF">2026-09-09T03:45:48Z</dcterms:modified>
  <dc:title>KM_C364e-20200923144555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8478C050AE254CAE8E157CC8BA3436F3_13</vt:lpwstr>
  </property>
  <property fmtid="{D5CDD505-2E9C-101B-9397-08002B2CF9AE}" pid="4" name="KSOTemplateDocerSaveRecord">
    <vt:lpwstr>eyJoZGlkIjoiZDZhZGYwNTVjNmEwZDlmYmM0M2UzYmUxZTMyY2ZhNTgiLCJ1c2VySWQiOiIyOTU1NTMyNTMifQ==</vt:lpwstr>
  </property>
</Properties>
</file>