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6A9AD">
      <w:pPr>
        <w:jc w:val="right"/>
        <w:rPr>
          <w:rFonts w:hint="eastAsia" w:ascii="仿宋_GB2312" w:hAnsi="仿宋_GB2312" w:eastAsia="仿宋_GB2312" w:cs="仿宋_GB2312"/>
          <w:color w:val="000000"/>
          <w:sz w:val="32"/>
          <w:szCs w:val="32"/>
        </w:rPr>
      </w:pPr>
      <w:bookmarkStart w:id="0" w:name="_Hlk36497313"/>
      <w:bookmarkEnd w:id="0"/>
      <w:r>
        <w:rPr>
          <w:rFonts w:hint="eastAsia" w:ascii="仿宋_GB2312" w:hAnsi="仿宋_GB2312" w:eastAsia="仿宋_GB2312" w:cs="仿宋_GB2312"/>
          <w:color w:val="000000"/>
          <w:sz w:val="32"/>
          <w:szCs w:val="32"/>
        </w:rPr>
        <w:t>第</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11</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号</w:t>
      </w:r>
    </w:p>
    <w:p w14:paraId="55C82205">
      <w:pPr>
        <w:jc w:val="center"/>
        <w:rPr>
          <w:rFonts w:ascii="小标宋" w:hAnsi="黑体" w:eastAsia="小标宋"/>
          <w:color w:val="000000"/>
          <w:sz w:val="44"/>
          <w:szCs w:val="44"/>
        </w:rPr>
      </w:pPr>
      <w:r>
        <w:rPr>
          <w:rFonts w:hint="eastAsia" w:ascii="小标宋" w:hAnsi="黑体" w:eastAsia="小标宋"/>
          <w:color w:val="000000"/>
          <w:sz w:val="44"/>
          <w:szCs w:val="44"/>
        </w:rPr>
        <w:t>番禺区政协十五届</w:t>
      </w:r>
      <w:r>
        <w:rPr>
          <w:rFonts w:hint="eastAsia" w:ascii="小标宋" w:hAnsi="黑体" w:eastAsia="小标宋"/>
          <w:color w:val="000000"/>
          <w:sz w:val="44"/>
          <w:szCs w:val="44"/>
          <w:lang w:eastAsia="zh-CN"/>
        </w:rPr>
        <w:t>六</w:t>
      </w:r>
      <w:r>
        <w:rPr>
          <w:rFonts w:hint="eastAsia" w:ascii="小标宋" w:hAnsi="黑体" w:eastAsia="小标宋"/>
          <w:color w:val="000000"/>
          <w:sz w:val="44"/>
          <w:szCs w:val="44"/>
        </w:rPr>
        <w:t>次会议提案</w:t>
      </w:r>
    </w:p>
    <w:tbl>
      <w:tblPr>
        <w:tblStyle w:val="5"/>
        <w:tblW w:w="88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3162"/>
        <w:gridCol w:w="1592"/>
        <w:gridCol w:w="865"/>
        <w:gridCol w:w="1344"/>
      </w:tblGrid>
      <w:tr w14:paraId="7DD3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tcBorders>
              <w:top w:val="single" w:color="auto" w:sz="4" w:space="0"/>
              <w:left w:val="single" w:color="auto" w:sz="4" w:space="0"/>
              <w:bottom w:val="single" w:color="auto" w:sz="4" w:space="0"/>
              <w:right w:val="single" w:color="auto" w:sz="4" w:space="0"/>
            </w:tcBorders>
            <w:vAlign w:val="center"/>
          </w:tcPr>
          <w:p w14:paraId="79CE014A">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题目</w:t>
            </w:r>
          </w:p>
        </w:tc>
        <w:tc>
          <w:tcPr>
            <w:tcW w:w="6963" w:type="dxa"/>
            <w:gridSpan w:val="4"/>
            <w:tcBorders>
              <w:top w:val="single" w:color="auto" w:sz="4" w:space="0"/>
              <w:left w:val="single" w:color="auto" w:sz="4" w:space="0"/>
              <w:bottom w:val="single" w:color="auto" w:sz="4" w:space="0"/>
              <w:right w:val="single" w:color="auto" w:sz="4" w:space="0"/>
            </w:tcBorders>
          </w:tcPr>
          <w:p w14:paraId="6F146E2A">
            <w:pPr>
              <w:spacing w:line="680" w:lineRule="exact"/>
              <w:jc w:val="center"/>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sz w:val="32"/>
                <w:szCs w:val="32"/>
                <w:lang w:val="en-US" w:eastAsia="zh-CN"/>
              </w:rPr>
              <w:t>关于以科技赋能餐饮产业，推动番禺区炒菜机器人产业高质量发展的建议</w:t>
            </w:r>
          </w:p>
        </w:tc>
      </w:tr>
      <w:tr w14:paraId="0918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844" w:type="dxa"/>
            <w:tcBorders>
              <w:top w:val="single" w:color="auto" w:sz="4" w:space="0"/>
              <w:left w:val="single" w:color="auto" w:sz="4" w:space="0"/>
              <w:bottom w:val="single" w:color="auto" w:sz="4" w:space="0"/>
              <w:right w:val="single" w:color="auto" w:sz="4" w:space="0"/>
            </w:tcBorders>
            <w:vAlign w:val="center"/>
          </w:tcPr>
          <w:p w14:paraId="294742DD">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提案者</w:t>
            </w:r>
          </w:p>
        </w:tc>
        <w:tc>
          <w:tcPr>
            <w:tcW w:w="3162" w:type="dxa"/>
            <w:tcBorders>
              <w:top w:val="single" w:color="auto" w:sz="4" w:space="0"/>
              <w:left w:val="single" w:color="auto" w:sz="4" w:space="0"/>
              <w:bottom w:val="single" w:color="auto" w:sz="4" w:space="0"/>
              <w:right w:val="single" w:color="auto" w:sz="4" w:space="0"/>
            </w:tcBorders>
            <w:vAlign w:val="center"/>
          </w:tcPr>
          <w:p w14:paraId="2DDCCFF5">
            <w:pPr>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政协洛浦街工作室</w:t>
            </w:r>
          </w:p>
        </w:tc>
        <w:tc>
          <w:tcPr>
            <w:tcW w:w="1592" w:type="dxa"/>
            <w:tcBorders>
              <w:top w:val="single" w:color="auto" w:sz="4" w:space="0"/>
              <w:left w:val="single" w:color="auto" w:sz="4" w:space="0"/>
              <w:bottom w:val="single" w:color="auto" w:sz="4" w:space="0"/>
              <w:right w:val="single" w:color="auto" w:sz="4" w:space="0"/>
            </w:tcBorders>
            <w:vAlign w:val="center"/>
          </w:tcPr>
          <w:p w14:paraId="0B22C246">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联系人</w:t>
            </w:r>
          </w:p>
        </w:tc>
        <w:tc>
          <w:tcPr>
            <w:tcW w:w="2209" w:type="dxa"/>
            <w:gridSpan w:val="2"/>
            <w:tcBorders>
              <w:top w:val="single" w:color="auto" w:sz="4" w:space="0"/>
              <w:left w:val="single" w:color="auto" w:sz="4" w:space="0"/>
              <w:bottom w:val="single" w:color="auto" w:sz="4" w:space="0"/>
              <w:right w:val="single" w:color="auto" w:sz="4" w:space="0"/>
            </w:tcBorders>
            <w:vAlign w:val="center"/>
          </w:tcPr>
          <w:p w14:paraId="4F83A9DB">
            <w:pPr>
              <w:spacing w:line="680" w:lineRule="exact"/>
              <w:jc w:val="center"/>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eastAsia="zh-CN"/>
              </w:rPr>
              <w:t>任玉桐</w:t>
            </w:r>
          </w:p>
        </w:tc>
      </w:tr>
      <w:tr w14:paraId="367D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844" w:type="dxa"/>
            <w:tcBorders>
              <w:top w:val="single" w:color="auto" w:sz="4" w:space="0"/>
              <w:left w:val="single" w:color="auto" w:sz="4" w:space="0"/>
              <w:bottom w:val="single" w:color="auto" w:sz="4" w:space="0"/>
              <w:right w:val="single" w:color="auto" w:sz="4" w:space="0"/>
            </w:tcBorders>
            <w:vAlign w:val="center"/>
          </w:tcPr>
          <w:p w14:paraId="7CA13A8F">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工作单位</w:t>
            </w:r>
          </w:p>
        </w:tc>
        <w:tc>
          <w:tcPr>
            <w:tcW w:w="3162" w:type="dxa"/>
            <w:tcBorders>
              <w:top w:val="single" w:color="auto" w:sz="4" w:space="0"/>
              <w:left w:val="single" w:color="auto" w:sz="4" w:space="0"/>
              <w:bottom w:val="single" w:color="auto" w:sz="4" w:space="0"/>
              <w:right w:val="single" w:color="auto" w:sz="4" w:space="0"/>
            </w:tcBorders>
            <w:vAlign w:val="center"/>
          </w:tcPr>
          <w:p w14:paraId="50506F4B">
            <w:pPr>
              <w:spacing w:line="400" w:lineRule="exact"/>
              <w:jc w:val="center"/>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rPr>
              <w:t>广东省机器人协会</w:t>
            </w:r>
          </w:p>
        </w:tc>
        <w:tc>
          <w:tcPr>
            <w:tcW w:w="1592" w:type="dxa"/>
            <w:tcBorders>
              <w:top w:val="single" w:color="auto" w:sz="4" w:space="0"/>
              <w:left w:val="single" w:color="auto" w:sz="4" w:space="0"/>
              <w:bottom w:val="single" w:color="auto" w:sz="4" w:space="0"/>
              <w:right w:val="single" w:color="auto" w:sz="4" w:space="0"/>
            </w:tcBorders>
            <w:vAlign w:val="center"/>
          </w:tcPr>
          <w:p w14:paraId="38CA6717">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职  务</w:t>
            </w:r>
          </w:p>
        </w:tc>
        <w:tc>
          <w:tcPr>
            <w:tcW w:w="2209" w:type="dxa"/>
            <w:gridSpan w:val="2"/>
            <w:tcBorders>
              <w:top w:val="single" w:color="auto" w:sz="4" w:space="0"/>
              <w:left w:val="single" w:color="auto" w:sz="4" w:space="0"/>
              <w:bottom w:val="single" w:color="auto" w:sz="4" w:space="0"/>
              <w:right w:val="single" w:color="auto" w:sz="4" w:space="0"/>
            </w:tcBorders>
            <w:vAlign w:val="center"/>
          </w:tcPr>
          <w:p w14:paraId="47E1A4D6">
            <w:pPr>
              <w:spacing w:line="680" w:lineRule="exact"/>
              <w:jc w:val="center"/>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rPr>
              <w:t>执行</w:t>
            </w:r>
            <w:r>
              <w:rPr>
                <w:rFonts w:hint="eastAsia" w:ascii="仿宋_GB2312" w:hAnsi="仿宋_GB2312" w:eastAsia="仿宋_GB2312" w:cs="仿宋_GB2312"/>
                <w:b w:val="0"/>
                <w:bCs w:val="0"/>
                <w:color w:val="000000"/>
                <w:sz w:val="32"/>
                <w:szCs w:val="32"/>
                <w:lang w:eastAsia="zh-CN"/>
              </w:rPr>
              <w:t>会长</w:t>
            </w:r>
          </w:p>
        </w:tc>
      </w:tr>
      <w:tr w14:paraId="4FD4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844" w:type="dxa"/>
            <w:tcBorders>
              <w:top w:val="single" w:color="auto" w:sz="4" w:space="0"/>
              <w:left w:val="single" w:color="auto" w:sz="4" w:space="0"/>
              <w:bottom w:val="single" w:color="auto" w:sz="4" w:space="0"/>
              <w:right w:val="single" w:color="auto" w:sz="4" w:space="0"/>
            </w:tcBorders>
          </w:tcPr>
          <w:p w14:paraId="0937F5EC">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手机号码</w:t>
            </w:r>
          </w:p>
        </w:tc>
        <w:tc>
          <w:tcPr>
            <w:tcW w:w="3162" w:type="dxa"/>
            <w:tcBorders>
              <w:top w:val="single" w:color="auto" w:sz="4" w:space="0"/>
              <w:left w:val="single" w:color="auto" w:sz="4" w:space="0"/>
              <w:bottom w:val="single" w:color="auto" w:sz="4" w:space="0"/>
              <w:right w:val="single" w:color="auto" w:sz="4" w:space="0"/>
            </w:tcBorders>
          </w:tcPr>
          <w:p w14:paraId="42E21DE6">
            <w:pPr>
              <w:spacing w:line="680" w:lineRule="exact"/>
              <w:rPr>
                <w:rFonts w:hint="eastAsia" w:ascii="仿宋_GB2312" w:hAnsi="仿宋_GB2312" w:eastAsia="仿宋_GB2312" w:cs="仿宋_GB2312"/>
                <w:b w:val="0"/>
                <w:bCs w:val="0"/>
                <w:color w:val="000000"/>
                <w:sz w:val="32"/>
                <w:szCs w:val="32"/>
              </w:rPr>
            </w:pPr>
          </w:p>
        </w:tc>
        <w:tc>
          <w:tcPr>
            <w:tcW w:w="1592" w:type="dxa"/>
            <w:tcBorders>
              <w:top w:val="single" w:color="auto" w:sz="4" w:space="0"/>
              <w:left w:val="single" w:color="auto" w:sz="4" w:space="0"/>
              <w:bottom w:val="single" w:color="auto" w:sz="4" w:space="0"/>
              <w:right w:val="single" w:color="auto" w:sz="4" w:space="0"/>
            </w:tcBorders>
          </w:tcPr>
          <w:p w14:paraId="77A1DF1C">
            <w:pPr>
              <w:spacing w:line="680" w:lineRule="exact"/>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办公电话</w:t>
            </w:r>
          </w:p>
        </w:tc>
        <w:tc>
          <w:tcPr>
            <w:tcW w:w="2209" w:type="dxa"/>
            <w:gridSpan w:val="2"/>
            <w:tcBorders>
              <w:top w:val="single" w:color="auto" w:sz="4" w:space="0"/>
              <w:left w:val="single" w:color="auto" w:sz="4" w:space="0"/>
              <w:bottom w:val="single" w:color="auto" w:sz="4" w:space="0"/>
              <w:right w:val="single" w:color="auto" w:sz="4" w:space="0"/>
            </w:tcBorders>
          </w:tcPr>
          <w:p w14:paraId="17F93E38">
            <w:pPr>
              <w:spacing w:line="680" w:lineRule="exact"/>
              <w:rPr>
                <w:rFonts w:hint="eastAsia" w:ascii="仿宋_GB2312" w:hAnsi="仿宋_GB2312" w:eastAsia="仿宋_GB2312" w:cs="仿宋_GB2312"/>
                <w:b w:val="0"/>
                <w:bCs w:val="0"/>
                <w:color w:val="000000"/>
                <w:sz w:val="32"/>
                <w:szCs w:val="32"/>
              </w:rPr>
            </w:pPr>
          </w:p>
        </w:tc>
      </w:tr>
      <w:tr w14:paraId="3D63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tcBorders>
              <w:top w:val="single" w:color="auto" w:sz="4" w:space="0"/>
              <w:left w:val="single" w:color="auto" w:sz="4" w:space="0"/>
              <w:bottom w:val="single" w:color="auto" w:sz="4" w:space="0"/>
              <w:right w:val="single" w:color="auto" w:sz="4" w:space="0"/>
            </w:tcBorders>
          </w:tcPr>
          <w:p w14:paraId="2BFF0438">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通讯地址</w:t>
            </w:r>
          </w:p>
        </w:tc>
        <w:tc>
          <w:tcPr>
            <w:tcW w:w="4754" w:type="dxa"/>
            <w:gridSpan w:val="2"/>
            <w:tcBorders>
              <w:top w:val="single" w:color="auto" w:sz="4" w:space="0"/>
              <w:left w:val="single" w:color="auto" w:sz="4" w:space="0"/>
              <w:bottom w:val="single" w:color="auto" w:sz="4" w:space="0"/>
              <w:right w:val="single" w:color="auto" w:sz="4" w:space="0"/>
            </w:tcBorders>
          </w:tcPr>
          <w:p w14:paraId="7151A84A">
            <w:pPr>
              <w:spacing w:line="680" w:lineRule="exact"/>
              <w:jc w:val="center"/>
              <w:rPr>
                <w:rFonts w:hint="default" w:ascii="仿宋_GB2312" w:hAnsi="仿宋_GB2312" w:eastAsia="仿宋_GB2312" w:cs="仿宋_GB2312"/>
                <w:b w:val="0"/>
                <w:bCs w:val="0"/>
                <w:color w:val="000000"/>
                <w:sz w:val="32"/>
                <w:szCs w:val="32"/>
                <w:lang w:val="en-US" w:eastAsia="zh-CN"/>
              </w:rPr>
            </w:pPr>
          </w:p>
        </w:tc>
        <w:tc>
          <w:tcPr>
            <w:tcW w:w="865" w:type="dxa"/>
            <w:tcBorders>
              <w:top w:val="single" w:color="auto" w:sz="4" w:space="0"/>
              <w:left w:val="single" w:color="auto" w:sz="4" w:space="0"/>
              <w:bottom w:val="single" w:color="auto" w:sz="4" w:space="0"/>
              <w:right w:val="single" w:color="auto" w:sz="4" w:space="0"/>
            </w:tcBorders>
          </w:tcPr>
          <w:p w14:paraId="64B217D1">
            <w:pPr>
              <w:spacing w:line="680" w:lineRule="exact"/>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邮编</w:t>
            </w:r>
          </w:p>
        </w:tc>
        <w:tc>
          <w:tcPr>
            <w:tcW w:w="1344" w:type="dxa"/>
            <w:tcBorders>
              <w:top w:val="single" w:color="auto" w:sz="4" w:space="0"/>
              <w:left w:val="single" w:color="auto" w:sz="4" w:space="0"/>
              <w:bottom w:val="single" w:color="auto" w:sz="4" w:space="0"/>
              <w:right w:val="single" w:color="auto" w:sz="4" w:space="0"/>
            </w:tcBorders>
          </w:tcPr>
          <w:p w14:paraId="1F488D5C">
            <w:pPr>
              <w:spacing w:line="680" w:lineRule="exact"/>
              <w:rPr>
                <w:rFonts w:hint="eastAsia" w:ascii="仿宋_GB2312" w:hAnsi="仿宋_GB2312" w:eastAsia="仿宋_GB2312" w:cs="仿宋_GB2312"/>
                <w:b w:val="0"/>
                <w:bCs w:val="0"/>
                <w:color w:val="000000"/>
                <w:sz w:val="32"/>
                <w:szCs w:val="32"/>
              </w:rPr>
            </w:pPr>
          </w:p>
        </w:tc>
      </w:tr>
      <w:tr w14:paraId="56D7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844" w:type="dxa"/>
            <w:tcBorders>
              <w:top w:val="single" w:color="auto" w:sz="4" w:space="0"/>
              <w:left w:val="single" w:color="auto" w:sz="4" w:space="0"/>
              <w:bottom w:val="single" w:color="auto" w:sz="4" w:space="0"/>
              <w:right w:val="single" w:color="auto" w:sz="4" w:space="0"/>
            </w:tcBorders>
          </w:tcPr>
          <w:p w14:paraId="39B57725">
            <w:pPr>
              <w:spacing w:line="50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联名提案人</w:t>
            </w:r>
          </w:p>
          <w:p w14:paraId="01A88F47">
            <w:pPr>
              <w:spacing w:line="500" w:lineRule="exact"/>
              <w:jc w:val="center"/>
              <w:rPr>
                <w:rFonts w:hint="eastAsia" w:ascii="仿宋_GB2312" w:hAnsi="仿宋_GB2312" w:eastAsia="仿宋_GB2312" w:cs="仿宋_GB2312"/>
                <w:b w:val="0"/>
                <w:bCs w:val="0"/>
                <w:color w:val="000000"/>
                <w:spacing w:val="-14"/>
                <w:sz w:val="32"/>
                <w:szCs w:val="32"/>
              </w:rPr>
            </w:pPr>
            <w:r>
              <w:rPr>
                <w:rFonts w:hint="eastAsia" w:ascii="仿宋_GB2312" w:hAnsi="仿宋_GB2312" w:eastAsia="仿宋_GB2312" w:cs="仿宋_GB2312"/>
                <w:b w:val="0"/>
                <w:bCs w:val="0"/>
                <w:color w:val="000000"/>
                <w:spacing w:val="-14"/>
                <w:sz w:val="32"/>
                <w:szCs w:val="32"/>
              </w:rPr>
              <w:t>（如人数较多，可另附于文后）</w:t>
            </w:r>
          </w:p>
        </w:tc>
        <w:tc>
          <w:tcPr>
            <w:tcW w:w="6963" w:type="dxa"/>
            <w:gridSpan w:val="4"/>
            <w:tcBorders>
              <w:top w:val="single" w:color="auto" w:sz="4" w:space="0"/>
              <w:left w:val="single" w:color="auto" w:sz="4" w:space="0"/>
              <w:bottom w:val="single" w:color="auto" w:sz="4" w:space="0"/>
              <w:right w:val="single" w:color="auto" w:sz="4" w:space="0"/>
            </w:tcBorders>
          </w:tcPr>
          <w:p w14:paraId="3A8D3930">
            <w:pPr>
              <w:spacing w:line="680" w:lineRule="exact"/>
              <w:rPr>
                <w:rFonts w:hint="eastAsia" w:ascii="仿宋_GB2312" w:hAnsi="仿宋_GB2312" w:eastAsia="仿宋_GB2312" w:cs="仿宋_GB2312"/>
                <w:b w:val="0"/>
                <w:bCs w:val="0"/>
                <w:color w:val="000000"/>
                <w:sz w:val="32"/>
                <w:szCs w:val="32"/>
              </w:rPr>
            </w:pPr>
          </w:p>
        </w:tc>
      </w:tr>
      <w:tr w14:paraId="5222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tcBorders>
              <w:top w:val="single" w:color="auto" w:sz="4" w:space="0"/>
              <w:left w:val="single" w:color="auto" w:sz="4" w:space="0"/>
              <w:bottom w:val="single" w:color="auto" w:sz="4" w:space="0"/>
              <w:right w:val="single" w:color="auto" w:sz="4" w:space="0"/>
            </w:tcBorders>
          </w:tcPr>
          <w:p w14:paraId="2A5D8A72">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提案委员会</w:t>
            </w:r>
          </w:p>
          <w:p w14:paraId="6194F4EE">
            <w:pPr>
              <w:spacing w:line="680" w:lineRule="exact"/>
              <w:jc w:val="center"/>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审查意见</w:t>
            </w:r>
          </w:p>
        </w:tc>
        <w:tc>
          <w:tcPr>
            <w:tcW w:w="6963" w:type="dxa"/>
            <w:gridSpan w:val="4"/>
            <w:tcBorders>
              <w:top w:val="single" w:color="auto" w:sz="4" w:space="0"/>
              <w:left w:val="single" w:color="auto" w:sz="4" w:space="0"/>
              <w:bottom w:val="single" w:color="auto" w:sz="4" w:space="0"/>
              <w:right w:val="single" w:color="auto" w:sz="4" w:space="0"/>
            </w:tcBorders>
          </w:tcPr>
          <w:p w14:paraId="2A852D2C">
            <w:pPr>
              <w:spacing w:line="680" w:lineRule="exact"/>
              <w:rPr>
                <w:rFonts w:hint="eastAsia" w:ascii="仿宋_GB2312" w:hAnsi="仿宋_GB2312" w:eastAsia="仿宋_GB2312" w:cs="仿宋_GB2312"/>
                <w:b w:val="0"/>
                <w:bCs w:val="0"/>
                <w:color w:val="000000"/>
                <w:sz w:val="32"/>
                <w:szCs w:val="32"/>
              </w:rPr>
            </w:pPr>
          </w:p>
        </w:tc>
      </w:tr>
    </w:tbl>
    <w:p w14:paraId="1975ED3A">
      <w:pPr>
        <w:spacing w:line="680" w:lineRule="exact"/>
        <w:rPr>
          <w:rFonts w:ascii="黑体" w:hAnsi="黑体" w:eastAsia="黑体"/>
          <w:color w:val="000000"/>
          <w:sz w:val="32"/>
          <w:szCs w:val="32"/>
        </w:rPr>
      </w:pPr>
      <w:r>
        <w:rPr>
          <w:rFonts w:hint="eastAsia" w:ascii="黑体" w:hAnsi="黑体" w:eastAsia="黑体"/>
          <w:color w:val="000000"/>
          <w:sz w:val="32"/>
          <w:szCs w:val="32"/>
        </w:rPr>
        <w:t>根据实际情况在</w:t>
      </w:r>
      <w:r>
        <w:rPr>
          <w:rFonts w:hint="eastAsia" w:ascii="宋体" w:hAnsi="宋体"/>
          <w:color w:val="000000"/>
          <w:sz w:val="30"/>
          <w:szCs w:val="30"/>
          <w:lang w:val="en-US" w:eastAsia="zh-CN"/>
        </w:rPr>
        <w:t>（）</w:t>
      </w:r>
      <w:r>
        <w:rPr>
          <w:rFonts w:hint="eastAsia" w:ascii="黑体" w:hAnsi="黑体" w:eastAsia="黑体"/>
          <w:color w:val="000000"/>
          <w:sz w:val="32"/>
          <w:szCs w:val="32"/>
        </w:rPr>
        <w:t>内打勾确认：</w:t>
      </w:r>
    </w:p>
    <w:p w14:paraId="5C1A8A48">
      <w:pPr>
        <w:spacing w:line="440" w:lineRule="exact"/>
        <w:rPr>
          <w:rFonts w:ascii="宋体" w:hAnsi="宋体"/>
          <w:b/>
          <w:color w:val="000000"/>
          <w:sz w:val="30"/>
          <w:szCs w:val="30"/>
        </w:rPr>
      </w:pPr>
      <w:r>
        <w:rPr>
          <w:rFonts w:hint="eastAsia" w:ascii="宋体" w:hAnsi="宋体"/>
          <w:b/>
          <w:color w:val="000000"/>
          <w:sz w:val="30"/>
          <w:szCs w:val="30"/>
          <w:lang w:val="en-US" w:eastAsia="zh-CN"/>
        </w:rPr>
        <w:t>是否同意公开</w:t>
      </w:r>
      <w:r>
        <w:rPr>
          <w:rFonts w:hint="eastAsia" w:ascii="宋体" w:hAnsi="宋体"/>
          <w:b/>
          <w:color w:val="000000"/>
          <w:sz w:val="30"/>
          <w:szCs w:val="30"/>
        </w:rPr>
        <w:t>：</w:t>
      </w:r>
    </w:p>
    <w:p w14:paraId="1A6CD033">
      <w:pPr>
        <w:spacing w:line="440" w:lineRule="exact"/>
        <w:rPr>
          <w:rFonts w:hint="default" w:ascii="宋体" w:hAnsi="宋体"/>
          <w:color w:val="000000"/>
          <w:sz w:val="30"/>
          <w:szCs w:val="30"/>
          <w:lang w:val="en-US" w:eastAsia="zh-CN"/>
        </w:rPr>
      </w:pPr>
      <w:r>
        <w:rPr>
          <w:rFonts w:hint="eastAsia" w:ascii="宋体" w:hAnsi="宋体"/>
          <w:color w:val="000000"/>
          <w:sz w:val="30"/>
          <w:szCs w:val="30"/>
          <w:lang w:val="en-US" w:eastAsia="zh-CN"/>
        </w:rPr>
        <w:t>是（√） 否（）</w:t>
      </w:r>
    </w:p>
    <w:p w14:paraId="49E3E09A">
      <w:pPr>
        <w:keepNext w:val="0"/>
        <w:keepLines w:val="0"/>
        <w:widowControl/>
        <w:suppressLineNumbers w:val="0"/>
        <w:jc w:val="both"/>
        <w:rPr>
          <w:rFonts w:ascii="宋体" w:hAnsi="宋体" w:eastAsia="宋体" w:cs="宋体"/>
          <w:b/>
          <w:bCs/>
          <w:kern w:val="0"/>
          <w:sz w:val="44"/>
          <w:szCs w:val="44"/>
          <w:lang w:val="en-US" w:eastAsia="zh-CN" w:bidi="ar"/>
        </w:rPr>
      </w:pPr>
    </w:p>
    <w:p w14:paraId="6894B5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40"/>
          <w:lang w:val="en-US" w:eastAsia="zh-CN"/>
        </w:rPr>
      </w:pPr>
    </w:p>
    <w:p w14:paraId="388793F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40"/>
          <w:lang w:val="en-US" w:eastAsia="zh-CN"/>
        </w:rPr>
      </w:pPr>
    </w:p>
    <w:p w14:paraId="1E66D87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40"/>
          <w:lang w:val="en-US" w:eastAsia="zh-CN"/>
        </w:rPr>
      </w:pPr>
      <w:r>
        <w:rPr>
          <w:rFonts w:hint="eastAsia" w:ascii="黑体" w:hAnsi="黑体" w:eastAsia="黑体" w:cs="黑体"/>
          <w:b/>
          <w:bCs/>
          <w:sz w:val="32"/>
          <w:szCs w:val="40"/>
          <w:lang w:val="en-US" w:eastAsia="zh-CN"/>
        </w:rPr>
        <w:t>理由：</w:t>
      </w:r>
    </w:p>
    <w:p w14:paraId="2CF033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番禺区作为“食在广州 味在番禺”美食品牌的核心承载地，餐饮产业基础雄厚、文化底蕴深厚，广州国际美食节主会场永久落户更让番禺成为展示广府美食文化的重要窗口。2025年，番禺区在美食节活动期间成功组织了首届中国广州机器人厨师大赛，吸引了众多智能装备企业、餐饮品牌参与，现场展示的炒菜机器人在标准化出品、高效节能等方面的优势获得广泛认可，不仅为美食节增添了科技亮点，更探索出“餐饮文化+智能装备”的融合发展新路径。</w:t>
      </w:r>
    </w:p>
    <w:p w14:paraId="62AD15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当前，炒菜机器人产业正处于高速增长期，2025年市场规模将突破37亿元，2030年更是有望突破117亿元。推动炒菜机器人在番禺区的发展，既是落实番禺区“美食+科技+旅游”融合发展战略的重要举措，可进一步擦亮“味在番禺”品牌；也是赋能餐饮产业转型升级的关键抓手，能有效解决传统餐饮行业用工难、出品标准化不足、效率偏低等痛点；同时还能依托番禺区机器人产业基础，促进智能装备与餐饮产业深度融合，培育新的经济增长点，为番禺区高质量发展注入新动能。</w:t>
      </w:r>
    </w:p>
    <w:p w14:paraId="3AEAD03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40"/>
          <w:lang w:val="en-US" w:eastAsia="zh-CN"/>
        </w:rPr>
      </w:pPr>
      <w:bookmarkStart w:id="1" w:name="_GoBack"/>
      <w:bookmarkEnd w:id="1"/>
      <w:r>
        <w:rPr>
          <w:rFonts w:hint="eastAsia" w:ascii="仿宋_GB2312" w:hAnsi="仿宋_GB2312" w:eastAsia="仿宋_GB2312" w:cs="仿宋_GB2312"/>
          <w:b/>
          <w:bCs/>
          <w:sz w:val="32"/>
          <w:szCs w:val="40"/>
          <w:lang w:val="en-US" w:eastAsia="zh-CN"/>
        </w:rPr>
        <w:t>存在问题：</w:t>
      </w:r>
    </w:p>
    <w:p w14:paraId="760EE6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尽管首届中国广州机器人厨师大赛取得良好成效，但番禺区在推动炒菜机器人产业发展仍面临诸多挑战：</w:t>
      </w:r>
      <w:r>
        <w:rPr>
          <w:rFonts w:hint="eastAsia" w:ascii="仿宋_GB2312" w:hAnsi="仿宋_GB2312" w:eastAsia="仿宋_GB2312" w:cs="仿宋_GB2312"/>
          <w:b/>
          <w:bCs/>
          <w:sz w:val="32"/>
          <w:szCs w:val="40"/>
          <w:lang w:val="en-US" w:eastAsia="zh-CN"/>
        </w:rPr>
        <w:t>一是</w:t>
      </w:r>
      <w:r>
        <w:rPr>
          <w:rFonts w:hint="eastAsia" w:ascii="仿宋_GB2312" w:hAnsi="仿宋_GB2312" w:eastAsia="仿宋_GB2312" w:cs="仿宋_GB2312"/>
          <w:sz w:val="32"/>
          <w:szCs w:val="40"/>
          <w:lang w:val="en-US" w:eastAsia="zh-CN"/>
        </w:rPr>
        <w:t>产业生态尚未完善，炒菜机器人研发企业、核心零部件供应商、餐饮应用场景之间协同联动不足，未能形成产业链聚合效应；</w:t>
      </w:r>
      <w:r>
        <w:rPr>
          <w:rFonts w:hint="eastAsia" w:ascii="仿宋_GB2312" w:hAnsi="仿宋_GB2312" w:eastAsia="仿宋_GB2312" w:cs="仿宋_GB2312"/>
          <w:b/>
          <w:bCs/>
          <w:sz w:val="32"/>
          <w:szCs w:val="40"/>
          <w:lang w:val="en-US" w:eastAsia="zh-CN"/>
        </w:rPr>
        <w:t>二是</w:t>
      </w:r>
      <w:r>
        <w:rPr>
          <w:rFonts w:hint="eastAsia" w:ascii="仿宋_GB2312" w:hAnsi="仿宋_GB2312" w:eastAsia="仿宋_GB2312" w:cs="仿宋_GB2312"/>
          <w:sz w:val="32"/>
          <w:szCs w:val="40"/>
          <w:lang w:val="en-US" w:eastAsia="zh-CN"/>
        </w:rPr>
        <w:t>应用推广存在瓶颈，部分餐饮企业对炒菜机器人的认知度、接受度不高，加之设备采购成本较高、后期运维服务体系不健全，导致市场化应用率偏低；</w:t>
      </w:r>
      <w:r>
        <w:rPr>
          <w:rFonts w:hint="eastAsia" w:ascii="仿宋_GB2312" w:hAnsi="仿宋_GB2312" w:eastAsia="仿宋_GB2312" w:cs="仿宋_GB2312"/>
          <w:b/>
          <w:bCs/>
          <w:sz w:val="32"/>
          <w:szCs w:val="40"/>
          <w:lang w:val="en-US" w:eastAsia="zh-CN"/>
        </w:rPr>
        <w:t>三是</w:t>
      </w:r>
      <w:r>
        <w:rPr>
          <w:rFonts w:hint="eastAsia" w:ascii="仿宋_GB2312" w:hAnsi="仿宋_GB2312" w:eastAsia="仿宋_GB2312" w:cs="仿宋_GB2312"/>
          <w:sz w:val="32"/>
          <w:szCs w:val="40"/>
          <w:lang w:val="en-US" w:eastAsia="zh-CN"/>
        </w:rPr>
        <w:t>政策支持体系有待健全，缺乏针对性的扶持政策，在技术研发、场景落地、人才培养等方面的保障力度不足；</w:t>
      </w:r>
      <w:r>
        <w:rPr>
          <w:rFonts w:hint="eastAsia" w:ascii="仿宋_GB2312" w:hAnsi="仿宋_GB2312" w:eastAsia="仿宋_GB2312" w:cs="仿宋_GB2312"/>
          <w:b/>
          <w:bCs/>
          <w:sz w:val="32"/>
          <w:szCs w:val="40"/>
          <w:lang w:val="en-US" w:eastAsia="zh-CN"/>
        </w:rPr>
        <w:t>四是</w:t>
      </w:r>
      <w:r>
        <w:rPr>
          <w:rFonts w:hint="eastAsia" w:ascii="仿宋_GB2312" w:hAnsi="仿宋_GB2312" w:eastAsia="仿宋_GB2312" w:cs="仿宋_GB2312"/>
          <w:sz w:val="32"/>
          <w:szCs w:val="40"/>
          <w:lang w:val="en-US" w:eastAsia="zh-CN"/>
        </w:rPr>
        <w:t>标准规范尚未建立，针对炒菜机器人的安全性能、出品质量、操作规范等缺乏统一标准，影响产业健康有序发展。</w:t>
      </w:r>
    </w:p>
    <w:p w14:paraId="0C954A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lang w:val="en-US" w:eastAsia="zh-CN"/>
        </w:rPr>
      </w:pPr>
    </w:p>
    <w:p w14:paraId="475C85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40"/>
          <w:lang w:val="en-US" w:eastAsia="zh-CN"/>
        </w:rPr>
      </w:pPr>
      <w:r>
        <w:rPr>
          <w:rFonts w:hint="eastAsia" w:ascii="黑体" w:hAnsi="黑体" w:eastAsia="黑体" w:cs="黑体"/>
          <w:b/>
          <w:bCs/>
          <w:sz w:val="32"/>
          <w:szCs w:val="40"/>
          <w:lang w:val="en-US" w:eastAsia="zh-CN"/>
        </w:rPr>
        <w:t>办法：</w:t>
      </w:r>
    </w:p>
    <w:p w14:paraId="47DEB0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为充分发挥番禺区餐饮文化与产业基础优势，推动炒菜机器人产业高质量发展，提出以下建议：</w:t>
      </w:r>
    </w:p>
    <w:p w14:paraId="1C93D2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（一）强化顶层设计，构建产业发展生态。</w:t>
      </w:r>
      <w:r>
        <w:rPr>
          <w:rFonts w:hint="eastAsia" w:ascii="仿宋_GB2312" w:hAnsi="仿宋_GB2312" w:eastAsia="仿宋_GB2312" w:cs="仿宋_GB2312"/>
          <w:sz w:val="32"/>
          <w:szCs w:val="40"/>
          <w:lang w:val="en-US" w:eastAsia="zh-CN"/>
        </w:rPr>
        <w:t>一是编制专项发展规划，结合番禺区机器人产业布局和餐饮产业特色，制定《番禺区推动炒菜机器人产业发展行动计划》，明确发展目标、重点任务和保障措施。二是打造产业集聚平台，依托广州国际科技创新城、番禺经济技术开发区等载体，规划建设炒菜机器人产业园区，吸引研发企业、核心零部件供应商、运维服务机构入驻，形成“研发-生产-应用-服务”全产业链布局。三是建立产业协同机制，发挥行业协会桥梁纽带作用，推动炒菜机器人企业与餐饮连锁品牌、中央厨房、学校食堂等应用场景深度合作，促进技术创新与市场需求精准对接。</w:t>
      </w:r>
    </w:p>
    <w:p w14:paraId="00AC76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（二）深化应用推广，拓展场景落地空间。</w:t>
      </w:r>
      <w:r>
        <w:rPr>
          <w:rFonts w:hint="eastAsia" w:ascii="仿宋_GB2312" w:hAnsi="仿宋_GB2312" w:eastAsia="仿宋_GB2312" w:cs="仿宋_GB2312"/>
          <w:sz w:val="32"/>
          <w:szCs w:val="40"/>
          <w:lang w:val="en-US" w:eastAsia="zh-CN"/>
        </w:rPr>
        <w:t>一是办好常态化赛事活动，总结首届中国广州机器人厨师大赛经验，将其纳入广州国际美食节固定活动板块，打造“中国广州机器人厨师大赛”品牌，通过以赛促研、以赛促用，提升产业知名度和影响力。二是实施应用示范工程，选取大型餐饮连锁企业、中央厨房、机关事业单位食堂等场景，开展炒菜机器人应用试点，对试点单位给予设备采购补贴、运维服务支持，总结可复制推广的应用模式。三是加强市场引导，通过举办产业论坛、技术沙龙、现场观摩等活动，普及炒菜机器人技术优势，提升餐饮企业认知度和接受度。</w:t>
      </w:r>
    </w:p>
    <w:p w14:paraId="18911E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（三）健全政策保障，强化发展支撑能力。</w:t>
      </w:r>
      <w:r>
        <w:rPr>
          <w:rFonts w:hint="eastAsia" w:ascii="仿宋_GB2312" w:hAnsi="仿宋_GB2312" w:eastAsia="仿宋_GB2312" w:cs="仿宋_GB2312"/>
          <w:sz w:val="32"/>
          <w:szCs w:val="40"/>
          <w:lang w:val="en-US" w:eastAsia="zh-CN"/>
        </w:rPr>
        <w:t>一是加大财政金融支持，设立炒菜机器人产业发展专项基金，对企业研发投入、成果转化、标准制定等给予资金扶持；建立政银企对接机制，鼓励金融机构创新知识产权质押、设备融资租赁等金融产品，缓解企业融资压力。二是加强人才培养引进，深化校企合作，支持番禺区的职业院校开设智能烹饪装备相关专业，培养兼具机器人技术和餐饮知识的复合型人才；制定专项人才引进计划，吸引国内外高端研发人才和团队落户番禺。三是完善标准规范体系，联合行业协会、科研机构、龙头企业，制定炒菜机器人安全性能、出品质量、操作流程等地方标准，推动产业标准化、规范化发展。</w:t>
      </w:r>
    </w:p>
    <w:p w14:paraId="7DD6D0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lang w:val="en-US" w:eastAsia="zh-CN"/>
        </w:rPr>
        <w:t>（四）推动文旅融合，提升品牌影响力。</w:t>
      </w:r>
      <w:r>
        <w:rPr>
          <w:rFonts w:hint="eastAsia" w:ascii="仿宋_GB2312" w:hAnsi="仿宋_GB2312" w:eastAsia="仿宋_GB2312" w:cs="仿宋_GB2312"/>
          <w:sz w:val="32"/>
          <w:szCs w:val="40"/>
          <w:lang w:val="en-US" w:eastAsia="zh-CN"/>
        </w:rPr>
        <w:t>一是打造“科技+美食”文旅IP，将炒菜机器人展示体验纳入番禺美食旅游线路，在美食街、旅游景区等场所设置智能烹饪体验区，让游客感受科技赋能下的广府美食文化创新。二是加强宣传推广，借助广州国际美食节、番禺文旅推介等平台，全方位展示番禺炒菜机器人产业发展成果，推动“番禺智能美食”品牌走向全国、走向世界。三是深化国际交流合作，积极对接粤港澳大湾区智能装备企业和餐饮品牌，开展技术交流、产业协作，助力炒菜机器人产业融入全球产业链、价值链。</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82CC08-5054-4B27-B9EA-81B08A6633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CDD9A15-7AB5-4DFA-A141-96CC7EEC8D71}"/>
  </w:font>
  <w:font w:name="小标宋">
    <w:altName w:val="微软雅黑"/>
    <w:panose1 w:val="03000509000000000000"/>
    <w:charset w:val="86"/>
    <w:family w:val="script"/>
    <w:pitch w:val="default"/>
    <w:sig w:usb0="00000000" w:usb1="00000000" w:usb2="00000000" w:usb3="00000000" w:csb0="00040000" w:csb1="00000000"/>
    <w:embedRegular r:id="rId3" w:fontKey="{4EFD2E4B-B154-43D2-9A96-BE092715D38C}"/>
  </w:font>
  <w:font w:name="仿宋">
    <w:panose1 w:val="02010609060101010101"/>
    <w:charset w:val="86"/>
    <w:family w:val="auto"/>
    <w:pitch w:val="default"/>
    <w:sig w:usb0="800002BF" w:usb1="38CF7CFA" w:usb2="00000016" w:usb3="00000000" w:csb0="00040001" w:csb1="00000000"/>
    <w:embedRegular r:id="rId4" w:fontKey="{1A9BCA55-AFD6-49D3-8330-A14CBD76D53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EA99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3D528">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23D528">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973292"/>
    <w:rsid w:val="1402402A"/>
    <w:rsid w:val="168950AC"/>
    <w:rsid w:val="45243982"/>
    <w:rsid w:val="4A946440"/>
    <w:rsid w:val="4FF77999"/>
    <w:rsid w:val="53A81512"/>
    <w:rsid w:val="5D221A2B"/>
    <w:rsid w:val="62D91739"/>
    <w:rsid w:val="6BBC7A15"/>
    <w:rsid w:val="7A094544"/>
    <w:rsid w:val="7AB34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4a428744-82ed-4d33-a03a-a8c7feb9ce70</errorID>
      <errorWord>-</errorWord>
      <group>L1_Format</group>
      <groupName>格式问题</groupName>
      <ability>L2_HalfPunc</ability>
      <abilityName>全半角检查</abilityName>
      <candidateList>
        <item>－</item>
      </candidateList>
      <explain>文本全半角错误。</explain>
      <paraID>1C93D236</paraID>
      <start>170</start>
      <end>171</end>
      <status>unmodified</status>
      <modifiedWord/>
      <trackRevisions>false</trackRevisions>
    </reviewItem>
    <reviewItem>
      <errorID>c6b65bcd-1f15-4e8f-bcb9-048e1269ae4e</errorID>
      <errorWord>-</errorWord>
      <group>L1_Format</group>
      <groupName>格式问题</groupName>
      <ability>L2_HalfPunc</ability>
      <abilityName>全半角检查</abilityName>
      <candidateList>
        <item>－</item>
      </candidateList>
      <explain>文本全半角错误。</explain>
      <paraID>1C93D236</paraID>
      <start>173</start>
      <end>174</end>
      <status>unmodified</status>
      <modifiedWord/>
      <trackRevisions>false</trackRevisions>
    </reviewItem>
    <reviewItem>
      <errorID>136e916c-35f8-40fa-b75b-725f6ce52892</errorID>
      <errorWord>-</errorWord>
      <group>L1_Format</group>
      <groupName>格式问题</groupName>
      <ability>L2_HalfPunc</ability>
      <abilityName>全半角检查</abilityName>
      <candidateList>
        <item>－</item>
      </candidateList>
      <explain>文本全半角错误。</explain>
      <paraID>1C93D236</paraID>
      <start>176</start>
      <end>177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1cf857-45e2-4ae5-85ee-35dd817d70b6}">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1935</Words>
  <Characters>1948</Characters>
  <Lines>0</Lines>
  <Paragraphs>0</Paragraphs>
  <TotalTime>21</TotalTime>
  <ScaleCrop>false</ScaleCrop>
  <LinksUpToDate>false</LinksUpToDate>
  <CharactersWithSpaces>1955</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2026-02-01T09:22:00Z</dcterms:created>
  <dc:creator>ZHANGZHUHENG</dc:creator>
  <cp:lastModifiedBy>Administrator</cp:lastModifiedBy>
  <cp:lastPrinted>2026-02-02T09:33:00Z</cp:lastPrinted>
  <dcterms:modified xsi:type="dcterms:W3CDTF">2026-09-09T07:16:24Z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KSOTemplateDocerSaveRecord">
    <vt:lpwstr>eyJoZGlkIjoiNGUyMTViYTJiMzUxOGVjY2NhZmY0NzZjMjVlYTg5NzMiLCJ1c2VySWQiOiI3MjcwMTkwNjYifQ==</vt:lpwstr>
  </property>
  <property fmtid="{D5CDD505-2E9C-101B-9397-08002B2CF9AE}" pid="4" name="ICV">
    <vt:lpwstr>6FA11E89E4D34AAB9AF0BC6CA910689E_12</vt:lpwstr>
  </property>
</Properties>
</file>