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B1EF7">
      <w:pPr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207E7C7E">
      <w:pPr>
        <w:jc w:val="center"/>
        <w:rPr>
          <w:rFonts w:hint="eastAsia" w:ascii="方正小标宋_GBK" w:hAnsi="方正小标宋_GBK" w:eastAsia="方正小标宋_GBK" w:cs="方正小标宋_GBK"/>
          <w:sz w:val="48"/>
          <w:szCs w:val="48"/>
        </w:rPr>
      </w:pPr>
      <w:r>
        <w:rPr>
          <w:rFonts w:hint="eastAsia" w:ascii="方正小标宋_GBK" w:hAnsi="方正小标宋_GBK" w:eastAsia="方正小标宋_GBK" w:cs="方正小标宋_GBK"/>
          <w:sz w:val="48"/>
          <w:szCs w:val="48"/>
        </w:rPr>
        <w:t>番禺区政协十</w:t>
      </w:r>
      <w:r>
        <w:rPr>
          <w:rFonts w:hint="eastAsia" w:ascii="方正小标宋_GBK" w:hAnsi="方正小标宋_GBK" w:eastAsia="方正小标宋_GBK" w:cs="方正小标宋_GBK"/>
          <w:sz w:val="48"/>
          <w:szCs w:val="48"/>
          <w:lang w:eastAsia="zh-CN"/>
        </w:rPr>
        <w:t>五</w:t>
      </w:r>
      <w:r>
        <w:rPr>
          <w:rFonts w:hint="eastAsia" w:ascii="方正小标宋_GBK" w:hAnsi="方正小标宋_GBK" w:eastAsia="方正小标宋_GBK" w:cs="方正小标宋_GBK"/>
          <w:sz w:val="48"/>
          <w:szCs w:val="48"/>
        </w:rPr>
        <w:t>届</w:t>
      </w:r>
      <w:r>
        <w:rPr>
          <w:rFonts w:hint="eastAsia" w:ascii="方正小标宋_GBK" w:hAnsi="方正小标宋_GBK" w:eastAsia="方正小标宋_GBK" w:cs="方正小标宋_GBK"/>
          <w:sz w:val="48"/>
          <w:szCs w:val="48"/>
          <w:lang w:val="en-US" w:eastAsia="zh-CN"/>
        </w:rPr>
        <w:t>六</w:t>
      </w:r>
      <w:r>
        <w:rPr>
          <w:rFonts w:hint="eastAsia" w:ascii="方正小标宋_GBK" w:hAnsi="方正小标宋_GBK" w:eastAsia="方正小标宋_GBK" w:cs="方正小标宋_GBK"/>
          <w:sz w:val="48"/>
          <w:szCs w:val="48"/>
        </w:rPr>
        <w:t>次会议提案</w:t>
      </w:r>
    </w:p>
    <w:tbl>
      <w:tblPr>
        <w:tblStyle w:val="11"/>
        <w:tblW w:w="9359" w:type="dxa"/>
        <w:tblInd w:w="-7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8"/>
        <w:gridCol w:w="3217"/>
        <w:gridCol w:w="1298"/>
        <w:gridCol w:w="2966"/>
      </w:tblGrid>
      <w:tr w14:paraId="25DB7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A3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题</w:t>
            </w: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目</w:t>
            </w:r>
          </w:p>
        </w:tc>
        <w:tc>
          <w:tcPr>
            <w:tcW w:w="74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BE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关于加快推动番禺动漫游艺文化产业链提质增收的建议</w:t>
            </w:r>
          </w:p>
        </w:tc>
      </w:tr>
      <w:tr w14:paraId="7F97D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18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CC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提</w:t>
            </w: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案</w:t>
            </w: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者</w:t>
            </w:r>
          </w:p>
          <w:p w14:paraId="6A183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（括号内注明主笔人）</w:t>
            </w:r>
          </w:p>
        </w:tc>
        <w:tc>
          <w:tcPr>
            <w:tcW w:w="3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CE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区政协工商组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61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联系人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F4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王锦荣</w:t>
            </w:r>
          </w:p>
        </w:tc>
      </w:tr>
      <w:tr w14:paraId="7943C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2" w:hRule="atLeast"/>
        </w:trPr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74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工作单位</w:t>
            </w:r>
          </w:p>
        </w:tc>
        <w:tc>
          <w:tcPr>
            <w:tcW w:w="3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2AF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广州番禺电缆集团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AD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职</w:t>
            </w:r>
            <w:r>
              <w:rPr>
                <w:rFonts w:ascii="仿宋_GB2312" w:hAnsi="宋体" w:eastAsia="仿宋_GB2312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务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83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区政协常委、区工商联常务副主席、南村总商会会长、番缆集团董事长</w:t>
            </w:r>
          </w:p>
        </w:tc>
      </w:tr>
      <w:tr w14:paraId="41DF8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4A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手机号码</w:t>
            </w:r>
          </w:p>
        </w:tc>
        <w:tc>
          <w:tcPr>
            <w:tcW w:w="3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A9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/>
                <w:sz w:val="32"/>
                <w:szCs w:val="32"/>
                <w:lang w:val="en-US"/>
              </w:rPr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1C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28"/>
                <w:sz w:val="32"/>
                <w:szCs w:val="32"/>
              </w:rPr>
              <w:t>办公电话</w:t>
            </w:r>
          </w:p>
        </w:tc>
        <w:tc>
          <w:tcPr>
            <w:tcW w:w="2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47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/>
                <w:sz w:val="32"/>
                <w:szCs w:val="32"/>
                <w:lang w:val="en-US" w:eastAsia="zh-CN"/>
              </w:rPr>
            </w:pPr>
          </w:p>
        </w:tc>
      </w:tr>
      <w:tr w14:paraId="3A3DF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2D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通讯地址</w:t>
            </w:r>
          </w:p>
        </w:tc>
        <w:tc>
          <w:tcPr>
            <w:tcW w:w="74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C4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宋体" w:eastAsia="仿宋_GB2312"/>
                <w:sz w:val="32"/>
                <w:szCs w:val="32"/>
                <w:lang w:val="en-US" w:eastAsia="zh-CN"/>
              </w:rPr>
            </w:pPr>
          </w:p>
        </w:tc>
      </w:tr>
      <w:tr w14:paraId="5DC7D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4D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pacing w:val="-14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联名提案人</w:t>
            </w:r>
          </w:p>
        </w:tc>
        <w:tc>
          <w:tcPr>
            <w:tcW w:w="74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71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区政协经济和城建资源环境委、政协南村镇工作室</w:t>
            </w:r>
          </w:p>
        </w:tc>
      </w:tr>
      <w:tr w14:paraId="31865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</w:trPr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0D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提案委员会审查意见</w:t>
            </w:r>
          </w:p>
        </w:tc>
        <w:tc>
          <w:tcPr>
            <w:tcW w:w="74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C5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同意立案</w:t>
            </w:r>
          </w:p>
        </w:tc>
      </w:tr>
    </w:tbl>
    <w:p w14:paraId="515B1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根据实际情况在</w:t>
      </w:r>
      <w:r>
        <w:rPr>
          <w:rFonts w:hint="eastAsia" w:ascii="黑体" w:hAnsi="黑体" w:eastAsia="黑体"/>
          <w:sz w:val="32"/>
          <w:szCs w:val="32"/>
          <w:lang w:eastAsia="zh-CN"/>
        </w:rPr>
        <w:t>（）</w:t>
      </w:r>
      <w:r>
        <w:rPr>
          <w:rFonts w:hint="eastAsia" w:ascii="黑体" w:hAnsi="黑体" w:eastAsia="黑体"/>
          <w:sz w:val="32"/>
          <w:szCs w:val="32"/>
        </w:rPr>
        <w:t>内打勾确认：</w:t>
      </w:r>
    </w:p>
    <w:p w14:paraId="158A1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  <w:lang w:eastAsia="zh-CN"/>
        </w:rPr>
        <w:t>是否同意公开</w:t>
      </w:r>
      <w:r>
        <w:rPr>
          <w:rFonts w:hint="eastAsia" w:ascii="宋体" w:hAnsi="宋体"/>
          <w:b/>
          <w:sz w:val="32"/>
          <w:szCs w:val="32"/>
        </w:rPr>
        <w:t>：</w:t>
      </w:r>
    </w:p>
    <w:p w14:paraId="13D5BB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/>
          <w:sz w:val="32"/>
          <w:szCs w:val="32"/>
          <w:lang w:eastAsia="zh-CN"/>
        </w:rPr>
      </w:pPr>
      <w:r>
        <w:rPr>
          <w:rFonts w:hint="eastAsia" w:ascii="宋体" w:hAnsi="宋体"/>
          <w:sz w:val="32"/>
          <w:szCs w:val="32"/>
          <w:lang w:eastAsia="zh-CN"/>
        </w:rPr>
        <w:t>是（</w:t>
      </w:r>
      <w:r>
        <w:rPr>
          <w:rFonts w:hint="default" w:ascii="Arial" w:hAnsi="Arial" w:cs="Arial"/>
          <w:sz w:val="32"/>
          <w:szCs w:val="32"/>
          <w:lang w:eastAsia="zh-CN"/>
        </w:rPr>
        <w:t>√</w:t>
      </w:r>
      <w:r>
        <w:rPr>
          <w:rFonts w:hint="eastAsia" w:ascii="宋体" w:hAnsi="宋体"/>
          <w:sz w:val="32"/>
          <w:szCs w:val="32"/>
          <w:lang w:eastAsia="zh-CN"/>
        </w:rPr>
        <w:t>）</w:t>
      </w:r>
      <w:r>
        <w:rPr>
          <w:rFonts w:ascii="宋体" w:hAnsi="宋体"/>
          <w:sz w:val="32"/>
          <w:szCs w:val="32"/>
        </w:rPr>
        <w:t xml:space="preserve">  </w:t>
      </w:r>
      <w:r>
        <w:rPr>
          <w:rFonts w:hint="eastAsia" w:ascii="宋体" w:hAnsi="宋体"/>
          <w:sz w:val="32"/>
          <w:szCs w:val="32"/>
          <w:lang w:eastAsia="zh-CN"/>
        </w:rPr>
        <w:t>否（）</w:t>
      </w:r>
    </w:p>
    <w:p w14:paraId="4964FD2C">
      <w:pPr>
        <w:rPr>
          <w:rFonts w:hint="eastAsia" w:ascii="黑体" w:hAnsi="黑体" w:eastAsia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/>
          <w:sz w:val="32"/>
          <w:szCs w:val="32"/>
          <w:lang w:val="en-US" w:eastAsia="zh-CN"/>
        </w:rPr>
        <w:br w:type="page"/>
      </w:r>
    </w:p>
    <w:p w14:paraId="3980B82D">
      <w:pPr>
        <w:spacing w:line="440" w:lineRule="exact"/>
        <w:rPr>
          <w:rFonts w:hint="default" w:ascii="黑体" w:hAnsi="黑体" w:eastAsia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/>
          <w:sz w:val="32"/>
          <w:szCs w:val="32"/>
          <w:lang w:val="en-US" w:eastAsia="zh-CN"/>
        </w:rPr>
        <w:t>理由：</w:t>
      </w:r>
    </w:p>
    <w:p w14:paraId="45197353">
      <w:pPr>
        <w:pStyle w:val="2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afterAutospacing="0" w:line="54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auto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auto"/>
        </w:rPr>
        <w:t>一、提案背景</w:t>
      </w:r>
    </w:p>
    <w:p w14:paraId="358D1A37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动漫游艺文化产业是文化与科技深度融合的核心业态，更是培育新质生产力、助力“双循环”新发展格局的重要抓手。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国家层面，《中共中央关于制定国民经济和社会发展第十五个五年规划的建议》明确深化文化和科技融合，2025年中共中央办公厅、国务院办公厅印发的《提振消费专项行动方案》</w:t>
      </w:r>
      <w:r>
        <w:rPr>
          <w:rStyle w:val="15"/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footnoteReference w:id="0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更首次将游戏产业提升至国家战略消费层级，提出“支持开发原创IP</w:t>
      </w:r>
      <w:r>
        <w:rPr>
          <w:rStyle w:val="15"/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footnoteReference w:id="1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品牌，促进动漫、游戏、电竞及衍生品消费”，为产业发展注入强劲政策动能。</w:t>
      </w:r>
    </w:p>
    <w:p w14:paraId="2EDC71FD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sz w:val="32"/>
          <w:szCs w:val="32"/>
          <w:shd w:val="clear" w:color="auto" w:fill="auto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番禺区经过近30年积淀，已成为全球重要产业集聚区，形成“一区多园”格局。当前，游戏游艺设备国内市场占比超60%、全球近20%，集聚企业近2000家、从业人员5万多人，</w:t>
      </w:r>
      <w:r>
        <w:rPr>
          <w:rStyle w:val="15"/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footnoteReference w:id="2"/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2025年，番禺游戏游艺设备总营收超百亿元，出口额增幅超40%，预计达到40亿元，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国家文化出口基地的核心支撑。在VR</w:t>
      </w:r>
      <w:r>
        <w:rPr>
          <w:rStyle w:val="15"/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footnoteReference w:id="3"/>
      </w:r>
      <w:r>
        <w:rPr>
          <w:rStyle w:val="13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fill="FFFFFF"/>
          <w:lang w:val="en-US" w:eastAsia="zh-CN"/>
        </w:rPr>
        <w:t>（虚拟现实）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/AR</w:t>
      </w:r>
      <w:r>
        <w:rPr>
          <w:rStyle w:val="15"/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footnoteReference w:id="4"/>
      </w:r>
      <w:r>
        <w:rPr>
          <w:rStyle w:val="13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fill="FFFFFF"/>
          <w:lang w:val="en-US" w:eastAsia="zh-CN"/>
        </w:rPr>
        <w:t>（增强现实）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、AI</w:t>
      </w:r>
      <w:r>
        <w:rPr>
          <w:rStyle w:val="13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fill="FFFFFF"/>
          <w:lang w:val="en-US" w:eastAsia="zh-CN"/>
        </w:rPr>
        <w:t>（人工智能）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等技术革新与IP驱动的行业趋势下，番禺产业具备向价值链中高端跃升的基础，但仍面临多重发展瓶颈，亟需通过系统性举措破解难题。</w:t>
      </w:r>
    </w:p>
    <w:p w14:paraId="7672B029">
      <w:pPr>
        <w:pStyle w:val="2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afterAutospacing="0" w:line="540" w:lineRule="exact"/>
        <w:ind w:left="0" w:firstLine="640" w:firstLineChars="200"/>
        <w:textAlignment w:val="auto"/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auto"/>
        </w:rPr>
        <w:t>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存在问题</w:t>
      </w:r>
    </w:p>
    <w:p w14:paraId="58CB9D5A">
      <w:pPr>
        <w:keepNext w:val="0"/>
        <w:keepLines w:val="0"/>
        <w:pageBreakBefore w:val="0"/>
        <w:widowControl w:val="0"/>
        <w:numPr>
          <w:ilvl w:val="-1"/>
          <w:numId w:val="0"/>
        </w:numPr>
        <w:pBdr>
          <w:lef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ind w:firstLine="643" w:firstLineChars="200"/>
        <w:textAlignment w:val="auto"/>
        <w:rPr>
          <w:rStyle w:val="13"/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shd w:val="clear" w:fill="FFFFFF"/>
          <w:lang w:val="en-US" w:eastAsia="zh-CN"/>
        </w:rPr>
      </w:pPr>
      <w:r>
        <w:rPr>
          <w:rStyle w:val="13"/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shd w:val="clear" w:fill="FFFFFF"/>
          <w:lang w:val="en-US" w:eastAsia="zh-CN"/>
        </w:rPr>
        <w:t>（一）产业链失衡，新质生产力转化不足</w:t>
      </w:r>
    </w:p>
    <w:p w14:paraId="462CF35C">
      <w:pPr>
        <w:keepNext w:val="0"/>
        <w:keepLines w:val="0"/>
        <w:pageBreakBefore w:val="0"/>
        <w:widowControl w:val="0"/>
        <w:numPr>
          <w:ilvl w:val="-1"/>
          <w:numId w:val="0"/>
        </w:numPr>
        <w:pBdr>
          <w:lef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ind w:firstLine="640" w:firstLineChars="200"/>
        <w:textAlignment w:val="auto"/>
        <w:rPr>
          <w:rStyle w:val="13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fill="FFFFFF"/>
          <w:lang w:val="en-US" w:eastAsia="zh-CN"/>
        </w:rPr>
      </w:pPr>
      <w:r>
        <w:rPr>
          <w:rStyle w:val="13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fill="FFFFFF"/>
          <w:lang w:val="en-US" w:eastAsia="zh-CN"/>
        </w:rPr>
        <w:t>因关键技术受国外垄断影响，番禺企业多集中于设备制造和衍生品加工等中低端环节；原创IP匮乏，龙头企业依赖“奥特曼”等进口IP并支付高额授权费，国内IP本土孵化能力弱、授权市场混乱，缺乏本地大型授权展会；产业结构单一，以设备生产为主，与AI（人工智能）、元宇宙等新赛道融合不深，新质生产力产业化落地滞后，抗风险能力弱。</w:t>
      </w:r>
    </w:p>
    <w:p w14:paraId="76EA13C7">
      <w:pPr>
        <w:keepNext w:val="0"/>
        <w:keepLines w:val="0"/>
        <w:pageBreakBefore w:val="0"/>
        <w:widowControl w:val="0"/>
        <w:numPr>
          <w:ilvl w:val="-1"/>
          <w:numId w:val="0"/>
        </w:numPr>
        <w:pBdr>
          <w:lef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ind w:firstLine="643" w:firstLineChars="200"/>
        <w:textAlignment w:val="auto"/>
        <w:rPr>
          <w:rStyle w:val="13"/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shd w:val="clear" w:fill="FFFFFF"/>
          <w:lang w:val="en-US" w:eastAsia="zh-CN"/>
        </w:rPr>
      </w:pPr>
      <w:r>
        <w:rPr>
          <w:rStyle w:val="13"/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shd w:val="clear" w:fill="FFFFFF"/>
          <w:lang w:val="en-US" w:eastAsia="zh-CN"/>
        </w:rPr>
        <w:t>（二）体验载体不足，消费场景创新滞后</w:t>
      </w:r>
      <w:bookmarkStart w:id="0" w:name="_GoBack"/>
      <w:bookmarkEnd w:id="0"/>
    </w:p>
    <w:p w14:paraId="17DC16C5">
      <w:pPr>
        <w:keepNext w:val="0"/>
        <w:keepLines w:val="0"/>
        <w:pageBreakBefore w:val="0"/>
        <w:widowControl w:val="0"/>
        <w:numPr>
          <w:ilvl w:val="-1"/>
          <w:numId w:val="0"/>
        </w:numPr>
        <w:pBdr>
          <w:lef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ind w:firstLine="640" w:firstLineChars="200"/>
        <w:textAlignment w:val="auto"/>
        <w:rPr>
          <w:rStyle w:val="13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fill="FFFFFF"/>
          <w:lang w:val="en-US" w:eastAsia="zh-CN"/>
        </w:rPr>
      </w:pPr>
      <w:r>
        <w:rPr>
          <w:rStyle w:val="13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fill="FFFFFF"/>
          <w:lang w:val="en-US" w:eastAsia="zh-CN"/>
        </w:rPr>
        <w:t>缺乏3A大作（高投入、高制作、高影响力精品游戏）</w:t>
      </w:r>
      <w:r>
        <w:rPr>
          <w:rStyle w:val="15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fill="FFFFFF"/>
          <w:lang w:val="en-US" w:eastAsia="zh-CN"/>
        </w:rPr>
        <w:footnoteReference w:id="5"/>
      </w:r>
      <w:r>
        <w:rPr>
          <w:rStyle w:val="13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fill="FFFFFF"/>
          <w:lang w:val="en-US" w:eastAsia="zh-CN"/>
        </w:rPr>
        <w:t>、动漫电影等“破圈”产品，未布局米哈游等头部内容产业，研发动能不足；电竞产业缺位，2024年国内线下电竞赛事集中上海、成都等城市，番禺未能形成“内容制作-直播赛事-园区利用”循环；沉浸式体验空间稀缺，VR（虚拟现实）/AR（增强现实）技术与游艺设备、文旅场景融合不充分，消费者难以建立情感共鸣。</w:t>
      </w:r>
    </w:p>
    <w:p w14:paraId="4AD1D895">
      <w:pPr>
        <w:keepNext w:val="0"/>
        <w:keepLines w:val="0"/>
        <w:pageBreakBefore w:val="0"/>
        <w:widowControl w:val="0"/>
        <w:numPr>
          <w:ilvl w:val="-1"/>
          <w:numId w:val="0"/>
        </w:numPr>
        <w:pBdr>
          <w:lef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ind w:firstLine="643" w:firstLineChars="200"/>
        <w:textAlignment w:val="auto"/>
        <w:rPr>
          <w:rStyle w:val="13"/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shd w:val="clear" w:fill="FFFFFF"/>
          <w:lang w:val="en-US" w:eastAsia="zh-CN"/>
        </w:rPr>
      </w:pPr>
      <w:r>
        <w:rPr>
          <w:rStyle w:val="13"/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shd w:val="clear" w:fill="FFFFFF"/>
          <w:lang w:val="en-US" w:eastAsia="zh-CN"/>
        </w:rPr>
        <w:t>（三）生态保障薄弱，创新发展环境受限</w:t>
      </w:r>
    </w:p>
    <w:p w14:paraId="76863081">
      <w:pPr>
        <w:keepNext w:val="0"/>
        <w:keepLines w:val="0"/>
        <w:pageBreakBefore w:val="0"/>
        <w:widowControl w:val="0"/>
        <w:numPr>
          <w:ilvl w:val="-1"/>
          <w:numId w:val="0"/>
        </w:numPr>
        <w:pBdr>
          <w:lef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ind w:firstLine="640" w:firstLineChars="200"/>
        <w:textAlignment w:val="auto"/>
        <w:rPr>
          <w:rStyle w:val="13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fill="FFFFFF"/>
          <w:lang w:val="en-US" w:eastAsia="zh-CN"/>
        </w:rPr>
      </w:pPr>
      <w:r>
        <w:rPr>
          <w:rStyle w:val="13"/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shd w:val="clear" w:fill="FFFFFF"/>
          <w:lang w:val="en-US" w:eastAsia="zh-CN"/>
        </w:rPr>
        <w:t>产业载体紧张，星力动漫游戏产业园“一铺难求”，企业扩张及新项目落地空间不足；侵权问题突出，AIGC（生成式人工智能）催生大量二创加剧侵权风险，专利申请周期长，实用新型专利需半年以上，维权成本高，形成“创新者吃亏、抄袭者获利”畸形格局；多数上游企业因顾虑纳税成本及行业历史争议不愿升规纳统；文旅类产品监管标准、审核尺度不统一，缺乏明确准入与内容审核机制；融资渠道单一，缺少专项产业基金，市场交易账期风险高，海外参展及市场开拓成本居高不下。</w:t>
      </w:r>
    </w:p>
    <w:p w14:paraId="616283CA">
      <w:pPr>
        <w:pStyle w:val="2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afterAutospacing="0" w:line="540" w:lineRule="exact"/>
        <w:textAlignment w:val="auto"/>
        <w:rPr>
          <w:rFonts w:hint="eastAsia" w:ascii="黑体" w:hAnsi="黑体" w:eastAsia="黑体" w:cs="黑体"/>
          <w:b/>
          <w:bCs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</w:pPr>
    </w:p>
    <w:p w14:paraId="30675E34">
      <w:pPr>
        <w:pStyle w:val="2"/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afterAutospacing="0" w:line="540" w:lineRule="exac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shd w:val="clear" w:color="auto" w:fill="auto"/>
          <w:lang w:val="en-US" w:eastAsia="zh-CN"/>
        </w:rPr>
        <w:t>办法：</w:t>
      </w:r>
    </w:p>
    <w:p w14:paraId="06A144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highlight w:val="none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highlight w:val="none"/>
          <w:shd w:val="clear" w:fill="FFFFFF"/>
          <w:lang w:val="en-US" w:eastAsia="zh-CN" w:bidi="ar-SA"/>
        </w:rPr>
        <w:t>（一）构建全链条创新体系，加速新质生产力转化</w:t>
      </w:r>
    </w:p>
    <w:p w14:paraId="463AD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highlight w:val="none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highlight w:val="none"/>
          <w:shd w:val="clear" w:fill="FFFFFF"/>
          <w:lang w:val="en-US" w:eastAsia="zh-CN" w:bidi="ar-SA"/>
        </w:rPr>
        <w:t>推动“产学研用”一体化发展，整合华立科技（设备制造）、欢聚集团（内容宣发）、广州大学（人才培养）等资源，组建产业联合体，建立IP共享与协同开发机制。强化原创激励，举办IP创作赛事，对获奖作品提供孵化基地、版权登记、宣发资源“三重支持”。完善政策支持，设立专项产业基金，拓宽融资渠道，引导企业升规纳统，引导资本投向IP孵化、技术研发领域，推动产业从“制造端”向“内容端+服务端”跃升。</w:t>
      </w:r>
    </w:p>
    <w:p w14:paraId="134D4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highlight w:val="none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highlight w:val="none"/>
          <w:shd w:val="clear" w:fill="FFFFFF"/>
          <w:lang w:val="en-US" w:eastAsia="zh-CN" w:bidi="ar-SA"/>
        </w:rPr>
        <w:t>（二）打造沉浸式产业载体，激活场景创新动能</w:t>
      </w:r>
    </w:p>
    <w:p w14:paraId="540BF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highlight w:val="none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highlight w:val="none"/>
          <w:shd w:val="clear" w:fill="FFFFFF"/>
          <w:lang w:val="en-US" w:eastAsia="zh-CN" w:bidi="ar-SA"/>
        </w:rPr>
        <w:t>划定东环、大龙、南村为核心发展片区，整合星力产业园周边资源，打造集游戏体验、产品展示、新品发布于一体的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  <w:t>全球动漫游戏游艺科创谷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highlight w:val="none"/>
          <w:shd w:val="clear" w:fill="FFFFFF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  <w:lang w:val="en-US" w:eastAsia="zh-CN"/>
        </w:rPr>
        <w:t>谋划动漫游艺设备产业展会，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highlight w:val="none"/>
          <w:shd w:val="clear" w:fill="FFFFFF"/>
          <w:lang w:val="en-US" w:eastAsia="zh-CN" w:bidi="ar-SA"/>
        </w:rPr>
        <w:t>联动长隆、南站区域，建设电竞场馆、动漫主题乐园等载体，推动“文旅+IP+游艺”深度融合，设计“动漫文旅精品线路”，实现流量互导，丰富消费场景，释放Z世代消费潜力。</w:t>
      </w:r>
    </w:p>
    <w:p w14:paraId="5D087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highlight w:val="none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32"/>
          <w:szCs w:val="32"/>
          <w:highlight w:val="none"/>
          <w:shd w:val="clear" w:fill="FFFFFF"/>
          <w:lang w:val="en-US" w:eastAsia="zh-CN" w:bidi="ar-SA"/>
        </w:rPr>
        <w:t>（三）优化产业发展生态，夯实高质量发展基础</w:t>
      </w:r>
    </w:p>
    <w:p w14:paraId="67620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40" w:lineRule="exact"/>
        <w:ind w:firstLine="640" w:firstLineChars="200"/>
        <w:textAlignment w:val="auto"/>
        <w:rPr>
          <w:rStyle w:val="13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highlight w:val="none"/>
          <w:shd w:val="clear" w:fill="FFFFFF"/>
          <w:lang w:val="en-US" w:eastAsia="zh-CN" w:bidi="ar-SA"/>
        </w:rPr>
        <w:t>完善知识产权保护体系，简化专利申请流程，加大侵权打击力度。建立统一行业准入与监管标准，强化多部门协同监管，规范市场交易规则，建立应收账款保障机制，缓解企业资金周转压力。每年举办“番禺IP授权博览会”，探索与沪深展会联动，降低企业参展成本。搭建国际化交流平台，举办高端展会与IP授权博览会，为企业海外拓展提供参展补贴与资源对接服务，支持企业在“一带一路”沿线市场组建本地化团队，推动产品文化适配与渠道拓展，提升国际竞争力。</w:t>
      </w:r>
    </w:p>
    <w:p w14:paraId="308EC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13"/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sectPr>
      <w:footerReference r:id="rId4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5788D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034C4E">
                          <w:pPr>
                            <w:pStyle w:val="6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034C4E">
                    <w:pPr>
                      <w:pStyle w:val="6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2">
    <w:p>
      <w:r>
        <w:separator/>
      </w:r>
    </w:p>
  </w:footnote>
  <w:footnote w:type="continuationSeparator" w:id="13">
    <w:p>
      <w:r>
        <w:continuationSeparator/>
      </w:r>
    </w:p>
  </w:footnote>
  <w:footnote w:id="0">
    <w:p w14:paraId="4F2137A5">
      <w:pPr>
        <w:pStyle w:val="8"/>
        <w:snapToGrid w:val="0"/>
        <w:rPr>
          <w:sz w:val="21"/>
          <w:szCs w:val="32"/>
        </w:rPr>
      </w:pPr>
      <w:r>
        <w:rPr>
          <w:rStyle w:val="15"/>
          <w:sz w:val="21"/>
          <w:szCs w:val="32"/>
        </w:rPr>
        <w:footnoteRef/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"https://www.gov.cn/zhengce/202503/content_7013809.htm"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14"/>
          <w:rFonts w:ascii="宋体" w:hAnsi="宋体" w:eastAsia="宋体" w:cs="宋体"/>
          <w:sz w:val="24"/>
          <w:szCs w:val="24"/>
        </w:rPr>
        <w:t>中共中央办公厅国务院办公厅印发《提振消费专项行动方案》_最新政策_中国政府网</w:t>
      </w:r>
      <w:r>
        <w:rPr>
          <w:rFonts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2025.3.16</w:t>
      </w:r>
    </w:p>
  </w:footnote>
  <w:footnote w:id="1">
    <w:p w14:paraId="59346FB8">
      <w:pPr>
        <w:pStyle w:val="8"/>
        <w:snapToGrid w:val="0"/>
        <w:rPr>
          <w:rFonts w:hint="eastAsia"/>
          <w:sz w:val="22"/>
          <w:szCs w:val="22"/>
        </w:rPr>
      </w:pPr>
      <w:r>
        <w:rPr>
          <w:rStyle w:val="15"/>
          <w:sz w:val="22"/>
          <w:szCs w:val="22"/>
        </w:rPr>
        <w:footnoteRef/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  <w:lang w:val="en-US" w:eastAsia="zh-CN"/>
        </w:rPr>
        <w:t>IP：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知识产权（Intellectual Property）指具有创造性的智力成果，如著作权、专利权、商标权等。在商业和文化领域，IP常指具有市场价值的文化资源或品牌符号，例如影视、动漫、文学等作品及其衍生产品。</w:t>
      </w:r>
    </w:p>
  </w:footnote>
  <w:footnote w:id="2">
    <w:p w14:paraId="7DA0624C">
      <w:pPr>
        <w:pStyle w:val="8"/>
        <w:snapToGrid w:val="0"/>
      </w:pPr>
      <w:r>
        <w:rPr>
          <w:rStyle w:val="15"/>
        </w:rPr>
        <w:footnoteRef/>
      </w:r>
      <w:r>
        <w:rPr>
          <w:rFonts w:ascii="宋体" w:hAnsi="宋体" w:eastAsia="宋体" w:cs="宋体"/>
          <w:sz w:val="22"/>
          <w:szCs w:val="22"/>
        </w:rPr>
        <w:fldChar w:fldCharType="begin"/>
      </w:r>
      <w:r>
        <w:rPr>
          <w:rFonts w:ascii="宋体" w:hAnsi="宋体" w:eastAsia="宋体" w:cs="宋体"/>
          <w:sz w:val="22"/>
          <w:szCs w:val="22"/>
        </w:rPr>
        <w:instrText xml:space="preserve"> HYPERLINK "https://www.panyu.gov.cn/gkmlpt/content/10/10517/mpost_10517301.html" \l "7524" </w:instrText>
      </w:r>
      <w:r>
        <w:rPr>
          <w:rFonts w:ascii="宋体" w:hAnsi="宋体" w:eastAsia="宋体" w:cs="宋体"/>
          <w:sz w:val="22"/>
          <w:szCs w:val="22"/>
        </w:rPr>
        <w:fldChar w:fldCharType="separate"/>
      </w:r>
      <w:r>
        <w:rPr>
          <w:rStyle w:val="14"/>
          <w:rFonts w:ascii="宋体" w:hAnsi="宋体" w:eastAsia="宋体" w:cs="宋体"/>
          <w:sz w:val="22"/>
          <w:szCs w:val="22"/>
        </w:rPr>
        <w:t>番禺海关优化服务助力国产游戏游艺设备加速“出海”</w:t>
      </w:r>
      <w:r>
        <w:rPr>
          <w:rFonts w:ascii="宋体" w:hAnsi="宋体" w:eastAsia="宋体" w:cs="宋体"/>
          <w:sz w:val="22"/>
          <w:szCs w:val="22"/>
        </w:rPr>
        <w:fldChar w:fldCharType="end"/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，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2025.10.29</w:t>
      </w:r>
    </w:p>
  </w:footnote>
  <w:footnote w:id="3">
    <w:p w14:paraId="0FF6C556">
      <w:pPr>
        <w:pStyle w:val="8"/>
        <w:snapToGrid w:val="0"/>
        <w:rPr>
          <w:sz w:val="21"/>
          <w:szCs w:val="32"/>
        </w:rPr>
      </w:pPr>
      <w:r>
        <w:rPr>
          <w:rStyle w:val="15"/>
          <w:sz w:val="21"/>
          <w:szCs w:val="32"/>
        </w:rPr>
        <w:footnoteRef/>
      </w:r>
      <w:r>
        <w:rPr>
          <w:sz w:val="21"/>
          <w:szCs w:val="32"/>
        </w:rPr>
        <w:t xml:space="preserve"> </w:t>
      </w:r>
      <w:r>
        <w:rPr>
          <w:rFonts w:hint="eastAsia"/>
          <w:sz w:val="22"/>
          <w:szCs w:val="36"/>
        </w:rPr>
        <w:t>虚拟现实（VR）</w:t>
      </w:r>
      <w:r>
        <w:rPr>
          <w:rFonts w:hint="eastAsia"/>
          <w:sz w:val="22"/>
          <w:szCs w:val="36"/>
          <w:lang w:val="en-US" w:eastAsia="zh-CN"/>
        </w:rPr>
        <w:t>技术</w:t>
      </w:r>
      <w:r>
        <w:rPr>
          <w:rFonts w:hint="eastAsia"/>
          <w:sz w:val="22"/>
          <w:szCs w:val="36"/>
        </w:rPr>
        <w:t>是一种通过计算机生成并供用户体验的、可交互的虚拟环境，通常通过头显等设备实现视觉沉浸，用户与虚拟环境实时交互且与物理现实隔离。</w:t>
      </w:r>
    </w:p>
  </w:footnote>
  <w:footnote w:id="4">
    <w:p w14:paraId="43888542">
      <w:pPr>
        <w:pStyle w:val="8"/>
        <w:snapToGrid w:val="0"/>
        <w:rPr>
          <w:rFonts w:hint="eastAsia"/>
          <w:sz w:val="22"/>
          <w:szCs w:val="36"/>
          <w:lang w:val="en-US" w:eastAsia="zh-CN"/>
        </w:rPr>
      </w:pPr>
      <w:r>
        <w:rPr>
          <w:rStyle w:val="15"/>
          <w:sz w:val="21"/>
          <w:szCs w:val="32"/>
        </w:rPr>
        <w:footnoteRef/>
      </w:r>
      <w:r>
        <w:rPr>
          <w:sz w:val="22"/>
          <w:szCs w:val="36"/>
        </w:rPr>
        <w:t xml:space="preserve"> </w:t>
      </w:r>
      <w:r>
        <w:rPr>
          <w:rFonts w:hint="eastAsia"/>
          <w:sz w:val="22"/>
          <w:szCs w:val="36"/>
          <w:lang w:val="en-US" w:eastAsia="zh-CN"/>
        </w:rPr>
        <w:t>增强现实（AR）是将计算机生成的虚拟信息（文字、图像、3D 模型等）叠加到真实场景中，实现虚实融合，用户在与现实环境保持交互的同时获取增强信息。</w:t>
      </w:r>
    </w:p>
  </w:footnote>
  <w:footnote w:id="5">
    <w:p w14:paraId="299C69DD">
      <w:pPr>
        <w:pStyle w:val="8"/>
        <w:snapToGrid w:val="0"/>
        <w:rPr>
          <w:sz w:val="21"/>
          <w:szCs w:val="21"/>
        </w:rPr>
      </w:pPr>
      <w:r>
        <w:rPr>
          <w:rStyle w:val="15"/>
          <w:sz w:val="21"/>
          <w:szCs w:val="21"/>
        </w:rPr>
        <w:footnoteRef/>
      </w:r>
      <w:r>
        <w:rPr>
          <w:rFonts w:hint="eastAsia"/>
          <w:sz w:val="21"/>
          <w:szCs w:val="21"/>
          <w:lang w:val="en-US" w:eastAsia="zh-CN"/>
        </w:rPr>
        <w:t>3A</w:t>
      </w:r>
      <w:r>
        <w:rPr>
          <w:rFonts w:hint="eastAsia"/>
          <w:sz w:val="21"/>
          <w:szCs w:val="21"/>
          <w:lang w:eastAsia="zh-CN"/>
        </w:rPr>
        <w:t>（</w:t>
      </w:r>
      <w:r>
        <w:rPr>
          <w:rFonts w:hint="eastAsia"/>
          <w:sz w:val="21"/>
          <w:szCs w:val="21"/>
        </w:rPr>
        <w:t>Triple-A）是电子游戏产业对高投入、高制作、高影响力精品游戏的统称</w:t>
      </w:r>
      <w:r>
        <w:rPr>
          <w:rFonts w:hint="eastAsia"/>
          <w:sz w:val="21"/>
          <w:szCs w:val="21"/>
          <w:lang w:eastAsia="zh-CN"/>
        </w:rPr>
        <w:t>。</w:t>
      </w:r>
      <w:r>
        <w:rPr>
          <w:rFonts w:hint="eastAsia"/>
          <w:sz w:val="21"/>
          <w:szCs w:val="21"/>
        </w:rPr>
        <w:t>《2024中国游戏产业报告》界定3A游戏“需同时满足研发投入超5000万元、团队规模超100人、内容创新度达行业顶尖”</w:t>
      </w:r>
      <w:r>
        <w:rPr>
          <w:rFonts w:hint="eastAsia"/>
          <w:sz w:val="21"/>
          <w:szCs w:val="21"/>
          <w:lang w:eastAsia="zh-CN"/>
        </w:rPr>
        <w:t>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12"/>
    <w:footnote w:id="13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6705C8"/>
    <w:rsid w:val="0159126E"/>
    <w:rsid w:val="015D0D5E"/>
    <w:rsid w:val="01822156"/>
    <w:rsid w:val="029C3B08"/>
    <w:rsid w:val="03E62BAF"/>
    <w:rsid w:val="041A52D8"/>
    <w:rsid w:val="05ED1CA2"/>
    <w:rsid w:val="06C54CB0"/>
    <w:rsid w:val="07DD1EEA"/>
    <w:rsid w:val="08803584"/>
    <w:rsid w:val="08D4468A"/>
    <w:rsid w:val="0A853779"/>
    <w:rsid w:val="0BAA6DC2"/>
    <w:rsid w:val="0BE91839"/>
    <w:rsid w:val="0E721BC1"/>
    <w:rsid w:val="0F9E3000"/>
    <w:rsid w:val="104B4477"/>
    <w:rsid w:val="115A19CF"/>
    <w:rsid w:val="126705C8"/>
    <w:rsid w:val="17047B5F"/>
    <w:rsid w:val="1C166281"/>
    <w:rsid w:val="1C58558E"/>
    <w:rsid w:val="1CCD3C1B"/>
    <w:rsid w:val="1D23430E"/>
    <w:rsid w:val="21BA02A3"/>
    <w:rsid w:val="21D95D87"/>
    <w:rsid w:val="22DE4344"/>
    <w:rsid w:val="238115CF"/>
    <w:rsid w:val="241546A7"/>
    <w:rsid w:val="244E0DD3"/>
    <w:rsid w:val="256C1E40"/>
    <w:rsid w:val="258864A1"/>
    <w:rsid w:val="26EC0FC9"/>
    <w:rsid w:val="2A07545B"/>
    <w:rsid w:val="2BD51A79"/>
    <w:rsid w:val="2C84446C"/>
    <w:rsid w:val="2CBA540D"/>
    <w:rsid w:val="2E696013"/>
    <w:rsid w:val="31720FBF"/>
    <w:rsid w:val="332D772A"/>
    <w:rsid w:val="33BF0D95"/>
    <w:rsid w:val="357E0CC8"/>
    <w:rsid w:val="363A5186"/>
    <w:rsid w:val="36717B7A"/>
    <w:rsid w:val="36BC0573"/>
    <w:rsid w:val="3862667F"/>
    <w:rsid w:val="38743CBC"/>
    <w:rsid w:val="387B69BA"/>
    <w:rsid w:val="3A5913BB"/>
    <w:rsid w:val="3BDB4052"/>
    <w:rsid w:val="3BF707BD"/>
    <w:rsid w:val="3D211F38"/>
    <w:rsid w:val="3E655796"/>
    <w:rsid w:val="3ED05615"/>
    <w:rsid w:val="3FB7449E"/>
    <w:rsid w:val="3FF92878"/>
    <w:rsid w:val="3FFB3F79"/>
    <w:rsid w:val="40EF78AD"/>
    <w:rsid w:val="40FC6014"/>
    <w:rsid w:val="419317FB"/>
    <w:rsid w:val="41980AAB"/>
    <w:rsid w:val="41DC2EFE"/>
    <w:rsid w:val="45A6529D"/>
    <w:rsid w:val="45E237EC"/>
    <w:rsid w:val="46AF0DF1"/>
    <w:rsid w:val="4B4A30EB"/>
    <w:rsid w:val="4B541FCF"/>
    <w:rsid w:val="4C0F2222"/>
    <w:rsid w:val="4C4B0D80"/>
    <w:rsid w:val="4DF27705"/>
    <w:rsid w:val="4EB643B1"/>
    <w:rsid w:val="51E24CAB"/>
    <w:rsid w:val="530323B4"/>
    <w:rsid w:val="530F6FAB"/>
    <w:rsid w:val="537F42BF"/>
    <w:rsid w:val="53B720BF"/>
    <w:rsid w:val="55D178C6"/>
    <w:rsid w:val="56AD20B7"/>
    <w:rsid w:val="58201313"/>
    <w:rsid w:val="5AF50D2F"/>
    <w:rsid w:val="5B8E7542"/>
    <w:rsid w:val="5BA87F9D"/>
    <w:rsid w:val="5C2C458F"/>
    <w:rsid w:val="5CB63B07"/>
    <w:rsid w:val="5D367E8B"/>
    <w:rsid w:val="5DE71F9C"/>
    <w:rsid w:val="5E964640"/>
    <w:rsid w:val="5EEC4C45"/>
    <w:rsid w:val="623109C4"/>
    <w:rsid w:val="63481713"/>
    <w:rsid w:val="63CB2A7A"/>
    <w:rsid w:val="644C7452"/>
    <w:rsid w:val="651D5558"/>
    <w:rsid w:val="65A32F22"/>
    <w:rsid w:val="66B617C0"/>
    <w:rsid w:val="66D71736"/>
    <w:rsid w:val="67784CC7"/>
    <w:rsid w:val="683A01CF"/>
    <w:rsid w:val="695811C5"/>
    <w:rsid w:val="6A1A02B8"/>
    <w:rsid w:val="6B26541A"/>
    <w:rsid w:val="6B9419A4"/>
    <w:rsid w:val="6C0341C4"/>
    <w:rsid w:val="6E274ADB"/>
    <w:rsid w:val="6E9F6FDD"/>
    <w:rsid w:val="6EEC493E"/>
    <w:rsid w:val="70F33FDC"/>
    <w:rsid w:val="744856E9"/>
    <w:rsid w:val="76365DFD"/>
    <w:rsid w:val="777138FC"/>
    <w:rsid w:val="77ED630F"/>
    <w:rsid w:val="7C2300B7"/>
    <w:rsid w:val="7FDC7C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rPr>
      <w:rFonts w:ascii="Calibri" w:hAnsi="Calibri" w:eastAsia="仿宋_GB2312"/>
      <w:sz w:val="32"/>
      <w:szCs w:val="20"/>
    </w:rPr>
  </w:style>
  <w:style w:type="paragraph" w:styleId="5">
    <w:name w:val="toc 5"/>
    <w:basedOn w:val="1"/>
    <w:next w:val="1"/>
    <w:qFormat/>
    <w:uiPriority w:val="0"/>
    <w:pPr>
      <w:ind w:left="168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4"/>
    <w:qFormat/>
    <w:uiPriority w:val="0"/>
    <w:pPr>
      <w:ind w:firstLine="420" w:firstLineChars="100"/>
    </w:pPr>
    <w:rPr>
      <w:rFonts w:ascii="Calibri" w:hAnsi="Calibri" w:cs="Times New Roman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styleId="15">
    <w:name w:val="footnote reference"/>
    <w:basedOn w:val="12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区政协</Company>
  <Pages>5</Pages>
  <Words>1850</Words>
  <Characters>1916</Characters>
  <Lines>0</Lines>
  <Paragraphs>0</Paragraphs>
  <TotalTime>13</TotalTime>
  <ScaleCrop>false</ScaleCrop>
  <LinksUpToDate>false</LinksUpToDate>
  <CharactersWithSpaces>1932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2023-12-12T01:52:00Z</dcterms:created>
  <dc:creator>Administrator</dc:creator>
  <cp:lastModifiedBy>Administrator</cp:lastModifiedBy>
  <cp:lastPrinted>2026-03-11T02:19:00Z</cp:lastPrinted>
  <dcterms:modified xsi:type="dcterms:W3CDTF">2026-09-09T02:55:56Z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0CE9EE23A1124FAF92A5AB695A893917_13</vt:lpwstr>
  </property>
  <property fmtid="{D5CDD505-2E9C-101B-9397-08002B2CF9AE}" pid="4" name="KSOTemplateDocerSaveRecord">
    <vt:lpwstr>eyJoZGlkIjoiODIyZThlNmUwMDBhNjQ2NjlhZjdhMDg1Yzk2NGRkNmIiLCJ1c2VySWQiOiIxNzU2OTAwNDg1In0=</vt:lpwstr>
  </property>
</Properties>
</file>