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79BD3">
      <w:pPr>
        <w:spacing w:after="0" w:line="240" w:lineRule="auto"/>
        <w:jc w:val="center"/>
        <w:rPr>
          <w:rFonts w:hint="eastAsia" w:ascii="方正小标宋简体" w:hAnsi="方正小标宋简体" w:eastAsia="方正小标宋简体" w:cs="方正小标宋简体"/>
          <w:bCs/>
          <w:sz w:val="44"/>
          <w:szCs w:val="44"/>
        </w:rPr>
      </w:pPr>
      <w:bookmarkStart w:id="0" w:name="OLE_LINK3"/>
      <w:bookmarkStart w:id="1" w:name="_Hlk216167510"/>
    </w:p>
    <w:p w14:paraId="01B1AF72">
      <w:pPr>
        <w:spacing w:after="0" w:line="240" w:lineRule="auto"/>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番禺区城市</w:t>
      </w:r>
      <w:bookmarkStart w:id="2" w:name="_Hlk216187161"/>
      <w:r>
        <w:rPr>
          <w:rFonts w:hint="eastAsia" w:ascii="方正小标宋简体" w:hAnsi="方正小标宋简体" w:eastAsia="方正小标宋简体" w:cs="方正小标宋简体"/>
          <w:bCs/>
          <w:sz w:val="44"/>
          <w:szCs w:val="44"/>
        </w:rPr>
        <w:t>道路停车泊位</w:t>
      </w:r>
      <w:bookmarkEnd w:id="2"/>
      <w:bookmarkStart w:id="3" w:name="_Hlk216185667"/>
      <w:r>
        <w:rPr>
          <w:rFonts w:hint="eastAsia" w:ascii="方正小标宋简体" w:hAnsi="方正小标宋简体" w:eastAsia="方正小标宋简体" w:cs="方正小标宋简体"/>
          <w:bCs/>
          <w:sz w:val="44"/>
          <w:szCs w:val="44"/>
        </w:rPr>
        <w:t>使用费标准</w:t>
      </w:r>
    </w:p>
    <w:p w14:paraId="051F5E78">
      <w:pPr>
        <w:spacing w:after="0" w:line="240" w:lineRule="auto"/>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优化调整方案</w:t>
      </w:r>
      <w:bookmarkEnd w:id="3"/>
    </w:p>
    <w:p w14:paraId="18A447F6">
      <w:pPr>
        <w:spacing w:after="0" w:line="240" w:lineRule="auto"/>
        <w:jc w:val="center"/>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w:t>
      </w:r>
      <w:r>
        <w:rPr>
          <w:rFonts w:hint="eastAsia" w:ascii="楷体_GB2312" w:hAnsi="楷体_GB2312" w:eastAsia="楷体_GB2312" w:cs="楷体_GB2312"/>
          <w:bCs/>
          <w:sz w:val="32"/>
          <w:szCs w:val="32"/>
          <w:lang w:val="en-US" w:eastAsia="zh-CN"/>
        </w:rPr>
        <w:t>公开</w:t>
      </w:r>
      <w:r>
        <w:rPr>
          <w:rFonts w:hint="eastAsia" w:ascii="楷体_GB2312" w:hAnsi="楷体_GB2312" w:eastAsia="楷体_GB2312" w:cs="楷体_GB2312"/>
          <w:bCs/>
          <w:sz w:val="32"/>
          <w:szCs w:val="32"/>
        </w:rPr>
        <w:t>征求意见稿）</w:t>
      </w:r>
    </w:p>
    <w:bookmarkEnd w:id="0"/>
    <w:bookmarkEnd w:id="1"/>
    <w:p w14:paraId="71696DE6">
      <w:pPr>
        <w:spacing w:after="0" w:line="600" w:lineRule="exact"/>
        <w:jc w:val="both"/>
        <w:rPr>
          <w:rFonts w:hint="eastAsia" w:ascii="仿宋_GB2312" w:hAnsi="仿宋_GB2312" w:eastAsia="仿宋_GB2312" w:cs="仿宋_GB2312"/>
          <w:sz w:val="32"/>
          <w:szCs w:val="32"/>
        </w:rPr>
      </w:pPr>
      <w:bookmarkStart w:id="4" w:name="heading_0"/>
    </w:p>
    <w:p w14:paraId="74AA16F9">
      <w:pPr>
        <w:spacing w:after="0" w:line="600" w:lineRule="exact"/>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一、适用范围</w:t>
      </w:r>
    </w:p>
    <w:p w14:paraId="3C404991">
      <w:pPr>
        <w:spacing w:after="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番禺区行政区域内，由区交通运输行政主管部门管理的城市道路停车泊位。</w:t>
      </w:r>
    </w:p>
    <w:p w14:paraId="095303F0">
      <w:pPr>
        <w:spacing w:after="0" w:line="600" w:lineRule="exact"/>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二、收费范围（收费路段）</w:t>
      </w:r>
    </w:p>
    <w:p w14:paraId="102EE902">
      <w:pPr>
        <w:spacing w:after="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在收费时段内使用全天准停泊位，收取道路泊位停车使用费。</w:t>
      </w:r>
    </w:p>
    <w:p w14:paraId="09FDF532">
      <w:pPr>
        <w:spacing w:after="0" w:line="600" w:lineRule="exact"/>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三、制定收费标准的依据</w:t>
      </w:r>
    </w:p>
    <w:p w14:paraId="6EB43F3A">
      <w:pPr>
        <w:spacing w:after="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《广东省定价目录（2022年版）》、《广东省发展和改革委员会 广东省住房和城乡建设厅 广东省交通运输厅 广东省市场监督管理局关于完善机动车停放服务收费政策的指导意见</w:t>
      </w:r>
      <w:bookmarkStart w:id="6" w:name="_GoBack"/>
      <w:bookmarkEnd w:id="6"/>
      <w:r>
        <w:rPr>
          <w:rFonts w:hint="eastAsia" w:ascii="仿宋_GB2312" w:hAnsi="仿宋_GB2312" w:eastAsia="仿宋_GB2312" w:cs="仿宋_GB2312"/>
          <w:sz w:val="32"/>
          <w:szCs w:val="32"/>
        </w:rPr>
        <w:t>》（粤发改规〔2022〕10号）、《广州市停车场条例》。</w:t>
      </w:r>
    </w:p>
    <w:p w14:paraId="13EA7987">
      <w:pPr>
        <w:spacing w:after="0" w:line="600" w:lineRule="exact"/>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四、收费标准</w:t>
      </w:r>
    </w:p>
    <w:p w14:paraId="2544E16C">
      <w:pPr>
        <w:spacing w:after="0"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在收费时段内使用全天准停泊位，城市道路停车泊位使用费标准如下：</w:t>
      </w: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1677"/>
        <w:gridCol w:w="1678"/>
        <w:gridCol w:w="1678"/>
        <w:gridCol w:w="2249"/>
      </w:tblGrid>
      <w:tr w14:paraId="086C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Align w:val="center"/>
          </w:tcPr>
          <w:p w14:paraId="5E88BA9C">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收费标准</w:t>
            </w:r>
          </w:p>
        </w:tc>
        <w:tc>
          <w:tcPr>
            <w:tcW w:w="5033" w:type="dxa"/>
            <w:gridSpan w:val="3"/>
            <w:vAlign w:val="center"/>
          </w:tcPr>
          <w:p w14:paraId="3E6BCC5D">
            <w:pPr>
              <w:spacing w:after="0" w:line="24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1.收费时段：工作日（7:30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21:30）；非工作日（10:00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21:30）；</w:t>
            </w:r>
          </w:p>
          <w:p w14:paraId="488BCF85">
            <w:pPr>
              <w:spacing w:after="0" w:line="24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2.收费时段外停车免费；</w:t>
            </w:r>
          </w:p>
          <w:p w14:paraId="36A502F3">
            <w:pPr>
              <w:spacing w:after="0" w:line="24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3.停车15分钟内不收费；</w:t>
            </w:r>
          </w:p>
          <w:p w14:paraId="023D4BEA">
            <w:pPr>
              <w:spacing w:after="0" w:line="24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4.计时收费单位：元/15分钟。</w:t>
            </w:r>
          </w:p>
        </w:tc>
        <w:tc>
          <w:tcPr>
            <w:tcW w:w="2249" w:type="dxa"/>
            <w:vAlign w:val="center"/>
          </w:tcPr>
          <w:p w14:paraId="0495F88C">
            <w:pPr>
              <w:spacing w:after="0" w:line="240"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每日收费时段内单次连续停放最高限价</w:t>
            </w:r>
          </w:p>
        </w:tc>
      </w:tr>
      <w:tr w14:paraId="38A9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Align w:val="center"/>
          </w:tcPr>
          <w:p w14:paraId="518B8830">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阶梯梯次</w:t>
            </w:r>
          </w:p>
        </w:tc>
        <w:tc>
          <w:tcPr>
            <w:tcW w:w="1677" w:type="dxa"/>
            <w:vAlign w:val="center"/>
          </w:tcPr>
          <w:p w14:paraId="70F48BBB">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第一阶梯</w:t>
            </w:r>
          </w:p>
        </w:tc>
        <w:tc>
          <w:tcPr>
            <w:tcW w:w="1678" w:type="dxa"/>
            <w:vAlign w:val="center"/>
          </w:tcPr>
          <w:p w14:paraId="70A16643">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第二阶梯</w:t>
            </w:r>
          </w:p>
        </w:tc>
        <w:tc>
          <w:tcPr>
            <w:tcW w:w="1678" w:type="dxa"/>
            <w:vAlign w:val="center"/>
          </w:tcPr>
          <w:p w14:paraId="7ADD16BE">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第三阶梯</w:t>
            </w:r>
          </w:p>
        </w:tc>
        <w:tc>
          <w:tcPr>
            <w:tcW w:w="2249" w:type="dxa"/>
            <w:vAlign w:val="center"/>
          </w:tcPr>
          <w:p w14:paraId="0EBE615A">
            <w:pPr>
              <w:spacing w:after="0" w:line="240" w:lineRule="auto"/>
              <w:jc w:val="center"/>
              <w:rPr>
                <w:rFonts w:hint="eastAsia" w:ascii="仿宋_GB2312" w:hAnsi="仿宋_GB2312" w:eastAsia="仿宋_GB2312" w:cs="仿宋_GB2312"/>
                <w:sz w:val="28"/>
                <w:szCs w:val="28"/>
              </w:rPr>
            </w:pPr>
          </w:p>
        </w:tc>
      </w:tr>
      <w:tr w14:paraId="1E91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Align w:val="center"/>
          </w:tcPr>
          <w:p w14:paraId="555E1335">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停车时长</w:t>
            </w:r>
          </w:p>
        </w:tc>
        <w:tc>
          <w:tcPr>
            <w:tcW w:w="1677" w:type="dxa"/>
            <w:vAlign w:val="center"/>
          </w:tcPr>
          <w:p w14:paraId="1513CE6B">
            <w:pPr>
              <w:spacing w:after="0" w:line="240" w:lineRule="auto"/>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小时内</w:t>
            </w:r>
          </w:p>
          <w:p w14:paraId="33E2A382">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（含</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小时）</w:t>
            </w:r>
          </w:p>
        </w:tc>
        <w:tc>
          <w:tcPr>
            <w:tcW w:w="1678" w:type="dxa"/>
            <w:vAlign w:val="center"/>
          </w:tcPr>
          <w:p w14:paraId="18A77464">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小时</w:t>
            </w:r>
          </w:p>
          <w:p w14:paraId="6B28E2B6">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（含</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小时）</w:t>
            </w:r>
          </w:p>
        </w:tc>
        <w:tc>
          <w:tcPr>
            <w:tcW w:w="1678" w:type="dxa"/>
            <w:vAlign w:val="center"/>
          </w:tcPr>
          <w:p w14:paraId="1A8E5DC6">
            <w:pPr>
              <w:spacing w:after="0" w:line="240" w:lineRule="auto"/>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小时以上</w:t>
            </w:r>
          </w:p>
        </w:tc>
        <w:tc>
          <w:tcPr>
            <w:tcW w:w="2249" w:type="dxa"/>
            <w:vAlign w:val="center"/>
          </w:tcPr>
          <w:p w14:paraId="62B03FEE">
            <w:pPr>
              <w:spacing w:after="0" w:line="240" w:lineRule="auto"/>
              <w:jc w:val="center"/>
              <w:rPr>
                <w:rFonts w:hint="eastAsia" w:ascii="仿宋_GB2312" w:hAnsi="仿宋_GB2312" w:eastAsia="仿宋_GB2312" w:cs="仿宋_GB2312"/>
                <w:sz w:val="28"/>
                <w:szCs w:val="28"/>
              </w:rPr>
            </w:pPr>
          </w:p>
        </w:tc>
      </w:tr>
      <w:tr w14:paraId="2705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Align w:val="center"/>
          </w:tcPr>
          <w:p w14:paraId="4FEEF033">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重点区域</w:t>
            </w:r>
          </w:p>
          <w:p w14:paraId="1C81A54D">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收费标准</w:t>
            </w:r>
          </w:p>
        </w:tc>
        <w:tc>
          <w:tcPr>
            <w:tcW w:w="1677" w:type="dxa"/>
            <w:vAlign w:val="center"/>
          </w:tcPr>
          <w:p w14:paraId="34AF4D78">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678" w:type="dxa"/>
            <w:vAlign w:val="center"/>
          </w:tcPr>
          <w:p w14:paraId="443BCDE9">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678" w:type="dxa"/>
            <w:vAlign w:val="center"/>
          </w:tcPr>
          <w:p w14:paraId="45572AE7">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2249" w:type="dxa"/>
            <w:vAlign w:val="center"/>
          </w:tcPr>
          <w:p w14:paraId="3C15AFCB">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58</w:t>
            </w:r>
          </w:p>
        </w:tc>
      </w:tr>
      <w:tr w14:paraId="7D37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0" w:type="dxa"/>
            <w:vAlign w:val="center"/>
          </w:tcPr>
          <w:p w14:paraId="24309CBD">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非重点区域</w:t>
            </w:r>
          </w:p>
          <w:p w14:paraId="77F9C16B">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收费标准</w:t>
            </w:r>
          </w:p>
        </w:tc>
        <w:tc>
          <w:tcPr>
            <w:tcW w:w="1677" w:type="dxa"/>
            <w:vAlign w:val="center"/>
          </w:tcPr>
          <w:p w14:paraId="437E2001">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678" w:type="dxa"/>
            <w:vAlign w:val="center"/>
          </w:tcPr>
          <w:p w14:paraId="589EA333">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678" w:type="dxa"/>
            <w:vAlign w:val="center"/>
          </w:tcPr>
          <w:p w14:paraId="58E7B763">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249" w:type="dxa"/>
            <w:vAlign w:val="center"/>
          </w:tcPr>
          <w:p w14:paraId="4C734554">
            <w:pPr>
              <w:spacing w:after="0"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w:t>
            </w:r>
          </w:p>
        </w:tc>
      </w:tr>
    </w:tbl>
    <w:p w14:paraId="55EBABE9">
      <w:p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重点区域”和“非重点区域”按照番禺区城市道路停车泊位设置规划确定，并根据泊位规划进行动态调整。由区交通运输行政主管部门在全天准停泊位所在路段标明属于“重点区域”或者“非重点区域”的现场标识。</w:t>
      </w:r>
    </w:p>
    <w:p w14:paraId="4D2EE97A">
      <w:p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本收费标准以自然日（0:00:00</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24:00:00）为计费周期，每个计费周期内收费时段为：工作日（07:30:00</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21:30:00），非工作日（10:00:00</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21:30:00），其它时段不收费。车辆连续停放超过两个以上（含两个）计费周期的，应当按照本收费标准分别收取每个计费周期内产生的城市道路停车泊位停车费。</w:t>
      </w:r>
    </w:p>
    <w:p w14:paraId="1BBFD360">
      <w:p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本收费标准收费计时单位为15分钟。同一车辆在同一路段连续发生2次及以上停车行为的，若相邻两次停车的时间间隔低于15分钟，则延续前一次停车时长进行计时计费。</w:t>
      </w:r>
    </w:p>
    <w:p w14:paraId="291CCC7D">
      <w:pPr>
        <w:spacing w:after="0" w:line="600" w:lineRule="exact"/>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五、优惠政策</w:t>
      </w:r>
    </w:p>
    <w:p w14:paraId="50DD9D3E">
      <w:p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（一）停车不超过15分钟的车辆免收道路停车泊位使用费。停放时间超过15分钟的车辆，前15分钟</w:t>
      </w:r>
      <w:r>
        <w:rPr>
          <w:rFonts w:hint="eastAsia" w:ascii="Times New Roman" w:hAnsi="Times New Roman" w:eastAsia="仿宋" w:cs="Times New Roman"/>
          <w:sz w:val="32"/>
          <w:szCs w:val="32"/>
          <w:lang w:val="en-US" w:eastAsia="zh-CN"/>
        </w:rPr>
        <w:t>不</w:t>
      </w:r>
      <w:r>
        <w:rPr>
          <w:rFonts w:hint="eastAsia" w:ascii="Times New Roman" w:hAnsi="Times New Roman" w:eastAsia="仿宋" w:cs="Times New Roman"/>
          <w:sz w:val="32"/>
          <w:szCs w:val="32"/>
        </w:rPr>
        <w:t>纳入计费时段。</w:t>
      </w:r>
    </w:p>
    <w:p w14:paraId="096C0435">
      <w:pPr>
        <w:numPr>
          <w:ilvl w:val="255"/>
          <w:numId w:val="0"/>
        </w:num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二）在每个计费周期的收费时段内，新能源汽车（须悬挂公安部门核发新能源号牌）首日首次在充电专用泊位充电不超过1小时（含1小时），免收道路停车泊位使用费。新能源巡游出租车还可以享受非重点区域全天准停泊位每日停放3次、每次停车时长不超过1小时（含1小时）的免收道路停车泊位使用费优惠。上述车辆停车时长超过规定时限或在当日已享受过同项优惠政策的，则不再享受本条款优惠政策，应当支付全部停车时长的服务费用。</w:t>
      </w:r>
    </w:p>
    <w:p w14:paraId="44240BB6">
      <w:pPr>
        <w:numPr>
          <w:ilvl w:val="0"/>
          <w:numId w:val="1"/>
        </w:num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残疾人专用机动车在残疾人机动轮椅车专用泊位停放的，免收道路停车泊位使用费。若停放在非残疾人机动轮椅车专用泊位上的，按规定标准减半收费。</w:t>
      </w:r>
    </w:p>
    <w:p w14:paraId="35E22480">
      <w:pPr>
        <w:numPr>
          <w:ilvl w:val="255"/>
          <w:numId w:val="0"/>
        </w:num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（四）因交通管制、突发事件处置、应急抢险等需要立即驶离城市道路停车泊位的车辆，免收道路停车泊位使用费。</w:t>
      </w:r>
    </w:p>
    <w:p w14:paraId="3F9F251B">
      <w:pPr>
        <w:numPr>
          <w:ilvl w:val="255"/>
          <w:numId w:val="0"/>
        </w:num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（五）在除全天准停道路停车泊位以外的其他道路停车泊位停放的车辆，免收道路停车泊位使用费。</w:t>
      </w:r>
    </w:p>
    <w:p w14:paraId="7EA60257">
      <w:pPr>
        <w:numPr>
          <w:ilvl w:val="255"/>
          <w:numId w:val="0"/>
        </w:numPr>
        <w:spacing w:after="0" w:line="600" w:lineRule="exact"/>
        <w:ind w:firstLine="640" w:firstLineChars="200"/>
        <w:jc w:val="both"/>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（六）消防车、救护车、应急抢险车、军警车辆以及法律、法规规定应当免收道路停车泊位使用费的车辆，免收道路停车泊位使用费。</w:t>
      </w:r>
    </w:p>
    <w:p w14:paraId="6558B8B4">
      <w:pPr>
        <w:spacing w:after="0" w:line="600" w:lineRule="exact"/>
        <w:ind w:firstLine="640" w:firstLineChars="200"/>
        <w:outlineLvl w:val="0"/>
        <w:rPr>
          <w:rFonts w:hint="eastAsia" w:ascii="黑体" w:hAnsi="黑体" w:eastAsia="黑体" w:cs="黑体"/>
          <w:bCs/>
          <w:sz w:val="32"/>
          <w:szCs w:val="32"/>
        </w:rPr>
      </w:pPr>
      <w:bookmarkStart w:id="5" w:name="_Hlk216185230"/>
      <w:r>
        <w:rPr>
          <w:rFonts w:hint="eastAsia" w:ascii="黑体" w:hAnsi="黑体" w:eastAsia="黑体" w:cs="黑体"/>
          <w:bCs/>
          <w:sz w:val="32"/>
          <w:szCs w:val="32"/>
        </w:rPr>
        <w:t>六、工作要求</w:t>
      </w:r>
    </w:p>
    <w:p w14:paraId="17B2B1C0">
      <w:pPr>
        <w:spacing w:after="0" w:line="600" w:lineRule="exact"/>
        <w:ind w:firstLine="643" w:firstLineChars="200"/>
        <w:jc w:val="both"/>
        <w:rPr>
          <w:rFonts w:ascii="Times New Roman" w:hAnsi="Times New Roman" w:eastAsia="仿宋" w:cs="Times New Roman"/>
          <w:sz w:val="32"/>
          <w:szCs w:val="32"/>
        </w:rPr>
      </w:pPr>
      <w:r>
        <w:rPr>
          <w:rFonts w:hint="eastAsia" w:ascii="Times New Roman" w:hAnsi="Times New Roman" w:eastAsia="仿宋" w:cs="Times New Roman"/>
          <w:b/>
          <w:bCs/>
          <w:sz w:val="32"/>
          <w:szCs w:val="32"/>
        </w:rPr>
        <w:t>（一）定期优化调整城市道路停车泊位。</w:t>
      </w:r>
      <w:r>
        <w:rPr>
          <w:rFonts w:hint="eastAsia" w:ascii="Times New Roman" w:hAnsi="Times New Roman" w:eastAsia="仿宋" w:cs="Times New Roman"/>
          <w:sz w:val="32"/>
          <w:szCs w:val="32"/>
        </w:rPr>
        <w:t>城市道路停车泊位优化调整工作，由区交通运输行政主管部门会同区公安机关交通管理部门组织实施。工作开展严格遵循《广州市停车场条例》相关规定，结合我区城市道路交通运行态势及停车需求动态变化，每年组织开展城市道路停车泊位优化调整。对影响车辆正常通行、周边停车场已能满足停车需求、泊位使用率过低等情形，及时予以撤销。</w:t>
      </w:r>
    </w:p>
    <w:p w14:paraId="3D59DCDB">
      <w:pPr>
        <w:spacing w:after="0" w:line="600" w:lineRule="exact"/>
        <w:ind w:firstLine="643" w:firstLineChars="200"/>
        <w:jc w:val="both"/>
        <w:rPr>
          <w:rFonts w:ascii="Times New Roman" w:hAnsi="Times New Roman" w:eastAsia="仿宋" w:cs="Times New Roman"/>
          <w:sz w:val="32"/>
          <w:szCs w:val="32"/>
        </w:rPr>
      </w:pPr>
      <w:r>
        <w:rPr>
          <w:rFonts w:hint="eastAsia" w:ascii="Times New Roman" w:hAnsi="Times New Roman" w:eastAsia="仿宋" w:cs="Times New Roman"/>
          <w:b/>
          <w:bCs/>
          <w:sz w:val="32"/>
          <w:szCs w:val="32"/>
        </w:rPr>
        <w:t>（二）对停车收费政策实行动态调整完善。</w:t>
      </w:r>
      <w:r>
        <w:rPr>
          <w:rFonts w:hint="eastAsia" w:ascii="Times New Roman" w:hAnsi="Times New Roman" w:eastAsia="仿宋" w:cs="Times New Roman"/>
          <w:sz w:val="32"/>
          <w:szCs w:val="32"/>
        </w:rPr>
        <w:t>区价格行政主管部门一般每五年对我区城市道路停车泊位道路停车泊位使用费标准进行评估，评估结果将作为调整收费标准的依据，并根据国家、省、市工作部署对计费阶梯、计费单位、免费优惠等内容进行及时调整完善。</w:t>
      </w:r>
    </w:p>
    <w:p w14:paraId="3B7A89B0">
      <w:pPr>
        <w:spacing w:after="0" w:line="600" w:lineRule="exact"/>
        <w:ind w:firstLine="643" w:firstLineChars="200"/>
        <w:jc w:val="both"/>
        <w:rPr>
          <w:rFonts w:ascii="Times New Roman" w:hAnsi="Times New Roman" w:eastAsia="仿宋" w:cs="Times New Roman"/>
          <w:sz w:val="32"/>
          <w:szCs w:val="32"/>
        </w:rPr>
      </w:pPr>
      <w:r>
        <w:rPr>
          <w:rFonts w:hint="eastAsia" w:ascii="Times New Roman" w:hAnsi="Times New Roman" w:eastAsia="仿宋" w:cs="Times New Roman"/>
          <w:b/>
          <w:bCs/>
          <w:sz w:val="32"/>
          <w:szCs w:val="32"/>
        </w:rPr>
        <w:t>（三）定期公开停车收费收取情况。</w:t>
      </w:r>
      <w:r>
        <w:rPr>
          <w:rFonts w:hint="eastAsia" w:ascii="Times New Roman" w:hAnsi="Times New Roman" w:eastAsia="仿宋" w:cs="Times New Roman"/>
          <w:sz w:val="32"/>
          <w:szCs w:val="32"/>
        </w:rPr>
        <w:t>城市道路停车泊位道路停车泊位使用费扣除相关税费后应当全额上缴财政，实行收支两条线管理。区交通运输行政主管部门应当每年将道路停车泊位使用费收取情况向社会公开。</w:t>
      </w:r>
    </w:p>
    <w:p w14:paraId="6700ED64">
      <w:pPr>
        <w:spacing w:after="0" w:line="600" w:lineRule="exact"/>
        <w:ind w:firstLine="643" w:firstLineChars="200"/>
        <w:jc w:val="both"/>
        <w:rPr>
          <w:rFonts w:ascii="Times New Roman" w:hAnsi="Times New Roman" w:eastAsia="仿宋" w:cs="Times New Roman"/>
          <w:sz w:val="32"/>
          <w:szCs w:val="32"/>
        </w:rPr>
      </w:pPr>
      <w:r>
        <w:rPr>
          <w:rFonts w:hint="eastAsia" w:ascii="Times New Roman" w:hAnsi="Times New Roman" w:eastAsia="仿宋" w:cs="Times New Roman"/>
          <w:b/>
          <w:bCs/>
          <w:sz w:val="32"/>
          <w:szCs w:val="32"/>
        </w:rPr>
        <w:t>（四）加强内部监管与廉政风险防控。</w:t>
      </w:r>
      <w:r>
        <w:rPr>
          <w:rFonts w:hint="eastAsia" w:ascii="Times New Roman" w:hAnsi="Times New Roman" w:eastAsia="仿宋" w:cs="Times New Roman"/>
          <w:sz w:val="32"/>
          <w:szCs w:val="32"/>
        </w:rPr>
        <w:t>区交通运输行政主管部门应当根据城市道路停车泊位管理工作实际，建立健全廉政防控措施，加强人员监管，对违规行为依法从严处理，对外公布监督投诉电话，接受社会各界和市民群众监督。</w:t>
      </w:r>
    </w:p>
    <w:p w14:paraId="29A007F8">
      <w:pPr>
        <w:spacing w:after="0" w:line="600" w:lineRule="exact"/>
        <w:ind w:firstLine="643" w:firstLineChars="200"/>
        <w:jc w:val="both"/>
        <w:rPr>
          <w:rFonts w:ascii="Times New Roman" w:hAnsi="Times New Roman" w:eastAsia="仿宋" w:cs="Times New Roman"/>
          <w:sz w:val="32"/>
          <w:szCs w:val="32"/>
        </w:rPr>
      </w:pPr>
      <w:r>
        <w:rPr>
          <w:rFonts w:hint="eastAsia" w:ascii="Times New Roman" w:hAnsi="Times New Roman" w:eastAsia="仿宋" w:cs="Times New Roman"/>
          <w:b/>
          <w:bCs/>
          <w:sz w:val="32"/>
          <w:szCs w:val="32"/>
        </w:rPr>
        <w:t>（五）规范引导城市道路停车泊位使用行为。</w:t>
      </w:r>
      <w:r>
        <w:rPr>
          <w:rFonts w:hint="eastAsia" w:ascii="Times New Roman" w:hAnsi="Times New Roman" w:eastAsia="仿宋" w:cs="Times New Roman"/>
          <w:sz w:val="32"/>
          <w:szCs w:val="32"/>
        </w:rPr>
        <w:t>区交通运输行政主管部门应当制定城市道路停车泊位巡查管理制度，开展巡查监督，制止、纠正利用地桩、地锁、障碍物等违法占用泊位行为，并协助相关单位处置违规收费、私划泊位等违法行为，及时受理、处置城市道路停车泊位停车投诉，维持临时泊位使用秩序。</w:t>
      </w:r>
      <w:r>
        <w:rPr>
          <w:rFonts w:hint="eastAsia" w:ascii="Times New Roman" w:hAnsi="Times New Roman" w:eastAsia="仿宋" w:cs="Times New Roman"/>
          <w:sz w:val="32"/>
          <w:szCs w:val="32"/>
          <w:lang w:val="en-US" w:eastAsia="zh-CN"/>
        </w:rPr>
        <w:t>做好欠费追缴工作，对未按规定缴纳泊位使用费的可依法依规追缴。</w:t>
      </w:r>
    </w:p>
    <w:p w14:paraId="527927F3">
      <w:pPr>
        <w:spacing w:after="0" w:line="600" w:lineRule="exact"/>
        <w:ind w:firstLine="643" w:firstLineChars="200"/>
        <w:jc w:val="both"/>
        <w:rPr>
          <w:rFonts w:hint="eastAsia" w:ascii="Times New Roman" w:hAnsi="Times New Roman" w:eastAsia="仿宋" w:cs="Times New Roman"/>
          <w:sz w:val="32"/>
          <w:szCs w:val="32"/>
          <w:lang w:eastAsia="zh-CN"/>
        </w:rPr>
      </w:pPr>
      <w:r>
        <w:rPr>
          <w:rFonts w:hint="eastAsia" w:ascii="Times New Roman" w:hAnsi="Times New Roman" w:eastAsia="仿宋" w:cs="Times New Roman"/>
          <w:b/>
          <w:bCs/>
          <w:sz w:val="32"/>
          <w:szCs w:val="32"/>
        </w:rPr>
        <w:t>（六）做好收费路段信息公开。</w:t>
      </w:r>
      <w:r>
        <w:rPr>
          <w:rFonts w:hint="eastAsia" w:ascii="Times New Roman" w:hAnsi="Times New Roman" w:eastAsia="仿宋" w:cs="Times New Roman"/>
          <w:sz w:val="32"/>
          <w:szCs w:val="32"/>
        </w:rPr>
        <w:t>区交通运输行政主管部门应当设置城市道路停车泊位标志牌，公布收费依据、管理单位信息、收费标准、泊位数量、停放时段、停放方向、停放车辆类型和监督投诉电话等信息，接受社会咨询和监督。</w:t>
      </w:r>
    </w:p>
    <w:bookmarkEnd w:id="5"/>
    <w:p w14:paraId="7519FE71">
      <w:pPr>
        <w:spacing w:after="0" w:line="600" w:lineRule="exact"/>
        <w:ind w:firstLine="640" w:firstLineChars="200"/>
        <w:outlineLvl w:val="0"/>
        <w:rPr>
          <w:rFonts w:hint="eastAsia" w:ascii="黑体" w:hAnsi="黑体" w:eastAsia="黑体" w:cs="黑体"/>
          <w:bCs/>
          <w:sz w:val="32"/>
          <w:szCs w:val="32"/>
        </w:rPr>
      </w:pPr>
      <w:r>
        <w:rPr>
          <w:rFonts w:hint="eastAsia" w:ascii="黑体" w:hAnsi="黑体" w:eastAsia="黑体" w:cs="黑体"/>
          <w:bCs/>
          <w:sz w:val="32"/>
          <w:szCs w:val="32"/>
        </w:rPr>
        <w:t>七、实施时间</w:t>
      </w:r>
    </w:p>
    <w:p w14:paraId="0143328F">
      <w:pPr>
        <w:spacing w:after="0" w:line="600" w:lineRule="exact"/>
        <w:ind w:firstLine="640" w:firstLineChars="200"/>
        <w:jc w:val="both"/>
        <w:rPr>
          <w:rFonts w:ascii="Times New Roman" w:hAnsi="Times New Roman" w:eastAsia="仿宋" w:cs="Times New Roman"/>
          <w:sz w:val="32"/>
          <w:szCs w:val="32"/>
        </w:rPr>
      </w:pPr>
      <w:r>
        <w:rPr>
          <w:rFonts w:hint="eastAsia" w:ascii="Times New Roman" w:hAnsi="Times New Roman" w:eastAsia="仿宋" w:cs="Times New Roman"/>
          <w:sz w:val="32"/>
          <w:szCs w:val="32"/>
        </w:rPr>
        <w:t>本通知自2026年X月X日起实施，有效期</w:t>
      </w:r>
      <w:r>
        <w:rPr>
          <w:rFonts w:ascii="Times New Roman" w:hAnsi="Times New Roman" w:eastAsia="仿宋" w:cs="Times New Roman"/>
          <w:sz w:val="32"/>
          <w:szCs w:val="32"/>
        </w:rPr>
        <w:t>5</w:t>
      </w:r>
      <w:r>
        <w:rPr>
          <w:rFonts w:hint="eastAsia" w:ascii="Times New Roman" w:hAnsi="Times New Roman" w:eastAsia="仿宋" w:cs="Times New Roman"/>
          <w:sz w:val="32"/>
          <w:szCs w:val="32"/>
        </w:rPr>
        <w:t>年。</w:t>
      </w:r>
    </w:p>
    <w:bookmarkEnd w:id="4"/>
    <w:p w14:paraId="09F75505">
      <w:pPr>
        <w:tabs>
          <w:tab w:val="left" w:pos="5068"/>
        </w:tabs>
        <w:spacing w:after="0" w:line="600" w:lineRule="exact"/>
        <w:ind w:firstLine="640" w:firstLineChars="200"/>
        <w:outlineLvl w:val="0"/>
        <w:rPr>
          <w:rFonts w:ascii="Times New Roman" w:hAnsi="Times New Roman" w:eastAsia="仿宋" w:cs="Times New Roman"/>
          <w:sz w:val="32"/>
          <w:szCs w:val="32"/>
        </w:rPr>
      </w:pPr>
      <w:r>
        <w:rPr>
          <w:rFonts w:ascii="Times New Roman" w:hAnsi="Times New Roman" w:eastAsia="仿宋" w:cs="Times New Roman"/>
          <w:sz w:val="32"/>
          <w:szCs w:val="32"/>
        </w:rPr>
        <w:tab/>
      </w:r>
    </w:p>
    <w:sectPr>
      <w:footerReference r:id="rId5" w:type="default"/>
      <w:pgSz w:w="11905" w:h="16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1475169"/>
    </w:sdtPr>
    <w:sdtContent>
      <w:p w14:paraId="0FB447DE">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B972F"/>
    <w:multiLevelType w:val="singleLevel"/>
    <w:tmpl w:val="327B972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trackRevisions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5B6"/>
    <w:rsid w:val="00053FE2"/>
    <w:rsid w:val="000840C8"/>
    <w:rsid w:val="000E2547"/>
    <w:rsid w:val="000E7A54"/>
    <w:rsid w:val="00113F3A"/>
    <w:rsid w:val="00130482"/>
    <w:rsid w:val="00145043"/>
    <w:rsid w:val="00186769"/>
    <w:rsid w:val="001B65B6"/>
    <w:rsid w:val="001E0841"/>
    <w:rsid w:val="001F1C1B"/>
    <w:rsid w:val="00200901"/>
    <w:rsid w:val="00223EC4"/>
    <w:rsid w:val="00317D63"/>
    <w:rsid w:val="0032045A"/>
    <w:rsid w:val="00362960"/>
    <w:rsid w:val="0039412D"/>
    <w:rsid w:val="003B4056"/>
    <w:rsid w:val="003F66EF"/>
    <w:rsid w:val="004909F9"/>
    <w:rsid w:val="004D6A9B"/>
    <w:rsid w:val="00507592"/>
    <w:rsid w:val="00513AB8"/>
    <w:rsid w:val="005458AF"/>
    <w:rsid w:val="0056252B"/>
    <w:rsid w:val="00571966"/>
    <w:rsid w:val="005B367E"/>
    <w:rsid w:val="005F1C81"/>
    <w:rsid w:val="00660702"/>
    <w:rsid w:val="006C70A0"/>
    <w:rsid w:val="00715630"/>
    <w:rsid w:val="00736F29"/>
    <w:rsid w:val="0074577B"/>
    <w:rsid w:val="00773664"/>
    <w:rsid w:val="00774005"/>
    <w:rsid w:val="007831C9"/>
    <w:rsid w:val="007D6F32"/>
    <w:rsid w:val="007F4A7B"/>
    <w:rsid w:val="00840E78"/>
    <w:rsid w:val="00847D5B"/>
    <w:rsid w:val="0087350E"/>
    <w:rsid w:val="008C3C6D"/>
    <w:rsid w:val="00911EE4"/>
    <w:rsid w:val="009509B6"/>
    <w:rsid w:val="00970D9E"/>
    <w:rsid w:val="00973154"/>
    <w:rsid w:val="00A154B7"/>
    <w:rsid w:val="00A254EF"/>
    <w:rsid w:val="00A40AB3"/>
    <w:rsid w:val="00A9565E"/>
    <w:rsid w:val="00AF3FA5"/>
    <w:rsid w:val="00AF6A40"/>
    <w:rsid w:val="00B743F5"/>
    <w:rsid w:val="00BA14A3"/>
    <w:rsid w:val="00BC6504"/>
    <w:rsid w:val="00C7670A"/>
    <w:rsid w:val="00C960C0"/>
    <w:rsid w:val="00D1090D"/>
    <w:rsid w:val="00DB0D96"/>
    <w:rsid w:val="00DC0CEF"/>
    <w:rsid w:val="00EA0FD5"/>
    <w:rsid w:val="00EE2590"/>
    <w:rsid w:val="00F03BA1"/>
    <w:rsid w:val="00F70967"/>
    <w:rsid w:val="00FA6FC5"/>
    <w:rsid w:val="00FE5642"/>
    <w:rsid w:val="07852600"/>
    <w:rsid w:val="109962F6"/>
    <w:rsid w:val="11516116"/>
    <w:rsid w:val="131971B2"/>
    <w:rsid w:val="15F243CE"/>
    <w:rsid w:val="19A44EA1"/>
    <w:rsid w:val="1AFE3F09"/>
    <w:rsid w:val="1EA1665E"/>
    <w:rsid w:val="1F72608C"/>
    <w:rsid w:val="28E77137"/>
    <w:rsid w:val="2C0D7AED"/>
    <w:rsid w:val="2EDF5E25"/>
    <w:rsid w:val="373875C4"/>
    <w:rsid w:val="38BF61AA"/>
    <w:rsid w:val="44D83382"/>
    <w:rsid w:val="4FBB4233"/>
    <w:rsid w:val="5E7F239D"/>
    <w:rsid w:val="61CE7554"/>
    <w:rsid w:val="677B5669"/>
    <w:rsid w:val="6B635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2"/>
    <w:basedOn w:val="1"/>
    <w:next w:val="1"/>
    <w:semiHidden/>
    <w:unhideWhenUsed/>
    <w:qFormat/>
    <w:uiPriority w:val="9"/>
    <w:pPr>
      <w:spacing w:beforeAutospacing="1" w:after="0" w:afterAutospacing="1"/>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style>
  <w:style w:type="paragraph" w:styleId="4">
    <w:name w:val="footer"/>
    <w:basedOn w:val="1"/>
    <w:link w:val="12"/>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1"/>
    <w:unhideWhenUsed/>
    <w:qFormat/>
    <w:uiPriority w:val="99"/>
    <w:pPr>
      <w:tabs>
        <w:tab w:val="center" w:pos="4153"/>
        <w:tab w:val="right" w:pos="8306"/>
      </w:tabs>
      <w:snapToGrid w:val="0"/>
      <w:spacing w:line="240" w:lineRule="auto"/>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customStyle="1" w:styleId="13">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14">
    <w:name w:val="修订2"/>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15">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31867-3720-49D9-839E-A989809D1D28}">
  <ds:schemaRefs/>
</ds:datastoreItem>
</file>

<file path=docProps/app.xml><?xml version="1.0" encoding="utf-8"?>
<Properties xmlns="http://schemas.openxmlformats.org/officeDocument/2006/extended-properties" xmlns:vt="http://schemas.openxmlformats.org/officeDocument/2006/docPropsVTypes">
  <Template>Normal.dotm</Template>
  <Pages>5</Pages>
  <Words>813</Words>
  <Characters>1310</Characters>
  <Lines>131</Lines>
  <Paragraphs>132</Paragraphs>
  <TotalTime>0</TotalTime>
  <ScaleCrop>false</ScaleCrop>
  <LinksUpToDate>false</LinksUpToDate>
  <CharactersWithSpaces>1991</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2025-12-09T02:48:00Z</dcterms:created>
  <dc:creator>Apache POI</dc:creator>
  <cp:lastModifiedBy>dell</cp:lastModifiedBy>
  <dcterms:modified xsi:type="dcterms:W3CDTF">2026-07-13T09:21:08Z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2DACB73EC25540D69C49093706D144CF_12</vt:lpwstr>
  </property>
</Properties>
</file>