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2C0DE">
      <w:pPr>
        <w:spacing w:before="0" w:beforeLines="0" w:after="0" w:afterLines="0" w:line="240" w:lineRule="auto"/>
        <w:ind w:firstLine="0" w:firstLineChars="0"/>
        <w:jc w:val="center"/>
        <w:rPr>
          <w:rFonts w:ascii="Times New Roman" w:hAnsi="Times New Roman" w:eastAsia="宋体" w:cs="Times New Roman"/>
          <w:b/>
          <w:sz w:val="52"/>
          <w:szCs w:val="52"/>
        </w:rPr>
      </w:pPr>
    </w:p>
    <w:p w14:paraId="37BDE203">
      <w:pPr>
        <w:spacing w:before="0" w:beforeLines="0" w:after="0" w:afterLines="0" w:line="240" w:lineRule="auto"/>
        <w:ind w:firstLine="0" w:firstLineChars="0"/>
        <w:jc w:val="center"/>
        <w:rPr>
          <w:rFonts w:ascii="Times New Roman" w:hAnsi="Times New Roman" w:eastAsia="宋体" w:cs="Times New Roman"/>
          <w:b/>
          <w:sz w:val="52"/>
          <w:szCs w:val="52"/>
        </w:rPr>
      </w:pPr>
    </w:p>
    <w:p w14:paraId="0A944D02">
      <w:pPr>
        <w:spacing w:before="0" w:beforeLines="0" w:after="0" w:afterLines="0" w:line="240" w:lineRule="auto"/>
        <w:ind w:firstLine="0" w:firstLineChars="0"/>
        <w:jc w:val="center"/>
        <w:rPr>
          <w:rFonts w:ascii="Times New Roman" w:hAnsi="Times New Roman" w:eastAsia="宋体" w:cs="Times New Roman"/>
          <w:b/>
          <w:sz w:val="52"/>
          <w:szCs w:val="52"/>
        </w:rPr>
      </w:pPr>
    </w:p>
    <w:p w14:paraId="765AF6E0">
      <w:pPr>
        <w:spacing w:before="0" w:beforeLines="0" w:after="0" w:afterLines="0" w:line="240" w:lineRule="auto"/>
        <w:ind w:firstLine="0" w:firstLineChars="0"/>
        <w:jc w:val="center"/>
        <w:rPr>
          <w:rFonts w:ascii="Times New Roman" w:hAnsi="Times New Roman" w:eastAsia="宋体" w:cs="Times New Roman"/>
          <w:b/>
          <w:sz w:val="52"/>
          <w:szCs w:val="52"/>
        </w:rPr>
      </w:pPr>
      <w:r>
        <w:rPr>
          <w:rFonts w:ascii="Times New Roman" w:hAnsi="Times New Roman" w:eastAsia="宋体" w:cs="Times New Roman"/>
          <w:b/>
          <w:sz w:val="52"/>
          <w:szCs w:val="52"/>
        </w:rPr>
        <w:t>广州市番禺区“十五五”时期</w:t>
      </w:r>
    </w:p>
    <w:p w14:paraId="1ABDF593">
      <w:pPr>
        <w:spacing w:before="0" w:beforeLines="0" w:after="0" w:afterLines="0" w:line="240" w:lineRule="auto"/>
        <w:ind w:firstLine="0" w:firstLineChars="0"/>
        <w:jc w:val="center"/>
        <w:rPr>
          <w:rFonts w:ascii="Times New Roman" w:hAnsi="Times New Roman" w:eastAsia="宋体" w:cs="Times New Roman"/>
          <w:b/>
          <w:sz w:val="52"/>
          <w:szCs w:val="52"/>
        </w:rPr>
      </w:pPr>
      <w:r>
        <w:rPr>
          <w:rFonts w:ascii="Times New Roman" w:hAnsi="Times New Roman" w:eastAsia="宋体" w:cs="Times New Roman"/>
          <w:b/>
          <w:sz w:val="52"/>
          <w:szCs w:val="52"/>
        </w:rPr>
        <w:t>综合交通体系建设规划</w:t>
      </w:r>
    </w:p>
    <w:p w14:paraId="0482C82C">
      <w:pPr>
        <w:spacing w:before="0" w:beforeLines="0" w:after="0" w:afterLines="0" w:line="240" w:lineRule="auto"/>
        <w:ind w:firstLine="0" w:firstLineChars="0"/>
        <w:jc w:val="center"/>
        <w:rPr>
          <w:rFonts w:ascii="Times New Roman" w:hAnsi="Times New Roman" w:eastAsia="宋体" w:cs="Times New Roman"/>
          <w:b/>
          <w:sz w:val="52"/>
          <w:szCs w:val="52"/>
        </w:rPr>
      </w:pPr>
      <w:r>
        <w:rPr>
          <w:rFonts w:hint="eastAsia" w:ascii="Times New Roman" w:hAnsi="Times New Roman" w:eastAsia="宋体" w:cs="Times New Roman"/>
          <w:b/>
          <w:sz w:val="52"/>
          <w:szCs w:val="52"/>
        </w:rPr>
        <w:t>（</w:t>
      </w:r>
      <w:r>
        <w:rPr>
          <w:rFonts w:hint="eastAsia" w:ascii="Times New Roman" w:hAnsi="Times New Roman" w:eastAsia="宋体" w:cs="Times New Roman"/>
          <w:b/>
          <w:sz w:val="52"/>
          <w:szCs w:val="52"/>
          <w:lang w:val="en-US" w:eastAsia="zh-CN"/>
        </w:rPr>
        <w:t>征求意见稿</w:t>
      </w:r>
      <w:r>
        <w:rPr>
          <w:rFonts w:hint="eastAsia" w:ascii="Times New Roman" w:hAnsi="Times New Roman" w:eastAsia="宋体" w:cs="Times New Roman"/>
          <w:b/>
          <w:sz w:val="52"/>
          <w:szCs w:val="52"/>
        </w:rPr>
        <w:t>）</w:t>
      </w:r>
    </w:p>
    <w:p w14:paraId="2845E334">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1C2A039B">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12D91040">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2C5130E8">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41CDFCF6">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166E4A8D">
      <w:pPr>
        <w:spacing w:before="0" w:beforeLines="0" w:after="0" w:afterLines="0" w:line="240" w:lineRule="auto"/>
        <w:ind w:firstLine="0" w:firstLineChars="0"/>
        <w:rPr>
          <w:rFonts w:ascii="仿宋_GB2312" w:hAnsi="Times New Roman" w:eastAsia="仿宋_GB2312" w:cs="Times New Roman"/>
          <w:b/>
          <w:sz w:val="44"/>
          <w:szCs w:val="44"/>
        </w:rPr>
      </w:pPr>
    </w:p>
    <w:p w14:paraId="202ECD41">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3E84FBC6">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0EBBA782">
      <w:pPr>
        <w:spacing w:before="0" w:beforeLines="0" w:after="0" w:afterLines="0" w:line="240" w:lineRule="auto"/>
        <w:ind w:firstLine="0" w:firstLineChars="0"/>
        <w:jc w:val="center"/>
        <w:rPr>
          <w:rFonts w:ascii="仿宋_GB2312" w:hAnsi="Times New Roman" w:eastAsia="仿宋_GB2312" w:cs="Times New Roman"/>
          <w:b/>
          <w:sz w:val="44"/>
          <w:szCs w:val="44"/>
        </w:rPr>
      </w:pPr>
    </w:p>
    <w:p w14:paraId="5015F221">
      <w:pPr>
        <w:spacing w:before="0" w:beforeLines="0" w:after="0" w:afterLines="0" w:line="240" w:lineRule="auto"/>
        <w:ind w:firstLine="0" w:firstLineChars="0"/>
        <w:jc w:val="center"/>
        <w:rPr>
          <w:rFonts w:ascii="仿宋_GB2312" w:hAnsi="Times New Roman" w:eastAsia="仿宋_GB2312" w:cs="Times New Roman"/>
          <w:b/>
          <w:sz w:val="44"/>
          <w:szCs w:val="44"/>
        </w:rPr>
      </w:pPr>
      <w:r>
        <w:rPr>
          <w:rFonts w:hint="eastAsia" w:ascii="仿宋_GB2312" w:hAnsi="Times New Roman" w:eastAsia="仿宋_GB2312" w:cs="Times New Roman"/>
          <w:b/>
          <w:sz w:val="44"/>
          <w:szCs w:val="44"/>
        </w:rPr>
        <w:t>2026年6月</w:t>
      </w:r>
    </w:p>
    <w:p w14:paraId="74F6B5E6">
      <w:pPr>
        <w:spacing w:before="0" w:beforeLines="0" w:after="0" w:afterLines="0" w:line="240" w:lineRule="auto"/>
        <w:ind w:firstLine="560"/>
        <w:rPr>
          <w:rFonts w:ascii="仿宋_GB2312" w:eastAsia="仿宋_GB2312"/>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37AD378F">
      <w:pPr>
        <w:spacing w:before="0" w:beforeLines="0" w:after="0" w:afterLines="0" w:line="240" w:lineRule="auto"/>
        <w:ind w:firstLine="0" w:firstLineChars="0"/>
        <w:jc w:val="center"/>
        <w:rPr>
          <w:rFonts w:ascii="仿宋_GB2312" w:eastAsia="仿宋_GB2312"/>
          <w:b/>
          <w:bCs/>
          <w:sz w:val="28"/>
          <w:szCs w:val="28"/>
        </w:rPr>
      </w:pPr>
      <w:r>
        <w:rPr>
          <w:rFonts w:hint="eastAsia" w:ascii="仿宋_GB2312" w:eastAsia="仿宋_GB2312"/>
          <w:b/>
          <w:bCs/>
          <w:sz w:val="28"/>
          <w:szCs w:val="28"/>
        </w:rPr>
        <w:t>前言</w:t>
      </w:r>
    </w:p>
    <w:p w14:paraId="0B393E4C">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十五五”时期是我国基本实现社会主义现代化夯实基础、全面发力的关键期。为深入贯彻党的二十届四中全会精神，落实以高质量发展为主题、因地制宜发展新质生产力的宏观要求，番禺区紧抓粤港澳大湾区“黄金内湾”关键节点的时代机遇。全区立足于全面落实省委“1310”具体部署及市委“1312”思路举措，深度推进“百千万工程”，在强化湾区交通互联互通、引领发展方式绿色转型中，迎来跨越式发展的重大机遇。</w:t>
      </w:r>
    </w:p>
    <w:p w14:paraId="2E1798D1">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为精准支撑番禺区“湾区智造创新高地、岭南山水花园城区”的目标愿景，充分发挥区域枢纽功能，我局特组织编制《广州市番禺区“十五五”时期综合交通体系建设规划》。本规划从全局和战略高度谋划综合交通体系建设，既是未来五年全区交通发展的总体部署，也是将国家战略与省市导向转化为区级项目落地的基本依据，对整合优化综合交通资源配置、促进协调发展具有重要指导作用。</w:t>
      </w:r>
    </w:p>
    <w:p w14:paraId="5A4E4E09">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本规划范围为番禺区行政区域范围，总面积529.94平方公里，规划期限为2026-2030年。现将规划征求意见稿予以公示，广泛听取社会各界意见，凝聚公众共识，共绘番禺交通高质量发展蓝图。</w:t>
      </w:r>
    </w:p>
    <w:p w14:paraId="09148D62">
      <w:pPr>
        <w:spacing w:before="0" w:beforeLines="0" w:after="0" w:afterLines="0" w:line="240" w:lineRule="auto"/>
        <w:ind w:firstLine="560"/>
        <w:rPr>
          <w:rFonts w:ascii="仿宋_GB2312" w:eastAsia="仿宋_GB2312"/>
          <w:sz w:val="28"/>
          <w:szCs w:val="28"/>
        </w:rPr>
      </w:pPr>
    </w:p>
    <w:p w14:paraId="7480A178">
      <w:pPr>
        <w:spacing w:before="0" w:beforeLines="0" w:after="0" w:afterLines="0" w:line="240" w:lineRule="auto"/>
        <w:ind w:firstLine="560"/>
        <w:rPr>
          <w:rFonts w:ascii="仿宋_GB2312" w:eastAsia="仿宋_GB2312"/>
          <w:sz w:val="28"/>
          <w:szCs w:val="28"/>
        </w:rPr>
        <w:sectPr>
          <w:pgSz w:w="11906" w:h="16838"/>
          <w:pgMar w:top="1440" w:right="1800" w:bottom="1440" w:left="1800" w:header="851" w:footer="992" w:gutter="0"/>
          <w:cols w:space="425" w:num="1"/>
          <w:docGrid w:type="lines" w:linePitch="312" w:charSpace="0"/>
        </w:sectPr>
      </w:pPr>
    </w:p>
    <w:p w14:paraId="05BF73A1">
      <w:pPr>
        <w:spacing w:before="0" w:beforeLines="0" w:after="0" w:afterLines="0" w:line="240" w:lineRule="auto"/>
        <w:ind w:firstLine="643"/>
        <w:jc w:val="center"/>
        <w:rPr>
          <w:rFonts w:ascii="仿宋_GB2312" w:eastAsia="仿宋_GB2312"/>
          <w:b/>
          <w:bCs/>
          <w:sz w:val="32"/>
          <w:szCs w:val="32"/>
        </w:rPr>
      </w:pPr>
      <w:r>
        <w:rPr>
          <w:rFonts w:hint="eastAsia" w:ascii="仿宋_GB2312" w:eastAsia="仿宋_GB2312"/>
          <w:b/>
          <w:bCs/>
          <w:sz w:val="32"/>
          <w:szCs w:val="32"/>
        </w:rPr>
        <w:t>目录</w:t>
      </w:r>
    </w:p>
    <w:sdt>
      <w:sdtPr>
        <w:rPr>
          <w:rFonts w:ascii="Times New Roman" w:hAnsi="Times New Roman" w:cs="Times New Roman" w:eastAsiaTheme="minorEastAsia"/>
          <w:color w:val="auto"/>
          <w:kern w:val="2"/>
          <w:sz w:val="22"/>
          <w:szCs w:val="22"/>
          <w:lang w:val="zh-CN"/>
        </w:rPr>
        <w:id w:val="-1"/>
        <w:docPartObj>
          <w:docPartGallery w:val="Table of Contents"/>
          <w:docPartUnique/>
        </w:docPartObj>
      </w:sdtPr>
      <w:sdtEndPr>
        <w:rPr>
          <w:rFonts w:ascii="Times New Roman" w:hAnsi="Times New Roman" w:cs="Times New Roman" w:eastAsiaTheme="minorEastAsia"/>
          <w:color w:val="auto"/>
          <w:kern w:val="2"/>
          <w:sz w:val="22"/>
          <w:szCs w:val="22"/>
          <w:lang w:val="zh-CN"/>
        </w:rPr>
      </w:sdtEndPr>
      <w:sdtContent>
        <w:p w14:paraId="1CC3A4DB">
          <w:pPr>
            <w:pStyle w:val="52"/>
            <w:spacing w:before="0" w:line="360" w:lineRule="auto"/>
            <w:ind w:firstLine="420"/>
            <w:rPr>
              <w:rFonts w:ascii="Times New Roman" w:hAnsi="Times New Roman" w:cs="Times New Roman"/>
              <w:sz w:val="22"/>
              <w:szCs w:val="22"/>
            </w:rPr>
          </w:pPr>
        </w:p>
        <w:p w14:paraId="13B93C46">
          <w:pPr>
            <w:pStyle w:val="16"/>
            <w:tabs>
              <w:tab w:val="right" w:leader="dot" w:pos="8296"/>
            </w:tabs>
            <w:spacing w:before="156" w:after="156"/>
            <w:ind w:firstLine="440"/>
            <w:rPr>
              <w:sz w:val="22"/>
              <w:szCs w:val="24"/>
              <w14:ligatures w14:val="standardContextual"/>
            </w:rPr>
          </w:pPr>
          <w:r>
            <w:rPr>
              <w:rFonts w:ascii="Times New Roman" w:hAnsi="Times New Roman" w:cs="Times New Roman"/>
              <w:sz w:val="22"/>
            </w:rPr>
            <w:fldChar w:fldCharType="begin"/>
          </w:r>
          <w:r>
            <w:rPr>
              <w:rFonts w:ascii="Times New Roman" w:hAnsi="Times New Roman" w:cs="Times New Roman"/>
              <w:sz w:val="22"/>
            </w:rPr>
            <w:instrText xml:space="preserve"> TOC \o "1-3" \h \z \u </w:instrText>
          </w:r>
          <w:r>
            <w:rPr>
              <w:rFonts w:ascii="Times New Roman" w:hAnsi="Times New Roman" w:cs="Times New Roman"/>
              <w:sz w:val="22"/>
            </w:rPr>
            <w:fldChar w:fldCharType="separate"/>
          </w:r>
          <w:r>
            <w:fldChar w:fldCharType="begin"/>
          </w:r>
          <w:r>
            <w:instrText xml:space="preserve"> HYPERLINK \l "_Toc233274587" </w:instrText>
          </w:r>
          <w:r>
            <w:fldChar w:fldCharType="separate"/>
          </w:r>
          <w:r>
            <w:rPr>
              <w:rStyle w:val="25"/>
              <w:rFonts w:ascii="仿宋_GB2312" w:eastAsia="仿宋_GB2312"/>
              <w:b/>
              <w:bCs/>
            </w:rPr>
            <w:t>一、发展基础</w:t>
          </w:r>
          <w:r>
            <w:tab/>
          </w:r>
          <w:r>
            <w:fldChar w:fldCharType="begin"/>
          </w:r>
          <w:r>
            <w:instrText xml:space="preserve"> PAGEREF _Toc233274587 \h </w:instrText>
          </w:r>
          <w:r>
            <w:fldChar w:fldCharType="separate"/>
          </w:r>
          <w:r>
            <w:t>1</w:t>
          </w:r>
          <w:r>
            <w:fldChar w:fldCharType="end"/>
          </w:r>
          <w:r>
            <w:fldChar w:fldCharType="end"/>
          </w:r>
        </w:p>
        <w:p w14:paraId="4449FC88">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"_Toc233274588" </w:instrText>
          </w:r>
          <w:r>
            <w:fldChar w:fldCharType="separate"/>
          </w:r>
          <w:r>
            <w:rPr>
              <w:rStyle w:val="25"/>
              <w:rFonts w:ascii="仿宋_GB2312" w:eastAsia="仿宋_GB2312"/>
              <w:b/>
              <w:bCs/>
            </w:rPr>
            <w:t>（一）“十四五”发展成就</w:t>
          </w:r>
          <w:r>
            <w:tab/>
          </w:r>
          <w:r>
            <w:fldChar w:fldCharType="begin"/>
          </w:r>
          <w:r>
            <w:instrText xml:space="preserve"> PAGEREF _Toc233274588 \h </w:instrText>
          </w:r>
          <w:r>
            <w:fldChar w:fldCharType="separate"/>
          </w:r>
          <w:r>
            <w:t>1</w:t>
          </w:r>
          <w:r>
            <w:fldChar w:fldCharType="end"/>
          </w:r>
          <w:r>
            <w:fldChar w:fldCharType="end"/>
          </w:r>
        </w:p>
        <w:p w14:paraId="6569C299">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"_Toc233274589" </w:instrText>
          </w:r>
          <w:r>
            <w:fldChar w:fldCharType="separate"/>
          </w:r>
          <w:r>
            <w:rPr>
              <w:rStyle w:val="25"/>
              <w:rFonts w:ascii="仿宋_GB2312" w:eastAsia="仿宋_GB2312"/>
              <w:b/>
              <w:bCs/>
            </w:rPr>
            <w:t>1、综合立体交通网络加速成型</w:t>
          </w:r>
          <w:r>
            <w:tab/>
          </w:r>
          <w:r>
            <w:fldChar w:fldCharType="begin"/>
          </w:r>
          <w:r>
            <w:instrText xml:space="preserve"> PAGEREF _Toc233274589 \h </w:instrText>
          </w:r>
          <w:r>
            <w:fldChar w:fldCharType="separate"/>
          </w:r>
          <w:r>
            <w:t>1</w:t>
          </w:r>
          <w:r>
            <w:fldChar w:fldCharType="end"/>
          </w:r>
          <w:r>
            <w:fldChar w:fldCharType="end"/>
          </w:r>
        </w:p>
        <w:p w14:paraId="255B5594">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"_Toc233274590" </w:instrText>
          </w:r>
          <w:r>
            <w:fldChar w:fldCharType="separate"/>
          </w:r>
          <w:r>
            <w:rPr>
              <w:rStyle w:val="25"/>
              <w:rFonts w:ascii="仿宋_GB2312" w:eastAsia="仿宋_GB2312"/>
              <w:b/>
              <w:bCs/>
            </w:rPr>
            <w:t>2、城市交通出行品质不断提升</w:t>
          </w:r>
          <w:r>
            <w:tab/>
          </w:r>
          <w:r>
            <w:fldChar w:fldCharType="begin"/>
          </w:r>
          <w:r>
            <w:instrText xml:space="preserve"> PAGEREF _Toc233274590 \h </w:instrText>
          </w:r>
          <w:r>
            <w:fldChar w:fldCharType="separate"/>
          </w:r>
          <w:r>
            <w:t>3</w:t>
          </w:r>
          <w:r>
            <w:fldChar w:fldCharType="end"/>
          </w:r>
          <w:r>
            <w:fldChar w:fldCharType="end"/>
          </w:r>
        </w:p>
        <w:p w14:paraId="3BEEDB1E">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"_Toc233274591" </w:instrText>
          </w:r>
          <w:r>
            <w:fldChar w:fldCharType="separate"/>
          </w:r>
          <w:r>
            <w:rPr>
              <w:rStyle w:val="25"/>
              <w:rFonts w:ascii="仿宋_GB2312" w:eastAsia="仿宋_GB2312"/>
              <w:b/>
              <w:bCs/>
            </w:rPr>
            <w:t>（二）存在的主要问题</w:t>
          </w:r>
          <w:r>
            <w:tab/>
          </w:r>
          <w:r>
            <w:fldChar w:fldCharType="begin"/>
          </w:r>
          <w:r>
            <w:instrText xml:space="preserve"> PAGEREF _Toc233274591 \h </w:instrText>
          </w:r>
          <w:r>
            <w:fldChar w:fldCharType="separate"/>
          </w:r>
          <w:r>
            <w:t>4</w:t>
          </w:r>
          <w:r>
            <w:fldChar w:fldCharType="end"/>
          </w:r>
          <w:r>
            <w:fldChar w:fldCharType="end"/>
          </w:r>
        </w:p>
        <w:p w14:paraId="5558EB42">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"_Toc233274592" </w:instrText>
          </w:r>
          <w:r>
            <w:fldChar w:fldCharType="separate"/>
          </w:r>
          <w:r>
            <w:rPr>
              <w:rStyle w:val="25"/>
              <w:rFonts w:ascii="仿宋_GB2312" w:eastAsia="仿宋_GB2312"/>
              <w:b/>
              <w:bCs/>
            </w:rPr>
            <w:t>1、大交通：区域协同与枢纽能级有待跃升</w:t>
          </w:r>
          <w:r>
            <w:tab/>
          </w:r>
          <w:r>
            <w:fldChar w:fldCharType="begin"/>
          </w:r>
          <w:r>
            <w:instrText xml:space="preserve"> PAGEREF _Toc233274592 \h </w:instrText>
          </w:r>
          <w:r>
            <w:fldChar w:fldCharType="separate"/>
          </w:r>
          <w:r>
            <w:t>4</w:t>
          </w:r>
          <w:r>
            <w:fldChar w:fldCharType="end"/>
          </w:r>
          <w:r>
            <w:fldChar w:fldCharType="end"/>
          </w:r>
        </w:p>
        <w:p w14:paraId="4F462941">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"_Toc233274593" </w:instrText>
          </w:r>
          <w:r>
            <w:fldChar w:fldCharType="separate"/>
          </w:r>
          <w:r>
            <w:rPr>
              <w:rStyle w:val="25"/>
              <w:rFonts w:ascii="仿宋_GB2312" w:eastAsia="仿宋_GB2312"/>
              <w:b/>
              <w:bCs/>
            </w:rPr>
            <w:t>2、硬基建：交通设施网络韧性不足</w:t>
          </w:r>
          <w:r>
            <w:tab/>
          </w:r>
          <w:r>
            <w:fldChar w:fldCharType="begin"/>
          </w:r>
          <w:r>
            <w:instrText xml:space="preserve"> PAGEREF _Toc233274593 \h </w:instrText>
          </w:r>
          <w:r>
            <w:fldChar w:fldCharType="separate"/>
          </w:r>
          <w:r>
            <w:t>5</w:t>
          </w:r>
          <w:r>
            <w:fldChar w:fldCharType="end"/>
          </w:r>
          <w:r>
            <w:fldChar w:fldCharType="end"/>
          </w:r>
        </w:p>
        <w:p w14:paraId="51A97A21">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"_Toc233274594" </w:instrText>
          </w:r>
          <w:r>
            <w:fldChar w:fldCharType="separate"/>
          </w:r>
          <w:r>
            <w:rPr>
              <w:rStyle w:val="25"/>
              <w:rFonts w:ascii="仿宋_GB2312" w:eastAsia="仿宋_GB2312"/>
              <w:b/>
              <w:bCs/>
            </w:rPr>
            <w:t>3、软服务：友好出行体验有待优化</w:t>
          </w:r>
          <w:r>
            <w:tab/>
          </w:r>
          <w:r>
            <w:fldChar w:fldCharType="begin"/>
          </w:r>
          <w:r>
            <w:instrText xml:space="preserve"> PAGEREF _Toc233274594 \h </w:instrText>
          </w:r>
          <w:r>
            <w:fldChar w:fldCharType="separate"/>
          </w:r>
          <w:r>
            <w:t>6</w:t>
          </w:r>
          <w:r>
            <w:fldChar w:fldCharType="end"/>
          </w:r>
          <w:r>
            <w:fldChar w:fldCharType="end"/>
          </w:r>
        </w:p>
        <w:p w14:paraId="6DBF23D2">
          <w:pPr>
            <w:pStyle w:val="16"/>
            <w:tabs>
              <w:tab w:val="right" w:leader="dot" w:pos="8296"/>
            </w:tabs>
            <w:spacing w:before="156" w:after="156"/>
            <w:ind w:firstLine="420"/>
            <w:rPr>
              <w:sz w:val="22"/>
              <w:szCs w:val="24"/>
              <w14:ligatures w14:val="standardContextual"/>
            </w:rPr>
          </w:pPr>
          <w:r>
            <w:fldChar w:fldCharType="begin"/>
          </w:r>
          <w:r>
            <w:instrText xml:space="preserve"> HYPERLINK \l "_Toc233274595" </w:instrText>
          </w:r>
          <w:r>
            <w:fldChar w:fldCharType="separate"/>
          </w:r>
          <w:r>
            <w:rPr>
              <w:rStyle w:val="25"/>
              <w:rFonts w:ascii="仿宋_GB2312" w:eastAsia="仿宋_GB2312"/>
              <w:b/>
              <w:bCs/>
            </w:rPr>
            <w:t>二、发展要求与趋势</w:t>
          </w:r>
          <w:r>
            <w:tab/>
          </w:r>
          <w:r>
            <w:fldChar w:fldCharType="begin"/>
          </w:r>
          <w:r>
            <w:instrText xml:space="preserve"> PAGEREF _Toc233274595 \h </w:instrText>
          </w:r>
          <w:r>
            <w:fldChar w:fldCharType="separate"/>
          </w:r>
          <w:r>
            <w:t>7</w:t>
          </w:r>
          <w:r>
            <w:fldChar w:fldCharType="end"/>
          </w:r>
          <w:r>
            <w:fldChar w:fldCharType="end"/>
          </w:r>
        </w:p>
        <w:p w14:paraId="58CE1557">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"_Toc233274596" </w:instrText>
          </w:r>
          <w:r>
            <w:fldChar w:fldCharType="separate"/>
          </w:r>
          <w:r>
            <w:rPr>
              <w:rStyle w:val="25"/>
              <w:rFonts w:ascii="仿宋_GB2312" w:eastAsia="仿宋_GB2312"/>
              <w:b/>
              <w:bCs/>
            </w:rPr>
            <w:t>（一）发展要求</w:t>
          </w:r>
          <w:r>
            <w:tab/>
          </w:r>
          <w:r>
            <w:fldChar w:fldCharType="begin"/>
          </w:r>
          <w:r>
            <w:instrText xml:space="preserve"> PAGEREF _Toc233274596 \h </w:instrText>
          </w:r>
          <w:r>
            <w:fldChar w:fldCharType="separate"/>
          </w:r>
          <w:r>
            <w:t>7</w:t>
          </w:r>
          <w:r>
            <w:fldChar w:fldCharType="end"/>
          </w:r>
          <w:r>
            <w:fldChar w:fldCharType="end"/>
          </w:r>
        </w:p>
        <w:p w14:paraId="751593BA">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"_Toc233274597" </w:instrText>
          </w:r>
          <w:r>
            <w:fldChar w:fldCharType="separate"/>
          </w:r>
          <w:r>
            <w:rPr>
              <w:rStyle w:val="25"/>
              <w:rFonts w:ascii="仿宋_GB2312" w:eastAsia="仿宋_GB2312"/>
              <w:b/>
              <w:bCs/>
            </w:rPr>
            <w:t>1、宏观战略发展环境</w:t>
          </w:r>
          <w:r>
            <w:tab/>
          </w:r>
          <w:r>
            <w:fldChar w:fldCharType="begin"/>
          </w:r>
          <w:r>
            <w:instrText xml:space="preserve"> PAGEREF _Toc233274597 \h </w:instrText>
          </w:r>
          <w:r>
            <w:fldChar w:fldCharType="separate"/>
          </w:r>
          <w:r>
            <w:t>7</w:t>
          </w:r>
          <w:r>
            <w:fldChar w:fldCharType="end"/>
          </w:r>
          <w:r>
            <w:fldChar w:fldCharType="end"/>
          </w:r>
        </w:p>
        <w:p w14:paraId="57D140B4">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"_Toc233274598" </w:instrText>
          </w:r>
          <w:r>
            <w:fldChar w:fldCharType="separate"/>
          </w:r>
          <w:r>
            <w:rPr>
              <w:rStyle w:val="25"/>
              <w:rFonts w:ascii="仿宋_GB2312" w:eastAsia="仿宋_GB2312"/>
              <w:b/>
              <w:bCs/>
            </w:rPr>
            <w:t>2、城市经济发展形势</w:t>
          </w:r>
          <w:r>
            <w:tab/>
          </w:r>
          <w:r>
            <w:fldChar w:fldCharType="begin"/>
          </w:r>
          <w:r>
            <w:instrText xml:space="preserve"> PAGEREF _Toc233274598 \h </w:instrText>
          </w:r>
          <w:r>
            <w:fldChar w:fldCharType="separate"/>
          </w:r>
          <w:r>
            <w:t>9</w:t>
          </w:r>
          <w:r>
            <w:fldChar w:fldCharType="end"/>
          </w:r>
          <w:r>
            <w:fldChar w:fldCharType="end"/>
          </w:r>
        </w:p>
        <w:p w14:paraId="11AC163B">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"_Toc233274599" </w:instrText>
          </w:r>
          <w:r>
            <w:fldChar w:fldCharType="separate"/>
          </w:r>
          <w:r>
            <w:rPr>
              <w:rStyle w:val="25"/>
              <w:rFonts w:ascii="仿宋_GB2312" w:eastAsia="仿宋_GB2312"/>
              <w:b/>
              <w:bCs/>
            </w:rPr>
            <w:t>（二）发展趋势</w:t>
          </w:r>
          <w:r>
            <w:tab/>
          </w:r>
          <w:r>
            <w:fldChar w:fldCharType="begin"/>
          </w:r>
          <w:r>
            <w:instrText xml:space="preserve"> PAGEREF _Toc233274599 \h </w:instrText>
          </w:r>
          <w:r>
            <w:fldChar w:fldCharType="separate"/>
          </w:r>
          <w:r>
            <w:t>10</w:t>
          </w:r>
          <w:r>
            <w:fldChar w:fldCharType="end"/>
          </w:r>
          <w:r>
            <w:fldChar w:fldCharType="end"/>
          </w:r>
        </w:p>
        <w:p w14:paraId="11DD8AEF">
          <w:pPr>
            <w:pStyle w:val="16"/>
            <w:tabs>
              <w:tab w:val="right" w:leader="dot" w:pos="8296"/>
            </w:tabs>
            <w:spacing w:before="156" w:after="156"/>
            <w:ind w:firstLine="420"/>
            <w:rPr>
              <w:sz w:val="22"/>
              <w:szCs w:val="24"/>
              <w14:ligatures w14:val="standardContextual"/>
            </w:rPr>
          </w:pPr>
          <w:r>
            <w:fldChar w:fldCharType="begin"/>
          </w:r>
          <w:r>
            <w:instrText xml:space="preserve"> HYPERLINK \l "_Toc233274600" </w:instrText>
          </w:r>
          <w:r>
            <w:fldChar w:fldCharType="separate"/>
          </w:r>
          <w:r>
            <w:rPr>
              <w:rStyle w:val="25"/>
              <w:rFonts w:ascii="仿宋_GB2312" w:eastAsia="仿宋_GB2312"/>
              <w:b/>
              <w:bCs/>
            </w:rPr>
            <w:t>三、指导思想、基本原则和发展目标</w:t>
          </w:r>
          <w:r>
            <w:tab/>
          </w:r>
          <w:r>
            <w:fldChar w:fldCharType="begin"/>
          </w:r>
          <w:r>
            <w:instrText xml:space="preserve"> PAGEREF _Toc233274600 \h </w:instrText>
          </w:r>
          <w:r>
            <w:fldChar w:fldCharType="separate"/>
          </w:r>
          <w:r>
            <w:t>11</w:t>
          </w:r>
          <w:r>
            <w:fldChar w:fldCharType="end"/>
          </w:r>
          <w:r>
            <w:fldChar w:fldCharType="end"/>
          </w:r>
        </w:p>
        <w:p w14:paraId="7B27C0D2">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"_Toc233274601" </w:instrText>
          </w:r>
          <w:r>
            <w:fldChar w:fldCharType="separate"/>
          </w:r>
          <w:r>
            <w:rPr>
              <w:rStyle w:val="25"/>
              <w:rFonts w:ascii="仿宋_GB2312" w:eastAsia="仿宋_GB2312"/>
              <w:b/>
              <w:bCs/>
            </w:rPr>
            <w:t>（一）指导思想</w:t>
          </w:r>
          <w:r>
            <w:tab/>
          </w:r>
          <w:r>
            <w:fldChar w:fldCharType="begin"/>
          </w:r>
          <w:r>
            <w:instrText xml:space="preserve"> PAGEREF _Toc233274601 \h </w:instrText>
          </w:r>
          <w:r>
            <w:fldChar w:fldCharType="separate"/>
          </w:r>
          <w:r>
            <w:t>11</w:t>
          </w:r>
          <w:r>
            <w:fldChar w:fldCharType="end"/>
          </w:r>
          <w:r>
            <w:fldChar w:fldCharType="end"/>
          </w:r>
        </w:p>
        <w:p w14:paraId="3F1D3BDD">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"_Toc233274602" </w:instrText>
          </w:r>
          <w:r>
            <w:fldChar w:fldCharType="separate"/>
          </w:r>
          <w:r>
            <w:rPr>
              <w:rStyle w:val="25"/>
              <w:rFonts w:ascii="仿宋_GB2312" w:eastAsia="仿宋_GB2312"/>
              <w:b/>
              <w:bCs/>
            </w:rPr>
            <w:t>（二）基本原则</w:t>
          </w:r>
          <w:r>
            <w:tab/>
          </w:r>
          <w:r>
            <w:fldChar w:fldCharType="begin"/>
          </w:r>
          <w:r>
            <w:instrText xml:space="preserve"> PAGEREF _Toc233274602 \h </w:instrText>
          </w:r>
          <w:r>
            <w:fldChar w:fldCharType="separate"/>
          </w:r>
          <w:r>
            <w:t>12</w:t>
          </w:r>
          <w:r>
            <w:fldChar w:fldCharType="end"/>
          </w:r>
          <w:r>
            <w:fldChar w:fldCharType="end"/>
          </w:r>
        </w:p>
        <w:p w14:paraId="5F8E65A0">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"_Toc233274603" </w:instrText>
          </w:r>
          <w:r>
            <w:fldChar w:fldCharType="separate"/>
          </w:r>
          <w:r>
            <w:rPr>
              <w:rStyle w:val="25"/>
              <w:rFonts w:ascii="仿宋_GB2312" w:eastAsia="仿宋_GB2312"/>
              <w:b/>
              <w:bCs/>
            </w:rPr>
            <w:t>（三）发展目标</w:t>
          </w:r>
          <w:r>
            <w:tab/>
          </w:r>
          <w:r>
            <w:fldChar w:fldCharType="begin"/>
          </w:r>
          <w:r>
            <w:instrText xml:space="preserve"> PAGEREF _Toc233274603 \h </w:instrText>
          </w:r>
          <w:r>
            <w:fldChar w:fldCharType="separate"/>
          </w:r>
          <w:r>
            <w:t>13</w:t>
          </w:r>
          <w:r>
            <w:fldChar w:fldCharType="end"/>
          </w:r>
          <w:r>
            <w:fldChar w:fldCharType="end"/>
          </w:r>
        </w:p>
        <w:p w14:paraId="74DD8AE1">
          <w:pPr>
            <w:pStyle w:val="16"/>
            <w:tabs>
              <w:tab w:val="right" w:leader="dot" w:pos="8296"/>
            </w:tabs>
            <w:spacing w:before="156" w:after="156"/>
            <w:ind w:firstLine="420"/>
            <w:rPr>
              <w:sz w:val="22"/>
              <w:szCs w:val="24"/>
              <w14:ligatures w14:val="standardContextual"/>
            </w:rPr>
          </w:pPr>
          <w:r>
            <w:fldChar w:fldCharType="begin"/>
          </w:r>
          <w:r>
            <w:instrText xml:space="preserve"> HYPERLINK \l "_Toc233274604" </w:instrText>
          </w:r>
          <w:r>
            <w:fldChar w:fldCharType="separate"/>
          </w:r>
          <w:r>
            <w:rPr>
              <w:rStyle w:val="25"/>
              <w:rFonts w:ascii="仿宋_GB2312" w:eastAsia="仿宋_GB2312"/>
              <w:b/>
              <w:bCs/>
            </w:rPr>
            <w:t>四、主要任务</w:t>
          </w:r>
          <w:r>
            <w:tab/>
          </w:r>
          <w:r>
            <w:fldChar w:fldCharType="begin"/>
          </w:r>
          <w:r>
            <w:instrText xml:space="preserve"> PAGEREF _Toc233274604 \h </w:instrText>
          </w:r>
          <w:r>
            <w:fldChar w:fldCharType="separate"/>
          </w:r>
          <w:r>
            <w:t>14</w:t>
          </w:r>
          <w:r>
            <w:fldChar w:fldCharType="end"/>
          </w:r>
          <w:r>
            <w:fldChar w:fldCharType="end"/>
          </w:r>
        </w:p>
        <w:p w14:paraId="7225DF2F">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"_Toc233274605" </w:instrText>
          </w:r>
          <w:r>
            <w:fldChar w:fldCharType="separate"/>
          </w:r>
          <w:r>
            <w:rPr>
              <w:rStyle w:val="25"/>
              <w:rFonts w:ascii="仿宋_GB2312" w:eastAsia="仿宋_GB2312"/>
              <w:b/>
              <w:bCs/>
            </w:rPr>
            <w:t>（一）建强大通道：对接2049、链接两核，全面打通湾区骨干联系走廊</w:t>
          </w:r>
          <w:r>
            <w:tab/>
          </w:r>
          <w:r>
            <w:fldChar w:fldCharType="begin"/>
          </w:r>
          <w:r>
            <w:instrText xml:space="preserve"> PAGEREF _Toc233274605 \h </w:instrText>
          </w:r>
          <w:r>
            <w:fldChar w:fldCharType="separate"/>
          </w:r>
          <w:r>
            <w:t>14</w:t>
          </w:r>
          <w:r>
            <w:fldChar w:fldCharType="end"/>
          </w:r>
          <w:r>
            <w:fldChar w:fldCharType="end"/>
          </w:r>
        </w:p>
        <w:p w14:paraId="31EFFB3F">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"_Toc233274606" </w:instrText>
          </w:r>
          <w:r>
            <w:fldChar w:fldCharType="separate"/>
          </w:r>
          <w:r>
            <w:rPr>
              <w:rStyle w:val="25"/>
              <w:rFonts w:ascii="仿宋_GB2312" w:eastAsia="仿宋_GB2312"/>
              <w:b/>
              <w:bCs/>
            </w:rPr>
            <w:t>1、全面推进湾区轨道快线贯通工作</w:t>
          </w:r>
          <w:r>
            <w:tab/>
          </w:r>
          <w:r>
            <w:fldChar w:fldCharType="begin"/>
          </w:r>
          <w:r>
            <w:instrText xml:space="preserve"> PAGEREF _Toc233274606 \h </w:instrText>
          </w:r>
          <w:r>
            <w:fldChar w:fldCharType="separate"/>
          </w:r>
          <w:r>
            <w:t>14</w:t>
          </w:r>
          <w:r>
            <w:fldChar w:fldCharType="end"/>
          </w:r>
          <w:r>
            <w:fldChar w:fldCharType="end"/>
          </w:r>
        </w:p>
        <w:p w14:paraId="5E866C63">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"_Toc233274607" </w:instrText>
          </w:r>
          <w:r>
            <w:fldChar w:fldCharType="separate"/>
          </w:r>
          <w:r>
            <w:rPr>
              <w:rStyle w:val="25"/>
              <w:rFonts w:ascii="仿宋_GB2312" w:eastAsia="仿宋_GB2312"/>
              <w:b/>
              <w:bCs/>
            </w:rPr>
            <w:t>2、统筹对外快速联系通道扩能提升</w:t>
          </w:r>
          <w:r>
            <w:tab/>
          </w:r>
          <w:r>
            <w:fldChar w:fldCharType="begin"/>
          </w:r>
          <w:r>
            <w:instrText xml:space="preserve"> PAGEREF _Toc233274607 \h </w:instrText>
          </w:r>
          <w:r>
            <w:fldChar w:fldCharType="separate"/>
          </w:r>
          <w:r>
            <w:t>15</w:t>
          </w:r>
          <w:r>
            <w:fldChar w:fldCharType="end"/>
          </w:r>
          <w:r>
            <w:fldChar w:fldCharType="end"/>
          </w:r>
        </w:p>
        <w:p w14:paraId="65F8FD43">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"_Toc233274608" </w:instrText>
          </w:r>
          <w:r>
            <w:fldChar w:fldCharType="separate"/>
          </w:r>
          <w:r>
            <w:rPr>
              <w:rStyle w:val="25"/>
              <w:rFonts w:ascii="仿宋_GB2312" w:eastAsia="仿宋_GB2312"/>
              <w:b/>
              <w:bCs/>
            </w:rPr>
            <w:t>3、促进港航基础设施与服务双升级</w:t>
          </w:r>
          <w:r>
            <w:tab/>
          </w:r>
          <w:r>
            <w:fldChar w:fldCharType="begin"/>
          </w:r>
          <w:r>
            <w:instrText xml:space="preserve"> PAGEREF _Toc233274608 \h </w:instrText>
          </w:r>
          <w:r>
            <w:fldChar w:fldCharType="separate"/>
          </w:r>
          <w:r>
            <w:t>15</w:t>
          </w:r>
          <w:r>
            <w:fldChar w:fldCharType="end"/>
          </w:r>
          <w:r>
            <w:fldChar w:fldCharType="end"/>
          </w:r>
        </w:p>
        <w:p w14:paraId="1C18D161">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"_Toc233274609" </w:instrText>
          </w:r>
          <w:r>
            <w:fldChar w:fldCharType="separate"/>
          </w:r>
          <w:r>
            <w:rPr>
              <w:rStyle w:val="25"/>
              <w:rFonts w:ascii="仿宋_GB2312" w:eastAsia="仿宋_GB2312"/>
              <w:b/>
              <w:bCs/>
            </w:rPr>
            <w:t>4、探索发展多元化航空服务交通网</w:t>
          </w:r>
          <w:r>
            <w:tab/>
          </w:r>
          <w:r>
            <w:fldChar w:fldCharType="begin"/>
          </w:r>
          <w:r>
            <w:instrText xml:space="preserve"> PAGEREF _Toc233274609 \h </w:instrText>
          </w:r>
          <w:r>
            <w:fldChar w:fldCharType="separate"/>
          </w:r>
          <w:r>
            <w:t>15</w:t>
          </w:r>
          <w:r>
            <w:fldChar w:fldCharType="end"/>
          </w:r>
          <w:r>
            <w:fldChar w:fldCharType="end"/>
          </w:r>
        </w:p>
        <w:p w14:paraId="7F252823">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"_Toc233274610" </w:instrText>
          </w:r>
          <w:r>
            <w:fldChar w:fldCharType="separate"/>
          </w:r>
          <w:r>
            <w:rPr>
              <w:rStyle w:val="25"/>
              <w:rFonts w:ascii="仿宋_GB2312" w:eastAsia="仿宋_GB2312"/>
              <w:b/>
              <w:bCs/>
            </w:rPr>
            <w:t>（二）做优大枢纽：融入湾区、转型升级，构建高能级综合集疏运平台</w:t>
          </w:r>
          <w:r>
            <w:tab/>
          </w:r>
          <w:r>
            <w:fldChar w:fldCharType="begin"/>
          </w:r>
          <w:r>
            <w:instrText xml:space="preserve"> PAGEREF _Toc233274610 \h </w:instrText>
          </w:r>
          <w:r>
            <w:fldChar w:fldCharType="separate"/>
          </w:r>
          <w:r>
            <w:t>16</w:t>
          </w:r>
          <w:r>
            <w:fldChar w:fldCharType="end"/>
          </w:r>
          <w:r>
            <w:fldChar w:fldCharType="end"/>
          </w:r>
        </w:p>
        <w:p w14:paraId="4F81C5DE">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"_Toc233274611" </w:instrText>
          </w:r>
          <w:r>
            <w:fldChar w:fldCharType="separate"/>
          </w:r>
          <w:r>
            <w:rPr>
              <w:rStyle w:val="25"/>
              <w:rFonts w:ascii="仿宋_GB2312" w:eastAsia="仿宋_GB2312"/>
              <w:b/>
              <w:bCs/>
            </w:rPr>
            <w:t>1、打造多层一体综合交通枢纽体系</w:t>
          </w:r>
          <w:r>
            <w:tab/>
          </w:r>
          <w:r>
            <w:fldChar w:fldCharType="begin"/>
          </w:r>
          <w:r>
            <w:instrText xml:space="preserve"> PAGEREF _Toc233274611 \h </w:instrText>
          </w:r>
          <w:r>
            <w:fldChar w:fldCharType="separate"/>
          </w:r>
          <w:r>
            <w:t>16</w:t>
          </w:r>
          <w:r>
            <w:fldChar w:fldCharType="end"/>
          </w:r>
          <w:r>
            <w:fldChar w:fldCharType="end"/>
          </w:r>
        </w:p>
        <w:p w14:paraId="4090B8EE">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"_Toc233274612" </w:instrText>
          </w:r>
          <w:r>
            <w:fldChar w:fldCharType="separate"/>
          </w:r>
          <w:r>
            <w:rPr>
              <w:rStyle w:val="25"/>
              <w:rFonts w:ascii="仿宋_GB2312" w:eastAsia="仿宋_GB2312"/>
              <w:b/>
              <w:bCs/>
            </w:rPr>
            <w:t>2、提供便捷舒适经济高效运输服务</w:t>
          </w:r>
          <w:r>
            <w:tab/>
          </w:r>
          <w:r>
            <w:fldChar w:fldCharType="begin"/>
          </w:r>
          <w:r>
            <w:instrText xml:space="preserve"> PAGEREF _Toc233274612 \h </w:instrText>
          </w:r>
          <w:r>
            <w:fldChar w:fldCharType="separate"/>
          </w:r>
          <w:r>
            <w:t>17</w:t>
          </w:r>
          <w:r>
            <w:fldChar w:fldCharType="end"/>
          </w:r>
          <w:r>
            <w:fldChar w:fldCharType="end"/>
          </w:r>
        </w:p>
        <w:p w14:paraId="0B134FCA">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"_Toc233274613" </w:instrText>
          </w:r>
          <w:r>
            <w:fldChar w:fldCharType="separate"/>
          </w:r>
          <w:r>
            <w:rPr>
              <w:rStyle w:val="25"/>
              <w:rFonts w:ascii="仿宋_GB2312" w:eastAsia="仿宋_GB2312"/>
              <w:b/>
              <w:bCs/>
            </w:rPr>
            <w:t>3、促进客货运输服务模式业态创新</w:t>
          </w:r>
          <w:r>
            <w:tab/>
          </w:r>
          <w:r>
            <w:fldChar w:fldCharType="begin"/>
          </w:r>
          <w:r>
            <w:instrText xml:space="preserve"> PAGEREF _Toc233274613 \h </w:instrText>
          </w:r>
          <w:r>
            <w:fldChar w:fldCharType="separate"/>
          </w:r>
          <w:r>
            <w:t>17</w:t>
          </w:r>
          <w:r>
            <w:fldChar w:fldCharType="end"/>
          </w:r>
          <w:r>
            <w:fldChar w:fldCharType="end"/>
          </w:r>
        </w:p>
        <w:p w14:paraId="7EE8BD3D">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"_Toc233274614" </w:instrText>
          </w:r>
          <w:r>
            <w:fldChar w:fldCharType="separate"/>
          </w:r>
          <w:r>
            <w:rPr>
              <w:rStyle w:val="25"/>
              <w:rFonts w:ascii="仿宋_GB2312" w:eastAsia="仿宋_GB2312"/>
              <w:b/>
              <w:bCs/>
            </w:rPr>
            <w:t>4、加速“交通+”其他业态融合发展</w:t>
          </w:r>
          <w:r>
            <w:tab/>
          </w:r>
          <w:r>
            <w:fldChar w:fldCharType="begin"/>
          </w:r>
          <w:r>
            <w:instrText xml:space="preserve"> PAGEREF _Toc233274614 \h </w:instrText>
          </w:r>
          <w:r>
            <w:fldChar w:fldCharType="separate"/>
          </w:r>
          <w:r>
            <w:t>17</w:t>
          </w:r>
          <w:r>
            <w:fldChar w:fldCharType="end"/>
          </w:r>
          <w:r>
            <w:fldChar w:fldCharType="end"/>
          </w:r>
        </w:p>
        <w:p w14:paraId="41B0CA97">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"_Toc233274615" </w:instrText>
          </w:r>
          <w:r>
            <w:fldChar w:fldCharType="separate"/>
          </w:r>
          <w:r>
            <w:rPr>
              <w:rStyle w:val="25"/>
              <w:rFonts w:ascii="仿宋_GB2312" w:eastAsia="仿宋_GB2312"/>
              <w:b/>
              <w:bCs/>
            </w:rPr>
            <w:t>（三）织密道路网：补网强链、精细提升，贯通主次干道织补街巷堵点</w:t>
          </w:r>
          <w:r>
            <w:tab/>
          </w:r>
          <w:r>
            <w:fldChar w:fldCharType="begin"/>
          </w:r>
          <w:r>
            <w:instrText xml:space="preserve"> PAGEREF _Toc233274615 \h </w:instrText>
          </w:r>
          <w:r>
            <w:fldChar w:fldCharType="separate"/>
          </w:r>
          <w:r>
            <w:t>18</w:t>
          </w:r>
          <w:r>
            <w:fldChar w:fldCharType="end"/>
          </w:r>
          <w:r>
            <w:fldChar w:fldCharType="end"/>
          </w:r>
        </w:p>
        <w:p w14:paraId="3658DF65">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"_Toc233274616" </w:instrText>
          </w:r>
          <w:r>
            <w:fldChar w:fldCharType="separate"/>
          </w:r>
          <w:r>
            <w:rPr>
              <w:rStyle w:val="25"/>
              <w:rFonts w:ascii="仿宋_GB2312" w:eastAsia="仿宋_GB2312"/>
              <w:b/>
              <w:bCs/>
            </w:rPr>
            <w:t>1、持续优化内部主干骨架道路网络</w:t>
          </w:r>
          <w:r>
            <w:tab/>
          </w:r>
          <w:r>
            <w:fldChar w:fldCharType="begin"/>
          </w:r>
          <w:r>
            <w:instrText xml:space="preserve"> PAGEREF _Toc233274616 \h </w:instrText>
          </w:r>
          <w:r>
            <w:fldChar w:fldCharType="separate"/>
          </w:r>
          <w:r>
            <w:t>18</w:t>
          </w:r>
          <w:r>
            <w:fldChar w:fldCharType="end"/>
          </w:r>
          <w:r>
            <w:fldChar w:fldCharType="end"/>
          </w:r>
        </w:p>
        <w:p w14:paraId="0A7EE5AF">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"_Toc233274617" </w:instrText>
          </w:r>
          <w:r>
            <w:fldChar w:fldCharType="separate"/>
          </w:r>
          <w:r>
            <w:rPr>
              <w:rStyle w:val="25"/>
              <w:rFonts w:ascii="仿宋_GB2312" w:eastAsia="仿宋_GB2312"/>
              <w:b/>
              <w:bCs/>
            </w:rPr>
            <w:t>2、统筹完善次支路与农村公路建设</w:t>
          </w:r>
          <w:r>
            <w:tab/>
          </w:r>
          <w:r>
            <w:fldChar w:fldCharType="begin"/>
          </w:r>
          <w:r>
            <w:instrText xml:space="preserve"> PAGEREF _Toc233274617 \h </w:instrText>
          </w:r>
          <w:r>
            <w:fldChar w:fldCharType="separate"/>
          </w:r>
          <w:r>
            <w:t>18</w:t>
          </w:r>
          <w:r>
            <w:fldChar w:fldCharType="end"/>
          </w:r>
          <w:r>
            <w:fldChar w:fldCharType="end"/>
          </w:r>
        </w:p>
        <w:p w14:paraId="413E22B2">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"_Toc233274618" </w:instrText>
          </w:r>
          <w:r>
            <w:fldChar w:fldCharType="separate"/>
          </w:r>
          <w:r>
            <w:rPr>
              <w:rStyle w:val="25"/>
              <w:rFonts w:ascii="仿宋_GB2312" w:eastAsia="仿宋_GB2312"/>
              <w:b/>
              <w:bCs/>
            </w:rPr>
            <w:t>3、系统推进道路精细化改造与治理</w:t>
          </w:r>
          <w:r>
            <w:tab/>
          </w:r>
          <w:r>
            <w:fldChar w:fldCharType="begin"/>
          </w:r>
          <w:r>
            <w:instrText xml:space="preserve"> PAGEREF _Toc233274618 \h </w:instrText>
          </w:r>
          <w:r>
            <w:fldChar w:fldCharType="separate"/>
          </w:r>
          <w:r>
            <w:t>19</w:t>
          </w:r>
          <w:r>
            <w:fldChar w:fldCharType="end"/>
          </w:r>
          <w:r>
            <w:fldChar w:fldCharType="end"/>
          </w:r>
        </w:p>
        <w:p w14:paraId="07C5E261">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"_Toc233274619" </w:instrText>
          </w:r>
          <w:r>
            <w:fldChar w:fldCharType="separate"/>
          </w:r>
          <w:r>
            <w:rPr>
              <w:rStyle w:val="25"/>
              <w:rFonts w:ascii="仿宋_GB2312" w:eastAsia="仿宋_GB2312"/>
              <w:b/>
              <w:bCs/>
            </w:rPr>
            <w:t>（四）深耕小而美：聚焦民生、小微织补，实施高质量惠民生交通工程</w:t>
          </w:r>
          <w:r>
            <w:tab/>
          </w:r>
          <w:r>
            <w:fldChar w:fldCharType="begin"/>
          </w:r>
          <w:r>
            <w:instrText xml:space="preserve"> PAGEREF _Toc233274619 \h </w:instrText>
          </w:r>
          <w:r>
            <w:fldChar w:fldCharType="separate"/>
          </w:r>
          <w:r>
            <w:t>19</w:t>
          </w:r>
          <w:r>
            <w:fldChar w:fldCharType="end"/>
          </w:r>
          <w:r>
            <w:fldChar w:fldCharType="end"/>
          </w:r>
        </w:p>
        <w:p w14:paraId="4D8A634D">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"_Toc233274620" </w:instrText>
          </w:r>
          <w:r>
            <w:fldChar w:fldCharType="separate"/>
          </w:r>
          <w:r>
            <w:rPr>
              <w:rStyle w:val="25"/>
              <w:rFonts w:ascii="仿宋_GB2312" w:eastAsia="仿宋_GB2312"/>
              <w:b/>
              <w:bCs/>
            </w:rPr>
            <w:t>1、建管齐下着力缓解城市停车难题</w:t>
          </w:r>
          <w:r>
            <w:tab/>
          </w:r>
          <w:r>
            <w:fldChar w:fldCharType="begin"/>
          </w:r>
          <w:r>
            <w:instrText xml:space="preserve"> PAGEREF _Toc233274620 \h </w:instrText>
          </w:r>
          <w:r>
            <w:fldChar w:fldCharType="separate"/>
          </w:r>
          <w:r>
            <w:t>20</w:t>
          </w:r>
          <w:r>
            <w:fldChar w:fldCharType="end"/>
          </w:r>
          <w:r>
            <w:fldChar w:fldCharType="end"/>
          </w:r>
        </w:p>
        <w:p w14:paraId="5110666D">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"_Toc233274621" </w:instrText>
          </w:r>
          <w:r>
            <w:fldChar w:fldCharType="separate"/>
          </w:r>
          <w:r>
            <w:rPr>
              <w:rStyle w:val="25"/>
              <w:rFonts w:ascii="仿宋_GB2312" w:eastAsia="仿宋_GB2312"/>
              <w:b/>
              <w:bCs/>
            </w:rPr>
            <w:t>2、有序构建广覆盖高品质慢行网络</w:t>
          </w:r>
          <w:r>
            <w:tab/>
          </w:r>
          <w:r>
            <w:fldChar w:fldCharType="begin"/>
          </w:r>
          <w:r>
            <w:instrText xml:space="preserve"> PAGEREF _Toc233274621 \h </w:instrText>
          </w:r>
          <w:r>
            <w:fldChar w:fldCharType="separate"/>
          </w:r>
          <w:r>
            <w:t>20</w:t>
          </w:r>
          <w:r>
            <w:fldChar w:fldCharType="end"/>
          </w:r>
          <w:r>
            <w:fldChar w:fldCharType="end"/>
          </w:r>
        </w:p>
        <w:p w14:paraId="7D363B2F">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"_Toc233274622" </w:instrText>
          </w:r>
          <w:r>
            <w:fldChar w:fldCharType="separate"/>
          </w:r>
          <w:r>
            <w:rPr>
              <w:rStyle w:val="25"/>
              <w:rFonts w:ascii="仿宋_GB2312" w:eastAsia="仿宋_GB2312"/>
              <w:b/>
              <w:bCs/>
            </w:rPr>
            <w:t>3、以精细化治理破解城市拥堵堵点</w:t>
          </w:r>
          <w:r>
            <w:tab/>
          </w:r>
          <w:r>
            <w:fldChar w:fldCharType="begin"/>
          </w:r>
          <w:r>
            <w:instrText xml:space="preserve"> PAGEREF _Toc233274622 \h </w:instrText>
          </w:r>
          <w:r>
            <w:fldChar w:fldCharType="separate"/>
          </w:r>
          <w:r>
            <w:t>20</w:t>
          </w:r>
          <w:r>
            <w:fldChar w:fldCharType="end"/>
          </w:r>
          <w:r>
            <w:fldChar w:fldCharType="end"/>
          </w:r>
        </w:p>
        <w:p w14:paraId="2489873E">
          <w:pPr>
            <w:pStyle w:val="19"/>
            <w:tabs>
              <w:tab w:val="right" w:leader="dot" w:pos="8296"/>
            </w:tabs>
            <w:spacing w:before="156" w:after="156"/>
            <w:ind w:firstLine="420"/>
            <w:rPr>
              <w:sz w:val="22"/>
              <w:szCs w:val="24"/>
              <w14:ligatures w14:val="standardContextual"/>
            </w:rPr>
          </w:pPr>
          <w:r>
            <w:fldChar w:fldCharType="begin"/>
          </w:r>
          <w:r>
            <w:instrText xml:space="preserve"> HYPERLINK \l "_Toc233274623" </w:instrText>
          </w:r>
          <w:r>
            <w:fldChar w:fldCharType="separate"/>
          </w:r>
          <w:r>
            <w:rPr>
              <w:rStyle w:val="25"/>
              <w:rFonts w:ascii="仿宋_GB2312" w:eastAsia="仿宋_GB2312"/>
              <w:b/>
              <w:bCs/>
            </w:rPr>
            <w:t>（五）赋能大产业：三化转型、场景牵引，加快培育交通业新质生产力</w:t>
          </w:r>
          <w:r>
            <w:tab/>
          </w:r>
          <w:r>
            <w:fldChar w:fldCharType="begin"/>
          </w:r>
          <w:r>
            <w:instrText xml:space="preserve"> PAGEREF _Toc233274623 \h </w:instrText>
          </w:r>
          <w:r>
            <w:fldChar w:fldCharType="separate"/>
          </w:r>
          <w:r>
            <w:t>21</w:t>
          </w:r>
          <w:r>
            <w:fldChar w:fldCharType="end"/>
          </w:r>
          <w:r>
            <w:fldChar w:fldCharType="end"/>
          </w:r>
        </w:p>
        <w:p w14:paraId="4B161117">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"_Toc233274624" </w:instrText>
          </w:r>
          <w:r>
            <w:fldChar w:fldCharType="separate"/>
          </w:r>
          <w:r>
            <w:rPr>
              <w:rStyle w:val="25"/>
              <w:rFonts w:ascii="仿宋_GB2312" w:eastAsia="仿宋_GB2312"/>
              <w:b/>
              <w:bCs/>
            </w:rPr>
            <w:t>1、加强重点产业园区配套道路建设</w:t>
          </w:r>
          <w:r>
            <w:tab/>
          </w:r>
          <w:r>
            <w:fldChar w:fldCharType="begin"/>
          </w:r>
          <w:r>
            <w:instrText xml:space="preserve"> PAGEREF _Toc233274624 \h </w:instrText>
          </w:r>
          <w:r>
            <w:fldChar w:fldCharType="separate"/>
          </w:r>
          <w:r>
            <w:t>21</w:t>
          </w:r>
          <w:r>
            <w:fldChar w:fldCharType="end"/>
          </w:r>
          <w:r>
            <w:fldChar w:fldCharType="end"/>
          </w:r>
        </w:p>
        <w:p w14:paraId="289A88B5">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"_Toc233274625" </w:instrText>
          </w:r>
          <w:r>
            <w:fldChar w:fldCharType="separate"/>
          </w:r>
          <w:r>
            <w:rPr>
              <w:rStyle w:val="25"/>
              <w:rFonts w:ascii="仿宋_GB2312" w:eastAsia="仿宋_GB2312"/>
              <w:b/>
              <w:bCs/>
            </w:rPr>
            <w:t>2、构建绿色智慧数字交通发展体系</w:t>
          </w:r>
          <w:r>
            <w:tab/>
          </w:r>
          <w:r>
            <w:fldChar w:fldCharType="begin"/>
          </w:r>
          <w:r>
            <w:instrText xml:space="preserve"> PAGEREF _Toc233274625 \h </w:instrText>
          </w:r>
          <w:r>
            <w:fldChar w:fldCharType="separate"/>
          </w:r>
          <w:r>
            <w:t>22</w:t>
          </w:r>
          <w:r>
            <w:fldChar w:fldCharType="end"/>
          </w:r>
          <w:r>
            <w:fldChar w:fldCharType="end"/>
          </w:r>
        </w:p>
        <w:p w14:paraId="4B7B4A11">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"_Toc233274626" </w:instrText>
          </w:r>
          <w:r>
            <w:fldChar w:fldCharType="separate"/>
          </w:r>
          <w:r>
            <w:rPr>
              <w:rStyle w:val="25"/>
              <w:rFonts w:ascii="仿宋_GB2312" w:eastAsia="仿宋_GB2312"/>
              <w:b/>
              <w:bCs/>
            </w:rPr>
            <w:t>3、以低空引领交通新质生产力发展</w:t>
          </w:r>
          <w:r>
            <w:tab/>
          </w:r>
          <w:r>
            <w:fldChar w:fldCharType="begin"/>
          </w:r>
          <w:r>
            <w:instrText xml:space="preserve"> PAGEREF _Toc233274626 \h </w:instrText>
          </w:r>
          <w:r>
            <w:fldChar w:fldCharType="separate"/>
          </w:r>
          <w:r>
            <w:t>22</w:t>
          </w:r>
          <w:r>
            <w:fldChar w:fldCharType="end"/>
          </w:r>
          <w:r>
            <w:fldChar w:fldCharType="end"/>
          </w:r>
        </w:p>
        <w:p w14:paraId="53D53E7F">
          <w:pPr>
            <w:pStyle w:val="12"/>
            <w:tabs>
              <w:tab w:val="right" w:leader="dot" w:pos="8296"/>
            </w:tabs>
            <w:spacing w:before="156" w:after="156"/>
            <w:ind w:firstLine="420"/>
            <w:rPr>
              <w:sz w:val="22"/>
              <w:szCs w:val="24"/>
              <w14:ligatures w14:val="standardContextual"/>
            </w:rPr>
          </w:pPr>
          <w:r>
            <w:fldChar w:fldCharType="begin"/>
          </w:r>
          <w:r>
            <w:instrText xml:space="preserve"> HYPERLINK \l "_Toc233274627" </w:instrText>
          </w:r>
          <w:r>
            <w:fldChar w:fldCharType="separate"/>
          </w:r>
          <w:r>
            <w:rPr>
              <w:rStyle w:val="25"/>
              <w:rFonts w:ascii="仿宋_GB2312" w:eastAsia="仿宋_GB2312"/>
              <w:b/>
              <w:bCs/>
            </w:rPr>
            <w:t>4、建立信息化立体化应急交通系统</w:t>
          </w:r>
          <w:r>
            <w:tab/>
          </w:r>
          <w:r>
            <w:fldChar w:fldCharType="begin"/>
          </w:r>
          <w:r>
            <w:instrText xml:space="preserve"> PAGEREF _Toc233274627 \h </w:instrText>
          </w:r>
          <w:r>
            <w:fldChar w:fldCharType="separate"/>
          </w:r>
          <w:r>
            <w:t>22</w:t>
          </w:r>
          <w:r>
            <w:fldChar w:fldCharType="end"/>
          </w:r>
          <w:r>
            <w:fldChar w:fldCharType="end"/>
          </w:r>
        </w:p>
        <w:p w14:paraId="36CB838D">
          <w:pPr>
            <w:pStyle w:val="16"/>
            <w:tabs>
              <w:tab w:val="right" w:leader="dot" w:pos="8296"/>
            </w:tabs>
            <w:spacing w:before="156" w:after="156"/>
            <w:ind w:firstLine="420"/>
            <w:rPr>
              <w:sz w:val="22"/>
              <w:szCs w:val="24"/>
              <w14:ligatures w14:val="standardContextual"/>
            </w:rPr>
          </w:pPr>
          <w:r>
            <w:fldChar w:fldCharType="begin"/>
          </w:r>
          <w:r>
            <w:instrText xml:space="preserve"> HYPERLINK \l "_Toc233274628" </w:instrText>
          </w:r>
          <w:r>
            <w:fldChar w:fldCharType="separate"/>
          </w:r>
          <w:r>
            <w:rPr>
              <w:rStyle w:val="25"/>
              <w:rFonts w:ascii="仿宋_GB2312" w:eastAsia="仿宋_GB2312"/>
              <w:b/>
              <w:bCs/>
            </w:rPr>
            <w:t>五、环境影响说明</w:t>
          </w:r>
          <w:r>
            <w:tab/>
          </w:r>
          <w:r>
            <w:fldChar w:fldCharType="begin"/>
          </w:r>
          <w:r>
            <w:instrText xml:space="preserve"> PAGEREF _Toc233274628 \h </w:instrText>
          </w:r>
          <w:r>
            <w:fldChar w:fldCharType="separate"/>
          </w:r>
          <w:r>
            <w:t>23</w:t>
          </w:r>
          <w:r>
            <w:fldChar w:fldCharType="end"/>
          </w:r>
          <w:r>
            <w:fldChar w:fldCharType="end"/>
          </w:r>
        </w:p>
        <w:p w14:paraId="388283E7">
          <w:pPr>
            <w:pStyle w:val="16"/>
            <w:tabs>
              <w:tab w:val="right" w:leader="dot" w:pos="8296"/>
            </w:tabs>
            <w:spacing w:before="156" w:after="156"/>
            <w:ind w:firstLine="420"/>
            <w:rPr>
              <w:sz w:val="22"/>
              <w:szCs w:val="24"/>
              <w14:ligatures w14:val="standardContextual"/>
            </w:rPr>
          </w:pPr>
          <w:r>
            <w:fldChar w:fldCharType="begin"/>
          </w:r>
          <w:r>
            <w:instrText xml:space="preserve"> HYPERLINK \l "_Toc233274629" </w:instrText>
          </w:r>
          <w:r>
            <w:fldChar w:fldCharType="separate"/>
          </w:r>
          <w:r>
            <w:rPr>
              <w:rStyle w:val="25"/>
              <w:rFonts w:ascii="仿宋_GB2312" w:eastAsia="仿宋_GB2312"/>
              <w:b/>
              <w:bCs/>
            </w:rPr>
            <w:t>六、保障措施</w:t>
          </w:r>
          <w:r>
            <w:tab/>
          </w:r>
          <w:r>
            <w:fldChar w:fldCharType="begin"/>
          </w:r>
          <w:r>
            <w:instrText xml:space="preserve"> PAGEREF _Toc233274629 \h </w:instrText>
          </w:r>
          <w:r>
            <w:fldChar w:fldCharType="separate"/>
          </w:r>
          <w:r>
            <w:t>23</w:t>
          </w:r>
          <w:r>
            <w:fldChar w:fldCharType="end"/>
          </w:r>
          <w:r>
            <w:fldChar w:fldCharType="end"/>
          </w:r>
        </w:p>
        <w:p w14:paraId="2E229A94">
          <w:pPr>
            <w:spacing w:before="0" w:beforeLines="0" w:after="0" w:afterLines="0"/>
            <w:ind w:firstLine="440"/>
          </w:pPr>
          <w:r>
            <w:rPr>
              <w:rFonts w:ascii="Times New Roman" w:hAnsi="Times New Roman" w:cs="Times New Roman"/>
              <w:sz w:val="22"/>
              <w:lang w:val="zh-CN"/>
            </w:rPr>
            <w:fldChar w:fldCharType="end"/>
          </w:r>
        </w:p>
      </w:sdtContent>
    </w:sdt>
    <w:p w14:paraId="0090FA22">
      <w:pPr>
        <w:spacing w:before="0" w:beforeLines="0" w:after="0" w:afterLines="0" w:line="240" w:lineRule="auto"/>
        <w:ind w:firstLine="560"/>
        <w:rPr>
          <w:rFonts w:ascii="仿宋_GB2312" w:eastAsia="仿宋_GB2312"/>
          <w:sz w:val="28"/>
          <w:szCs w:val="28"/>
        </w:rPr>
      </w:pPr>
    </w:p>
    <w:p w14:paraId="54D8A013">
      <w:pPr>
        <w:spacing w:before="0" w:beforeLines="0" w:after="0" w:afterLines="0" w:line="240" w:lineRule="auto"/>
        <w:ind w:firstLine="560"/>
        <w:rPr>
          <w:rFonts w:ascii="仿宋_GB2312" w:eastAsia="仿宋_GB2312"/>
          <w:sz w:val="28"/>
          <w:szCs w:val="28"/>
        </w:rPr>
      </w:pPr>
    </w:p>
    <w:p w14:paraId="1581DBD0">
      <w:pPr>
        <w:spacing w:before="0" w:beforeLines="0" w:after="0" w:afterLines="0" w:line="240" w:lineRule="auto"/>
        <w:ind w:firstLine="560"/>
        <w:rPr>
          <w:rFonts w:ascii="仿宋_GB2312" w:eastAsia="仿宋_GB2312"/>
          <w:sz w:val="28"/>
          <w:szCs w:val="28"/>
        </w:rPr>
        <w:sectPr>
          <w:pgSz w:w="11906" w:h="16838"/>
          <w:pgMar w:top="1440" w:right="1800" w:bottom="1440" w:left="1800" w:header="851" w:footer="992" w:gutter="0"/>
          <w:cols w:space="425" w:num="1"/>
          <w:docGrid w:type="lines" w:linePitch="312" w:charSpace="0"/>
        </w:sectPr>
      </w:pPr>
    </w:p>
    <w:p w14:paraId="31DA7083">
      <w:pPr>
        <w:pStyle w:val="2"/>
        <w:spacing w:before="156" w:after="156"/>
        <w:ind w:firstLine="562"/>
        <w:rPr>
          <w:rFonts w:ascii="仿宋_GB2312" w:eastAsia="仿宋_GB2312"/>
          <w:b/>
          <w:bCs/>
          <w:color w:val="auto"/>
          <w:sz w:val="28"/>
          <w:szCs w:val="28"/>
        </w:rPr>
      </w:pPr>
      <w:bookmarkStart w:id="0" w:name="_Toc233274587"/>
      <w:r>
        <w:rPr>
          <w:rFonts w:hint="eastAsia" w:ascii="仿宋_GB2312" w:eastAsia="仿宋_GB2312"/>
          <w:b/>
          <w:bCs/>
          <w:color w:val="auto"/>
          <w:sz w:val="28"/>
          <w:szCs w:val="28"/>
        </w:rPr>
        <w:t>一、发展基础</w:t>
      </w:r>
      <w:bookmarkEnd w:id="0"/>
    </w:p>
    <w:p w14:paraId="241B230A">
      <w:pPr>
        <w:pStyle w:val="3"/>
        <w:spacing w:before="156" w:after="156"/>
        <w:ind w:firstLine="562"/>
        <w:rPr>
          <w:rFonts w:ascii="仿宋_GB2312" w:eastAsia="仿宋_GB2312"/>
          <w:b/>
          <w:bCs/>
          <w:color w:val="auto"/>
          <w:sz w:val="28"/>
          <w:szCs w:val="28"/>
        </w:rPr>
      </w:pPr>
      <w:bookmarkStart w:id="1" w:name="_Toc233274588"/>
      <w:r>
        <w:rPr>
          <w:rFonts w:ascii="仿宋_GB2312" w:eastAsia="仿宋_GB2312"/>
          <w:b/>
          <w:bCs/>
          <w:color w:val="auto"/>
          <w:sz w:val="28"/>
          <w:szCs w:val="28"/>
        </w:rPr>
        <w:t>（一）“十四五”发展成就</w:t>
      </w:r>
      <w:bookmarkEnd w:id="1"/>
    </w:p>
    <w:p w14:paraId="401BFB1E">
      <w:pPr>
        <w:spacing w:before="0" w:beforeLines="0" w:after="0" w:afterLines="0" w:line="240" w:lineRule="auto"/>
        <w:ind w:firstLine="560"/>
        <w:rPr>
          <w:rFonts w:ascii="仿宋_GB2312" w:eastAsia="仿宋_GB2312"/>
          <w:sz w:val="28"/>
          <w:szCs w:val="28"/>
        </w:rPr>
      </w:pPr>
      <w:r>
        <w:rPr>
          <w:rFonts w:hint="eastAsia" w:ascii="仿宋_GB2312" w:eastAsia="仿宋_GB2312"/>
          <w:sz w:val="28"/>
          <w:szCs w:val="28"/>
        </w:rPr>
        <w:t>“十四五”时期，番禺区锚定湾区中继枢纽定位，全面推进综合交通体系高质量建设，圆满完成规划目标任务，为全区经济社会发展、城市能级跃升与民生福祉改善提供了坚实支撑。</w:t>
      </w:r>
    </w:p>
    <w:p w14:paraId="0C7D887D">
      <w:pPr>
        <w:pStyle w:val="4"/>
        <w:spacing w:before="156" w:after="156"/>
        <w:ind w:firstLine="562"/>
        <w:rPr>
          <w:rFonts w:ascii="仿宋_GB2312" w:eastAsia="仿宋_GB2312"/>
          <w:b/>
          <w:bCs/>
          <w:color w:val="auto"/>
          <w:sz w:val="28"/>
          <w:szCs w:val="28"/>
        </w:rPr>
      </w:pPr>
      <w:bookmarkStart w:id="2" w:name="_Toc233274589"/>
      <w:bookmarkStart w:id="3" w:name="_Toc206770988"/>
      <w:r>
        <w:rPr>
          <w:rFonts w:hint="eastAsia" w:ascii="仿宋_GB2312" w:eastAsia="仿宋_GB2312"/>
          <w:b/>
          <w:bCs/>
          <w:color w:val="auto"/>
          <w:sz w:val="28"/>
          <w:szCs w:val="28"/>
        </w:rPr>
        <w:t>1、</w:t>
      </w:r>
      <w:r>
        <w:rPr>
          <w:rFonts w:ascii="仿宋_GB2312" w:eastAsia="仿宋_GB2312"/>
          <w:b/>
          <w:bCs/>
          <w:color w:val="auto"/>
          <w:sz w:val="28"/>
          <w:szCs w:val="28"/>
        </w:rPr>
        <w:t>综合立体交通网络加速成型</w:t>
      </w:r>
      <w:bookmarkEnd w:id="2"/>
      <w:bookmarkEnd w:id="3"/>
    </w:p>
    <w:p w14:paraId="46E9EE0A">
      <w:pPr>
        <w:spacing w:before="0" w:beforeLines="0" w:after="0" w:afterLines="0" w:line="240" w:lineRule="auto"/>
        <w:ind w:firstLine="562"/>
        <w:rPr>
          <w:rFonts w:ascii="仿宋_GB2312" w:eastAsia="仿宋_GB2312"/>
          <w:b/>
          <w:bCs/>
          <w:sz w:val="28"/>
          <w:szCs w:val="28"/>
        </w:rPr>
      </w:pPr>
      <w:r>
        <w:rPr>
          <w:rFonts w:hint="eastAsia" w:ascii="仿宋_GB2312" w:eastAsia="仿宋_GB2312"/>
          <w:b/>
          <w:bCs/>
          <w:sz w:val="28"/>
          <w:szCs w:val="28"/>
        </w:rPr>
        <w:t>轨道交通——线网建设实现新突破，加速融入湾区生活圈。</w:t>
      </w:r>
      <w:r>
        <w:rPr>
          <w:rFonts w:hint="eastAsia" w:ascii="仿宋_GB2312" w:eastAsia="仿宋_GB2312"/>
          <w:sz w:val="28"/>
          <w:szCs w:val="28"/>
        </w:rPr>
        <w:t>城际轨道网加速跨越发展，广惠、广肇等4条城际干线建成通车，新增8个城际站点。通过广州东环城际实现南站至白云机场半小时“空铁联运”，在建广州站至广州南站联络线将打通“15分钟进城”格局。城市轨道方面，18、22、7、3及12号线相继建成。截至2026年初，全区地铁通车里程突破120公里（稳居全市前列），站点800米人口覆盖率提升至17.3%。同时，全面推进汉溪长隆、番禺广场等TOD综合体建设，构建覆盖主要功能区的轨道骨架网络。</w:t>
      </w:r>
    </w:p>
    <w:p w14:paraId="175DCC2E">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港口航空——促进港产城深度融合，探索新质生产力发展。</w:t>
      </w:r>
      <w:r>
        <w:rPr>
          <w:rFonts w:hint="eastAsia" w:ascii="仿宋_GB2312" w:eastAsia="仿宋_GB2312"/>
          <w:sz w:val="28"/>
          <w:szCs w:val="28"/>
        </w:rPr>
        <w:t>全区内河通航里程达146公里，港口货物吞吐量由“十三五”末的1417万吨增至</w:t>
      </w:r>
      <w:r>
        <w:rPr>
          <w:rFonts w:ascii="仿宋_GB2312" w:eastAsia="仿宋_GB2312"/>
          <w:sz w:val="28"/>
          <w:szCs w:val="28"/>
        </w:rPr>
        <w:t>2026</w:t>
      </w:r>
      <w:r>
        <w:rPr>
          <w:rFonts w:hint="eastAsia" w:ascii="仿宋_GB2312" w:eastAsia="仿宋_GB2312"/>
          <w:sz w:val="28"/>
          <w:szCs w:val="28"/>
        </w:rPr>
        <w:t>万吨（增幅43%）。水上客运分批优化渡口，依托280平方公里国家级渔港经济区，推动莲花山岸线向文商旅综合经济带转型。积极布局低空经济，2024年发布国内首个低空经济应用示范岛，规划17公里空中环岛路线；2025年启动“空中的士”网络并布局25处低空出行设施，开启实景应用。</w:t>
      </w:r>
    </w:p>
    <w:p w14:paraId="046EAC53">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客货枢纽——站场一体化建设加快，激活城市能级提升。</w:t>
      </w:r>
      <w:r>
        <w:rPr>
          <w:rFonts w:hint="eastAsia" w:ascii="仿宋_GB2312" w:eastAsia="仿宋_GB2312"/>
          <w:sz w:val="28"/>
          <w:szCs w:val="28"/>
        </w:rPr>
        <w:t>现代化客运枢纽体系基本建成。2025年广州南站年旅客发送量达8904.48万人次，蝉联全国第一。客流呈现显著的“轨道引领、公路收缩”特征，南站总到发客流约2.77亿人次，其中高铁及地铁客流占绝对主导，公路客运发送量大幅缩减</w:t>
      </w:r>
      <w:r>
        <w:rPr>
          <w:rFonts w:ascii="仿宋_GB2312" w:eastAsia="仿宋_GB2312"/>
          <w:sz w:val="28"/>
          <w:szCs w:val="28"/>
        </w:rPr>
        <w:t>56.63</w:t>
      </w:r>
      <w:r>
        <w:rPr>
          <w:rFonts w:hint="eastAsia" w:ascii="仿宋_GB2312" w:eastAsia="仿宋_GB2312"/>
          <w:sz w:val="28"/>
          <w:szCs w:val="28"/>
        </w:rPr>
        <w:t>%，加速向高效率轨道换乘转型。全力推动交通枢纽向“站城融合”发展，加快建设广州南站“枢纽型国际商圈”等世界级TOD项目。货运方面，形成以化龙为核心的物流集群，高效服务快递集散及汽车配送。</w:t>
      </w:r>
    </w:p>
    <w:p w14:paraId="24D594B1">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城乡公路——道路品质迈上新阶，助力乡村振兴发展。</w:t>
      </w:r>
      <w:r>
        <w:rPr>
          <w:rFonts w:hint="eastAsia" w:ascii="仿宋_GB2312" w:eastAsia="仿宋_GB2312"/>
          <w:sz w:val="28"/>
          <w:szCs w:val="28"/>
        </w:rPr>
        <w:t>全区公路总里程达477.519公里，路网密度为0.93公里/平方公里。构建起以高快速路为骨架的大通道，国省道总里程140.559公里。“十四五”期间完成6项养护工程项目，累计投入1.3亿元专项资金，全力保障干线公路安全畅通。农村公路管养全面升级，累计投入2.57亿元完成33.75公里“四好农村路”建设，全区232.9公里农村公路路面铺装率及行政村公交通达率均达100%。建立“区镇两级”管养模式，完成15座公路桥梁加固与11处“平安村口”建设，切实提升安全服务水平。</w:t>
      </w:r>
    </w:p>
    <w:p w14:paraId="30B6080B">
      <w:pPr>
        <w:pStyle w:val="4"/>
        <w:spacing w:before="156" w:after="156"/>
        <w:ind w:firstLine="562"/>
        <w:rPr>
          <w:rFonts w:ascii="仿宋_GB2312" w:eastAsia="仿宋_GB2312"/>
          <w:b/>
          <w:bCs/>
          <w:color w:val="auto"/>
          <w:sz w:val="28"/>
          <w:szCs w:val="28"/>
        </w:rPr>
      </w:pPr>
      <w:bookmarkStart w:id="4" w:name="_Toc206770989"/>
      <w:bookmarkStart w:id="5" w:name="_Toc233274590"/>
      <w:r>
        <w:rPr>
          <w:rFonts w:hint="eastAsia" w:ascii="仿宋_GB2312" w:eastAsia="仿宋_GB2312"/>
          <w:b/>
          <w:bCs/>
          <w:color w:val="auto"/>
          <w:sz w:val="28"/>
          <w:szCs w:val="28"/>
        </w:rPr>
        <w:t>2、</w:t>
      </w:r>
      <w:r>
        <w:rPr>
          <w:rFonts w:ascii="仿宋_GB2312" w:eastAsia="仿宋_GB2312"/>
          <w:b/>
          <w:bCs/>
          <w:color w:val="auto"/>
          <w:sz w:val="28"/>
          <w:szCs w:val="28"/>
        </w:rPr>
        <w:t>城市交通出行品质不断提升</w:t>
      </w:r>
      <w:bookmarkEnd w:id="4"/>
      <w:bookmarkEnd w:id="5"/>
    </w:p>
    <w:p w14:paraId="525F5B3F">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城市道路——骨架路网初步成型，网络效应逐步凸显。</w:t>
      </w:r>
      <w:r>
        <w:rPr>
          <w:rFonts w:hint="eastAsia" w:ascii="仿宋_GB2312" w:eastAsia="仿宋_GB2312"/>
          <w:sz w:val="28"/>
          <w:szCs w:val="28"/>
        </w:rPr>
        <w:t>全区道路总里程达2561.53公里（新增779.53公里），路网密度增至4.97km/km</w:t>
      </w:r>
      <w:r>
        <w:rPr>
          <w:rFonts w:ascii="Calibri" w:hAnsi="Calibri" w:eastAsia="仿宋_GB2312" w:cs="Calibri"/>
          <w:sz w:val="28"/>
          <w:szCs w:val="28"/>
        </w:rPr>
        <w:t>²</w:t>
      </w:r>
      <w:r>
        <w:rPr>
          <w:rFonts w:hint="eastAsia" w:ascii="仿宋_GB2312" w:hAnsi="仿宋_GB2312" w:eastAsia="仿宋_GB2312" w:cs="仿宋_GB2312"/>
          <w:sz w:val="28"/>
          <w:szCs w:val="28"/>
        </w:rPr>
        <w:t>，建设用地路网密度达</w:t>
      </w:r>
      <w:r>
        <w:rPr>
          <w:rFonts w:hint="eastAsia" w:ascii="仿宋_GB2312" w:eastAsia="仿宋_GB2312"/>
          <w:sz w:val="28"/>
          <w:szCs w:val="28"/>
        </w:rPr>
        <w:t>10.25km/km</w:t>
      </w:r>
      <w:r>
        <w:rPr>
          <w:rFonts w:ascii="Calibri" w:hAnsi="Calibri" w:eastAsia="仿宋_GB2312" w:cs="Calibri"/>
          <w:sz w:val="28"/>
          <w:szCs w:val="28"/>
        </w:rPr>
        <w:t>²</w:t>
      </w:r>
      <w:r>
        <w:rPr>
          <w:rFonts w:hint="eastAsia" w:ascii="仿宋_GB2312" w:hAnsi="仿宋_GB2312" w:eastAsia="仿宋_GB2312" w:cs="仿宋_GB2312"/>
          <w:sz w:val="28"/>
          <w:szCs w:val="28"/>
        </w:rPr>
        <w:t>。路网级配持续优化，快速路、主干、次干及支路比例达</w:t>
      </w:r>
      <w:r>
        <w:rPr>
          <w:rFonts w:hint="eastAsia" w:ascii="仿宋_GB2312" w:eastAsia="仿宋_GB2312"/>
          <w:sz w:val="28"/>
          <w:szCs w:val="28"/>
        </w:rPr>
        <w:t>5.8:5.2:37.7:51.1，市政桥梁逾195座，空间上基本形成“两横五纵”快速路与“九横八纵”主干路网络。“十四五”期间累计建成重要干道64.06公里，南大干线全线贯通，海珠湾隧道、广州大道快捷化等关键工程顺利实施。同时，全面提速万博商务区、广汽智联等重点产业园区周边道路配套建设。</w:t>
      </w:r>
    </w:p>
    <w:p w14:paraId="2F3C6424">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常规公交——灵活调整动态优化，服务更加精细化。</w:t>
      </w:r>
      <w:r>
        <w:rPr>
          <w:rFonts w:hint="eastAsia" w:ascii="仿宋_GB2312" w:eastAsia="仿宋_GB2312"/>
          <w:sz w:val="28"/>
          <w:szCs w:val="28"/>
        </w:rPr>
        <w:t>系统性构建“公交地铁深度融合网络”，坚持需求导向，累计优化调整公交线路298条次，新增线路15条次。积极推行29条线路“响应式停靠”模式，在保障基本面的同时显著提高了公共交通的运行效率与舒适度。</w:t>
      </w:r>
    </w:p>
    <w:p w14:paraId="3ADA9444">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静态交通——着力改善停车难题，加大民生服务供给。</w:t>
      </w:r>
      <w:r>
        <w:rPr>
          <w:rFonts w:hint="eastAsia" w:ascii="仿宋_GB2312" w:eastAsia="仿宋_GB2312"/>
          <w:sz w:val="28"/>
          <w:szCs w:val="28"/>
        </w:rPr>
        <w:t>以缓解“停车难”为核心，出台《公共停车场建设三年攻坚行动方案》等政策，构建静态交通治理网络。重点挖潜闲置资源并引导多元化建设，截至2025年12月，全区路外停车场达1382个，泊位总数达63.1万个；</w:t>
      </w:r>
      <w:bookmarkStart w:id="76" w:name="_GoBack"/>
      <w:r>
        <w:rPr>
          <w:rFonts w:hint="eastAsia" w:ascii="仿宋_GB2312" w:eastAsia="仿宋_GB2312"/>
          <w:sz w:val="28"/>
          <w:szCs w:val="28"/>
          <w:highlight w:val="none"/>
        </w:rPr>
        <w:t>累计新增泊位46.67万个（增幅</w:t>
      </w:r>
      <w:r>
        <w:rPr>
          <w:rFonts w:ascii="仿宋_GB2312" w:eastAsia="仿宋_GB2312"/>
          <w:sz w:val="28"/>
          <w:szCs w:val="28"/>
          <w:highlight w:val="none"/>
        </w:rPr>
        <w:t>284</w:t>
      </w:r>
      <w:r>
        <w:rPr>
          <w:rFonts w:hint="eastAsia" w:ascii="仿宋_GB2312" w:eastAsia="仿宋_GB2312"/>
          <w:sz w:val="28"/>
          <w:szCs w:val="28"/>
          <w:highlight w:val="none"/>
        </w:rPr>
        <w:t>%）</w:t>
      </w:r>
      <w:bookmarkEnd w:id="76"/>
      <w:r>
        <w:rPr>
          <w:rFonts w:hint="eastAsia" w:ascii="仿宋_GB2312" w:eastAsia="仿宋_GB2312"/>
          <w:sz w:val="28"/>
          <w:szCs w:val="28"/>
        </w:rPr>
        <w:t>，极大缓解了重点区域的停车缺口。全面推广“人工智能+静态交通”模式，分批将210条道路纳入高位视频智慧停车管理，完成超1.3万个智慧泊位建设，实施分级计费管理，实现停车资源的高效动态调节。</w:t>
      </w:r>
    </w:p>
    <w:p w14:paraId="6E76D0B6">
      <w:pPr>
        <w:spacing w:before="0" w:beforeLines="0" w:after="0" w:afterLines="0" w:line="240" w:lineRule="auto"/>
        <w:ind w:firstLine="562"/>
        <w:rPr>
          <w:rFonts w:ascii="仿宋_GB2312" w:eastAsia="仿宋_GB2312"/>
          <w:b/>
          <w:bCs/>
          <w:strike/>
          <w:sz w:val="28"/>
          <w:szCs w:val="28"/>
          <w:highlight w:val="yellow"/>
        </w:rPr>
      </w:pPr>
      <w:r>
        <w:rPr>
          <w:rFonts w:hint="eastAsia" w:ascii="仿宋_GB2312" w:eastAsia="仿宋_GB2312"/>
          <w:b/>
          <w:bCs/>
          <w:sz w:val="28"/>
          <w:szCs w:val="28"/>
        </w:rPr>
        <w:t>慢行交通——推进设施改造提升，满足慢行出行需求。</w:t>
      </w:r>
      <w:r>
        <w:rPr>
          <w:rFonts w:hint="eastAsia" w:ascii="仿宋_GB2312" w:eastAsia="仿宋_GB2312"/>
          <w:sz w:val="28"/>
          <w:szCs w:val="28"/>
        </w:rPr>
        <w:t>实施精细化路权分配，全区累计建成非机动车道250.84公里</w:t>
      </w:r>
      <w:r>
        <w:rPr>
          <w:rFonts w:hint="eastAsia" w:ascii="仿宋_GB2312" w:eastAsia="仿宋_GB2312"/>
          <w:sz w:val="28"/>
          <w:szCs w:val="28"/>
          <w:highlight w:val="none"/>
        </w:rPr>
        <w:t>（双向）</w:t>
      </w:r>
      <w:r>
        <w:rPr>
          <w:rFonts w:hint="eastAsia" w:ascii="仿宋_GB2312" w:eastAsia="仿宋_GB2312"/>
          <w:sz w:val="28"/>
          <w:szCs w:val="28"/>
        </w:rPr>
        <w:t>，有效分离机非交通流线。强力推进主次干路非机动车道改造，2024至2025年连续攻坚，实施改造既有道路，逐步形成连续成网的慢行骨干体系。为消除过街冲突，大力推进立体过街设施建设，全区累计建成人行天桥和地下隧道86座（新增29座），大幅提升过街安全。</w:t>
      </w:r>
    </w:p>
    <w:p w14:paraId="5F31D86A">
      <w:pPr>
        <w:spacing w:before="0" w:beforeLines="0" w:after="0" w:afterLines="0" w:line="240" w:lineRule="auto"/>
        <w:ind w:firstLine="562"/>
        <w:rPr>
          <w:rFonts w:ascii="仿宋_GB2312" w:eastAsia="仿宋_GB2312"/>
          <w:b/>
          <w:bCs/>
          <w:sz w:val="28"/>
          <w:szCs w:val="28"/>
        </w:rPr>
      </w:pPr>
      <w:r>
        <w:rPr>
          <w:rFonts w:hint="eastAsia" w:ascii="仿宋_GB2312" w:eastAsia="仿宋_GB2312"/>
          <w:b/>
          <w:bCs/>
          <w:sz w:val="28"/>
          <w:szCs w:val="28"/>
        </w:rPr>
        <w:t>交通治理——精准治堵打通瓶颈，适儿改造护安宁。</w:t>
      </w:r>
      <w:r>
        <w:rPr>
          <w:rFonts w:hint="eastAsia" w:ascii="仿宋_GB2312" w:eastAsia="仿宋_GB2312"/>
          <w:sz w:val="28"/>
          <w:szCs w:val="28"/>
        </w:rPr>
        <w:t>坚持“一点一策”原则，强力推进“十大堵点”治理攻坚。通过优化渠化岛、改造掉头口及完善信控系统等微改造措施畅通微循环。2021至2025年共制定并完成30个拥堵点治理计划，累计投资2029.74万元，消除关键节点瓶颈，大幅提高路网运行效率。同时，积极响应儿童友好城市创建，选取荟贤小学等14所学校开展通学路径专项整治，通过增设彩虹斑马线及完善警示标识等综合措施，构建安全连续的通学空间，护航儿童出行。</w:t>
      </w:r>
    </w:p>
    <w:p w14:paraId="164855EB">
      <w:pPr>
        <w:pStyle w:val="3"/>
        <w:spacing w:before="156" w:after="156"/>
        <w:ind w:firstLine="562"/>
        <w:rPr>
          <w:rFonts w:ascii="仿宋_GB2312" w:eastAsia="仿宋_GB2312"/>
          <w:b/>
          <w:bCs/>
          <w:color w:val="auto"/>
          <w:sz w:val="28"/>
          <w:szCs w:val="28"/>
        </w:rPr>
      </w:pPr>
      <w:bookmarkStart w:id="6" w:name="_Toc233274591"/>
      <w:r>
        <w:rPr>
          <w:rFonts w:ascii="仿宋_GB2312" w:eastAsia="仿宋_GB2312"/>
          <w:b/>
          <w:bCs/>
          <w:color w:val="auto"/>
          <w:sz w:val="28"/>
          <w:szCs w:val="28"/>
        </w:rPr>
        <w:t>（二）存在的主要问题</w:t>
      </w:r>
      <w:bookmarkEnd w:id="6"/>
    </w:p>
    <w:p w14:paraId="7014D210">
      <w:pPr>
        <w:pStyle w:val="4"/>
        <w:spacing w:before="156" w:after="156"/>
        <w:ind w:firstLine="562"/>
        <w:rPr>
          <w:rFonts w:ascii="仿宋_GB2312" w:eastAsia="仿宋_GB2312"/>
          <w:b/>
          <w:bCs/>
          <w:color w:val="auto"/>
          <w:sz w:val="28"/>
          <w:szCs w:val="28"/>
        </w:rPr>
      </w:pPr>
      <w:bookmarkStart w:id="7" w:name="_Toc233274592"/>
      <w:r>
        <w:rPr>
          <w:rFonts w:hint="eastAsia" w:ascii="仿宋_GB2312" w:eastAsia="仿宋_GB2312"/>
          <w:b/>
          <w:bCs/>
          <w:color w:val="auto"/>
          <w:sz w:val="28"/>
          <w:szCs w:val="28"/>
        </w:rPr>
        <w:t>1、</w:t>
      </w:r>
      <w:r>
        <w:rPr>
          <w:rFonts w:ascii="仿宋_GB2312" w:eastAsia="仿宋_GB2312"/>
          <w:b/>
          <w:bCs/>
          <w:color w:val="auto"/>
          <w:sz w:val="28"/>
          <w:szCs w:val="28"/>
        </w:rPr>
        <w:t>大交通：区域协同与枢纽能级有待跃升</w:t>
      </w:r>
      <w:bookmarkEnd w:id="7"/>
    </w:p>
    <w:p w14:paraId="69CBAAC5">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对外通道存在结构性短板</w:t>
      </w:r>
      <w:r>
        <w:rPr>
          <w:rFonts w:hint="eastAsia" w:ascii="仿宋_GB2312" w:eastAsia="仿宋_GB2312"/>
          <w:sz w:val="28"/>
          <w:szCs w:val="28"/>
        </w:rPr>
        <w:t>。</w:t>
      </w:r>
      <w:r>
        <w:rPr>
          <w:rFonts w:ascii="仿宋_GB2312" w:eastAsia="仿宋_GB2312"/>
          <w:sz w:val="28"/>
          <w:szCs w:val="28"/>
        </w:rPr>
        <w:t>全区路网呈现明显的“强南北、弱东西”特征。广明高速以南缺乏高标准东西向快速通道，制约了东部组团及狮子洋增长极的开发强度。同时，跨江通道余量不足，向北连接海珠的通道平均饱和度已达</w:t>
      </w:r>
      <w:r>
        <w:rPr>
          <w:rFonts w:ascii="仿宋_GB2312" w:eastAsia="仿宋_GB2312"/>
          <w:b/>
          <w:bCs/>
          <w:sz w:val="28"/>
          <w:szCs w:val="28"/>
        </w:rPr>
        <w:t>0.92</w:t>
      </w:r>
      <w:r>
        <w:rPr>
          <w:rFonts w:ascii="仿宋_GB2312" w:eastAsia="仿宋_GB2312"/>
          <w:sz w:val="28"/>
          <w:szCs w:val="28"/>
        </w:rPr>
        <w:t>，处于过饱和状态。网络绕行条件有限导致交通韧性偏弱，难以有效支撑大湾区枢纽门户对珠江西岸城市的辐射带动需求。</w:t>
      </w:r>
    </w:p>
    <w:p w14:paraId="45632441">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枢纽辐射带动效应尚未完全释放</w:t>
      </w:r>
      <w:r>
        <w:rPr>
          <w:rFonts w:hint="eastAsia" w:ascii="仿宋_GB2312" w:eastAsia="仿宋_GB2312"/>
          <w:sz w:val="28"/>
          <w:szCs w:val="28"/>
        </w:rPr>
        <w:t>。</w:t>
      </w:r>
      <w:r>
        <w:rPr>
          <w:rFonts w:ascii="仿宋_GB2312" w:eastAsia="仿宋_GB2312"/>
          <w:sz w:val="28"/>
          <w:szCs w:val="28"/>
          <w:highlight w:val="none"/>
        </w:rPr>
        <w:t>广州南站</w:t>
      </w:r>
      <w:r>
        <w:rPr>
          <w:rFonts w:hint="eastAsia" w:ascii="仿宋_GB2312" w:eastAsia="仿宋_GB2312"/>
          <w:sz w:val="28"/>
          <w:szCs w:val="28"/>
          <w:highlight w:val="none"/>
        </w:rPr>
        <w:t>枢纽</w:t>
      </w:r>
      <w:r>
        <w:rPr>
          <w:rFonts w:ascii="仿宋_GB2312" w:eastAsia="仿宋_GB2312"/>
          <w:sz w:val="28"/>
          <w:szCs w:val="28"/>
        </w:rPr>
        <w:t>作为世界级枢纽，其门户形象与集散能力突出，但“站城融合”深度不足。枢纽周边集疏运体系需系统完善，轨道、公交、慢行及停车换乘间的衔接组织在高峰期仍不均衡。此外，枢纽周边功能布局、交通组织与产业导入的协同度有待提升，尚未形成“枢纽带动片区、片区反哺枢纽”的良性互动格局，辐射力仍有释放空间。</w:t>
      </w:r>
    </w:p>
    <w:p w14:paraId="07729F8B">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物流与城市空间协同性有待加强</w:t>
      </w:r>
      <w:r>
        <w:rPr>
          <w:rFonts w:hint="eastAsia" w:ascii="仿宋_GB2312" w:eastAsia="仿宋_GB2312"/>
          <w:sz w:val="28"/>
          <w:szCs w:val="28"/>
        </w:rPr>
        <w:t>。</w:t>
      </w:r>
      <w:r>
        <w:rPr>
          <w:rFonts w:ascii="仿宋_GB2312" w:eastAsia="仿宋_GB2312"/>
          <w:sz w:val="28"/>
          <w:szCs w:val="28"/>
        </w:rPr>
        <w:t>货运高度依赖公路，水运岸线与专业化码头配套不足，“公铁水”多式联运格局尚未形成。随着城市化推进，物流基地逐渐被生活区包围，番禺大道、南大干线等主干走廊呈现典型的“货运+通勤”混合拥堵，增加了维护成本与环境压力。末端配送方面，快递外卖车辆在社区、学校周边无序停靠，亟需在精细化管理与设施配套上进一步磨合。</w:t>
      </w:r>
    </w:p>
    <w:p w14:paraId="535F4760">
      <w:pPr>
        <w:pStyle w:val="4"/>
        <w:spacing w:before="156" w:after="156"/>
        <w:ind w:firstLine="562"/>
        <w:rPr>
          <w:rFonts w:ascii="仿宋_GB2312" w:eastAsia="仿宋_GB2312"/>
          <w:b/>
          <w:bCs/>
          <w:color w:val="auto"/>
          <w:sz w:val="28"/>
          <w:szCs w:val="28"/>
        </w:rPr>
      </w:pPr>
      <w:bookmarkStart w:id="8" w:name="_Toc233274593"/>
      <w:r>
        <w:rPr>
          <w:rFonts w:hint="eastAsia" w:ascii="仿宋_GB2312" w:eastAsia="仿宋_GB2312"/>
          <w:b/>
          <w:bCs/>
          <w:color w:val="auto"/>
          <w:sz w:val="28"/>
          <w:szCs w:val="28"/>
        </w:rPr>
        <w:t>2、</w:t>
      </w:r>
      <w:r>
        <w:rPr>
          <w:rFonts w:ascii="仿宋_GB2312" w:eastAsia="仿宋_GB2312"/>
          <w:b/>
          <w:bCs/>
          <w:color w:val="auto"/>
          <w:sz w:val="28"/>
          <w:szCs w:val="28"/>
        </w:rPr>
        <w:t>硬基建：交通设施网络韧性不足</w:t>
      </w:r>
      <w:bookmarkEnd w:id="8"/>
    </w:p>
    <w:p w14:paraId="09420A57">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骨架路网与产城布局契合度不高</w:t>
      </w:r>
      <w:r>
        <w:rPr>
          <w:rFonts w:hint="eastAsia" w:ascii="仿宋_GB2312" w:eastAsia="仿宋_GB2312"/>
          <w:sz w:val="28"/>
          <w:szCs w:val="28"/>
        </w:rPr>
        <w:t>。</w:t>
      </w:r>
      <w:r>
        <w:rPr>
          <w:rFonts w:ascii="仿宋_GB2312" w:eastAsia="仿宋_GB2312"/>
          <w:sz w:val="28"/>
          <w:szCs w:val="28"/>
        </w:rPr>
        <w:t>城市空间已向“多中心、多走廊”演变，但路网基础仍滞后于产城拓展。南北向贯通性道路偏少，东西向亚运大道等廊道未能全线贯通且标准偏低，承担了过载的跨片区交通压力。现有网络对城市向东发展和沿江拓展的支撑力不足，组团间缺乏紧密型联系通道，难以满足城市内部日益增长且多元化的出行需求。</w:t>
      </w:r>
    </w:p>
    <w:p w14:paraId="459364A0">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内部“毛细血管”微循环有待完善</w:t>
      </w:r>
      <w:r>
        <w:rPr>
          <w:rFonts w:hint="eastAsia" w:ascii="仿宋_GB2312" w:eastAsia="仿宋_GB2312"/>
          <w:sz w:val="28"/>
          <w:szCs w:val="28"/>
        </w:rPr>
        <w:t>。</w:t>
      </w:r>
      <w:r>
        <w:rPr>
          <w:rFonts w:ascii="仿宋_GB2312" w:eastAsia="仿宋_GB2312"/>
          <w:sz w:val="28"/>
          <w:szCs w:val="28"/>
        </w:rPr>
        <w:t>与支路建设相对滞后，道路级配不合理导致交通流“上得去、下不来”。片区内部断头路较多，拥堵集中在市桥、万博等成熟组团。受资金及征拆制约，重点片区路网建设滞后于产业集聚速度，易形成“先建楼、后通路”的被动局面。此外，公共停车场布局均衡性不足，老旧片区与产业园区的停车供需矛盾依然突出。</w:t>
      </w:r>
    </w:p>
    <w:p w14:paraId="428830BB">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农村公路管养机制需进一步健全</w:t>
      </w:r>
      <w:r>
        <w:rPr>
          <w:rFonts w:hint="eastAsia" w:ascii="仿宋_GB2312" w:eastAsia="仿宋_GB2312"/>
          <w:sz w:val="28"/>
          <w:szCs w:val="28"/>
        </w:rPr>
        <w:t>。</w:t>
      </w:r>
      <w:r>
        <w:rPr>
          <w:rFonts w:ascii="仿宋_GB2312" w:eastAsia="仿宋_GB2312"/>
          <w:sz w:val="28"/>
          <w:szCs w:val="28"/>
        </w:rPr>
        <w:t>受限于镇街财力与技术力量，农村公路存在“重建轻养”现象。资金缺口导致养护多为“保底式”修补，安防工程、排水及照明配套投入不足，安全韧性与乡村振兴要求存在差距。基层缺乏专业化养护队伍，对桥涵等复杂设施的系统排查存在畏难情绪。农村公路的服务品质与城乡基本公共服务均等化目标仍有一定距离。</w:t>
      </w:r>
    </w:p>
    <w:p w14:paraId="7DC25145">
      <w:pPr>
        <w:pStyle w:val="4"/>
        <w:spacing w:before="156" w:after="156"/>
        <w:ind w:firstLine="562"/>
        <w:rPr>
          <w:rFonts w:ascii="仿宋_GB2312" w:eastAsia="仿宋_GB2312"/>
          <w:b/>
          <w:bCs/>
          <w:color w:val="auto"/>
          <w:sz w:val="28"/>
          <w:szCs w:val="28"/>
        </w:rPr>
      </w:pPr>
      <w:bookmarkStart w:id="9" w:name="_Toc233274594"/>
      <w:r>
        <w:rPr>
          <w:rFonts w:hint="eastAsia" w:ascii="仿宋_GB2312" w:eastAsia="仿宋_GB2312"/>
          <w:b/>
          <w:bCs/>
          <w:color w:val="auto"/>
          <w:sz w:val="28"/>
          <w:szCs w:val="28"/>
        </w:rPr>
        <w:t>3、</w:t>
      </w:r>
      <w:r>
        <w:rPr>
          <w:rFonts w:ascii="仿宋_GB2312" w:eastAsia="仿宋_GB2312"/>
          <w:b/>
          <w:bCs/>
          <w:color w:val="auto"/>
          <w:sz w:val="28"/>
          <w:szCs w:val="28"/>
        </w:rPr>
        <w:t>软服务：友好出行体验有待优化</w:t>
      </w:r>
      <w:bookmarkEnd w:id="9"/>
    </w:p>
    <w:p w14:paraId="22B4AE04">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轨道交通内部服务效能需提升</w:t>
      </w:r>
      <w:r>
        <w:rPr>
          <w:rFonts w:hint="eastAsia" w:ascii="仿宋_GB2312" w:eastAsia="仿宋_GB2312"/>
          <w:sz w:val="28"/>
          <w:szCs w:val="28"/>
        </w:rPr>
        <w:t>。</w:t>
      </w:r>
      <w:r>
        <w:rPr>
          <w:rFonts w:ascii="仿宋_GB2312" w:eastAsia="仿宋_GB2312"/>
          <w:sz w:val="28"/>
          <w:szCs w:val="28"/>
        </w:rPr>
        <w:t>轨道交通尚未形成高密度网络，全区站点800米人口岗位覆盖率仅为</w:t>
      </w:r>
      <w:r>
        <w:rPr>
          <w:rFonts w:ascii="仿宋_GB2312" w:eastAsia="仿宋_GB2312"/>
          <w:b/>
          <w:bCs/>
          <w:sz w:val="28"/>
          <w:szCs w:val="28"/>
        </w:rPr>
        <w:t>17.3%</w:t>
      </w:r>
      <w:r>
        <w:rPr>
          <w:rFonts w:ascii="仿宋_GB2312" w:eastAsia="仿宋_GB2312"/>
          <w:sz w:val="28"/>
          <w:szCs w:val="28"/>
        </w:rPr>
        <w:t>，远低于全市38.8%的平均水平，东部及南部片区仍存服务空白。既有线路多倾向于跨区过境，导致组团间内部交互不便，轨道内部出行占比仅为</w:t>
      </w:r>
      <w:r>
        <w:rPr>
          <w:rFonts w:ascii="仿宋_GB2312" w:eastAsia="仿宋_GB2312"/>
          <w:b/>
          <w:bCs/>
          <w:sz w:val="28"/>
          <w:szCs w:val="28"/>
        </w:rPr>
        <w:t>28.5%</w:t>
      </w:r>
      <w:r>
        <w:rPr>
          <w:rFonts w:ascii="仿宋_GB2312" w:eastAsia="仿宋_GB2312"/>
          <w:sz w:val="28"/>
          <w:szCs w:val="28"/>
        </w:rPr>
        <w:t>。大运量、低碳效率优势尚未充分发挥，难以有效支撑全区范围内的高效通勤。</w:t>
      </w:r>
    </w:p>
    <w:p w14:paraId="0884A34D">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常规公交服务供给较不均衡</w:t>
      </w:r>
      <w:r>
        <w:rPr>
          <w:rFonts w:hint="eastAsia" w:ascii="仿宋_GB2312" w:eastAsia="仿宋_GB2312"/>
          <w:sz w:val="28"/>
          <w:szCs w:val="28"/>
        </w:rPr>
        <w:t>。</w:t>
      </w:r>
      <w:r>
        <w:rPr>
          <w:rFonts w:ascii="仿宋_GB2312" w:eastAsia="仿宋_GB2312"/>
          <w:sz w:val="28"/>
          <w:szCs w:val="28"/>
        </w:rPr>
        <w:t>公交线网梯次不清，跨镇街线路供给不足。虽然市桥、万博、大学城等组团客流密集（主要干道客流超3万人次/日），具备走廊化运营基础，但高峰期班次密度与需求不匹配，发车间隔多在20分钟以上。东部片区公共交通服务明显匮乏，大型居住社区内部存在公交盲区，“最后一公里”接驳不畅影响了居民的出行获得感。</w:t>
      </w:r>
    </w:p>
    <w:p w14:paraId="63797E43">
      <w:pPr>
        <w:spacing w:before="0" w:beforeLines="0" w:after="0" w:afterLines="0" w:line="240" w:lineRule="auto"/>
        <w:ind w:firstLine="562"/>
        <w:jc w:val="both"/>
        <w:rPr>
          <w:rFonts w:ascii="仿宋_GB2312" w:eastAsia="仿宋_GB2312"/>
          <w:sz w:val="28"/>
          <w:szCs w:val="28"/>
        </w:rPr>
      </w:pPr>
      <w:r>
        <w:rPr>
          <w:rFonts w:ascii="仿宋_GB2312" w:eastAsia="仿宋_GB2312"/>
          <w:b/>
          <w:bCs/>
          <w:sz w:val="28"/>
          <w:szCs w:val="28"/>
        </w:rPr>
        <w:t>慢行系统设计建设较为粗放</w:t>
      </w:r>
      <w:r>
        <w:rPr>
          <w:rFonts w:hint="eastAsia" w:ascii="仿宋_GB2312" w:eastAsia="仿宋_GB2312"/>
          <w:sz w:val="28"/>
          <w:szCs w:val="28"/>
        </w:rPr>
        <w:t>。</w:t>
      </w:r>
      <w:r>
        <w:rPr>
          <w:rFonts w:ascii="仿宋_GB2312" w:eastAsia="仿宋_GB2312"/>
          <w:sz w:val="28"/>
          <w:szCs w:val="28"/>
          <w:highlight w:val="none"/>
        </w:rPr>
        <w:t>现状道路非机动车专用道供给不足，部分道路尚未设置非机动车专用道，已设置路段也存在连续性不足、断头点较多等问题</w:t>
      </w:r>
      <w:r>
        <w:rPr>
          <w:rFonts w:ascii="仿宋_GB2312" w:eastAsia="仿宋_GB2312"/>
          <w:sz w:val="28"/>
          <w:szCs w:val="28"/>
        </w:rPr>
        <w:t>，慢行系统缺乏系统性框架和精细化落地。重点片区、枢纽周边及学校医院等流量集中区域，天桥与地道的布局失衡，部分过街设施间距过大，未能充分满足行人与非机动车的通行需求。由于工程实施阶段缺乏连贯的规划设计，导致慢行路径连续性与舒适性欠佳，在一定程度上削弱了绿色出行的吸引力与安全性。</w:t>
      </w:r>
    </w:p>
    <w:p w14:paraId="46EDC082">
      <w:pPr>
        <w:spacing w:before="0" w:beforeLines="0" w:after="0" w:afterLines="0" w:line="240" w:lineRule="auto"/>
        <w:ind w:firstLine="562"/>
        <w:rPr>
          <w:rFonts w:ascii="仿宋_GB2312" w:eastAsia="仿宋_GB2312"/>
          <w:sz w:val="28"/>
          <w:szCs w:val="28"/>
        </w:rPr>
      </w:pPr>
      <w:r>
        <w:rPr>
          <w:rFonts w:ascii="仿宋_GB2312" w:eastAsia="仿宋_GB2312"/>
          <w:b/>
          <w:bCs/>
          <w:sz w:val="28"/>
          <w:szCs w:val="28"/>
        </w:rPr>
        <w:t>三网融合一体化水平有待提升</w:t>
      </w:r>
      <w:r>
        <w:rPr>
          <w:rFonts w:hint="eastAsia" w:ascii="仿宋_GB2312" w:eastAsia="仿宋_GB2312"/>
          <w:sz w:val="28"/>
          <w:szCs w:val="28"/>
        </w:rPr>
        <w:t>。</w:t>
      </w:r>
      <w:r>
        <w:rPr>
          <w:rFonts w:ascii="仿宋_GB2312" w:eastAsia="仿宋_GB2312"/>
          <w:sz w:val="28"/>
          <w:szCs w:val="28"/>
        </w:rPr>
        <w:t>轨道、公交与慢行的“三网融合”推进较慢。非机动车道受空间约束连续性不足、断头点多，机非混行现象突出。公交站在轨道站周边的组织衔接不紧密，换乘空间亟待优化。老旧片区违停挤占慢行空间，进一步降低了一体化衔接效率。</w:t>
      </w:r>
    </w:p>
    <w:p w14:paraId="16755359">
      <w:pPr>
        <w:pStyle w:val="2"/>
        <w:spacing w:before="156" w:after="156"/>
        <w:ind w:firstLine="562"/>
        <w:rPr>
          <w:rFonts w:ascii="仿宋_GB2312" w:eastAsia="仿宋_GB2312"/>
          <w:b/>
          <w:bCs/>
          <w:color w:val="auto"/>
          <w:sz w:val="28"/>
          <w:szCs w:val="28"/>
        </w:rPr>
      </w:pPr>
      <w:bookmarkStart w:id="10" w:name="_Toc233274595"/>
      <w:bookmarkStart w:id="11" w:name="_Toc233210640"/>
      <w:r>
        <w:rPr>
          <w:rFonts w:ascii="仿宋_GB2312" w:eastAsia="仿宋_GB2312"/>
          <w:b/>
          <w:bCs/>
          <w:color w:val="auto"/>
          <w:sz w:val="28"/>
          <w:szCs w:val="28"/>
        </w:rPr>
        <w:t>二、发展要求与趋势</w:t>
      </w:r>
      <w:bookmarkEnd w:id="10"/>
      <w:bookmarkEnd w:id="11"/>
    </w:p>
    <w:p w14:paraId="2E0B43D7">
      <w:pPr>
        <w:pStyle w:val="3"/>
        <w:spacing w:before="156" w:after="156"/>
        <w:ind w:firstLine="562"/>
        <w:rPr>
          <w:rFonts w:ascii="仿宋_GB2312" w:eastAsia="仿宋_GB2312"/>
          <w:b/>
          <w:bCs/>
          <w:color w:val="auto"/>
          <w:sz w:val="28"/>
          <w:szCs w:val="28"/>
        </w:rPr>
      </w:pPr>
      <w:bookmarkStart w:id="12" w:name="_Toc233274596"/>
      <w:bookmarkStart w:id="13" w:name="_Toc233210641"/>
      <w:r>
        <w:rPr>
          <w:rFonts w:ascii="仿宋_GB2312" w:eastAsia="仿宋_GB2312"/>
          <w:b/>
          <w:bCs/>
          <w:color w:val="auto"/>
          <w:sz w:val="28"/>
          <w:szCs w:val="28"/>
        </w:rPr>
        <w:t>（一）发展要求</w:t>
      </w:r>
      <w:bookmarkEnd w:id="12"/>
      <w:bookmarkEnd w:id="13"/>
    </w:p>
    <w:p w14:paraId="01366607">
      <w:pPr>
        <w:pStyle w:val="4"/>
        <w:spacing w:before="156" w:after="156"/>
        <w:ind w:firstLine="562"/>
        <w:rPr>
          <w:rFonts w:ascii="仿宋_GB2312" w:eastAsia="仿宋_GB2312"/>
          <w:b/>
          <w:bCs/>
          <w:color w:val="auto"/>
          <w:sz w:val="28"/>
          <w:szCs w:val="28"/>
        </w:rPr>
      </w:pPr>
      <w:bookmarkStart w:id="14" w:name="_Toc233274597"/>
      <w:bookmarkStart w:id="15" w:name="_Toc233210642"/>
      <w:r>
        <w:rPr>
          <w:rFonts w:hint="eastAsia" w:ascii="仿宋_GB2312" w:eastAsia="仿宋_GB2312"/>
          <w:b/>
          <w:bCs/>
          <w:color w:val="auto"/>
          <w:sz w:val="28"/>
          <w:szCs w:val="28"/>
        </w:rPr>
        <w:t>1、宏观战略发展环境</w:t>
      </w:r>
      <w:bookmarkEnd w:id="14"/>
      <w:bookmarkEnd w:id="15"/>
    </w:p>
    <w:p w14:paraId="1EF4C2A2">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湾区协作及国空规划要求下，需提升交通战略支撑。</w:t>
      </w:r>
      <w:r>
        <w:rPr>
          <w:rFonts w:hint="eastAsia" w:ascii="仿宋_GB2312" w:eastAsia="仿宋_GB2312" w:hAnsiTheme="majorHAnsi" w:cstheme="majorBidi"/>
          <w:sz w:val="28"/>
          <w:szCs w:val="28"/>
        </w:rPr>
        <w:t>在粤港澳大湾区布局中，番禺作为珠江两岸、广州中心城区与南沙新城之间的重要连接节点，也是广佛莞智造创新走廊重要纽带，应深度融入湾区新发展格局。落实省市区三级国土空间规划关于打造“黄金内湾”和“两轴两带四中心”的要求，番禺枢纽门户功能将持续增强。交通体系需发挥“先行官”作用，聚焦“一网四化”，统筹跨区域布局和跨方式衔接，加快区域轨道、跨江通道、货运与产业协同建设，提升综合枢纽能级。</w:t>
      </w:r>
    </w:p>
    <w:p w14:paraId="2EDB7B26">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面向2049打造两轴极点，需加强交产融合发展。</w:t>
      </w:r>
      <w:r>
        <w:rPr>
          <w:rFonts w:hint="eastAsia" w:ascii="仿宋_GB2312" w:eastAsia="仿宋_GB2312" w:hAnsiTheme="majorHAnsi" w:cstheme="majorBidi"/>
          <w:sz w:val="28"/>
          <w:szCs w:val="28"/>
        </w:rPr>
        <w:t>落实《广州面向2049城市发展战略规划》“两洋南拓、两江东进”方针，番禺需高起点建设新中轴、活力创新轴及狮子洋增长极。综合交通体系需与“两轴两带”产业空间深度融合，依托港站枢纽带动产业集聚，推动交通物流融合，降低实体经济物流成本，促进沿线与狮子洋周边资源要素高效流通，增强综合城市功能。</w:t>
      </w:r>
    </w:p>
    <w:p w14:paraId="35102BEC">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构筑战略空间新蓝图，需打造高质量立体交通网。</w:t>
      </w:r>
      <w:r>
        <w:rPr>
          <w:rFonts w:hint="eastAsia" w:ascii="仿宋_GB2312" w:eastAsia="仿宋_GB2312" w:hAnsiTheme="majorHAnsi" w:cstheme="majorBidi"/>
          <w:sz w:val="28"/>
          <w:szCs w:val="28"/>
        </w:rPr>
        <w:t>为推进与中心城区联动协同，夯实“两洋南拓、融湾向海”的战略中继平台功能，番禺正构筑“两轴两带四中心”城镇空间格局。“十五五”期间，需发挥交通支撑引领作用，适应多中心布局，坚持客货并举、建运衔接，突出一体化融合、数智化升级、绿色化转型、安全化提升，强化公铁水空多元供给，引导“四中心”差异化发展，推动四大产业组团集聚提质。</w:t>
      </w:r>
    </w:p>
    <w:p w14:paraId="4871C707">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风险防控及紧约束下，需重视系统韧性与增存统筹。</w:t>
      </w:r>
      <w:r>
        <w:rPr>
          <w:rFonts w:hint="eastAsia" w:ascii="仿宋_GB2312" w:eastAsia="仿宋_GB2312" w:hAnsiTheme="majorHAnsi" w:cstheme="majorBidi"/>
          <w:sz w:val="28"/>
          <w:szCs w:val="28"/>
        </w:rPr>
        <w:t>“十五五”时期需提升交通安全韧性，应对极端天气、突发公共事件等外部冲击，强化自然灾害主动防御和设施数智化改造。同时，在资金、用地等资源紧约束下，应注重投资效益，坚持“做优增量、提质存量”，统筹增量设施合理供给和存量资产优化利用，提高设施运行效率与更新综合效益。</w:t>
      </w:r>
    </w:p>
    <w:p w14:paraId="4FED21E9">
      <w:pPr>
        <w:pStyle w:val="4"/>
        <w:spacing w:before="156" w:after="156"/>
        <w:ind w:firstLine="562"/>
        <w:rPr>
          <w:rFonts w:ascii="仿宋_GB2312" w:eastAsia="仿宋_GB2312"/>
          <w:b/>
          <w:bCs/>
          <w:color w:val="auto"/>
          <w:sz w:val="28"/>
          <w:szCs w:val="28"/>
        </w:rPr>
      </w:pPr>
      <w:bookmarkStart w:id="16" w:name="_Toc233210643"/>
      <w:bookmarkStart w:id="17" w:name="_Toc233274598"/>
      <w:r>
        <w:rPr>
          <w:rFonts w:hint="eastAsia" w:ascii="仿宋_GB2312" w:eastAsia="仿宋_GB2312"/>
          <w:b/>
          <w:bCs/>
          <w:color w:val="auto"/>
          <w:sz w:val="28"/>
          <w:szCs w:val="28"/>
        </w:rPr>
        <w:t>2、城市经济发展形势</w:t>
      </w:r>
      <w:bookmarkEnd w:id="16"/>
      <w:bookmarkEnd w:id="17"/>
    </w:p>
    <w:p w14:paraId="573AB904">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服务区域经济发展需求，提升重点区域交通供给。</w:t>
      </w:r>
      <w:r>
        <w:rPr>
          <w:rFonts w:hint="eastAsia" w:ascii="仿宋_GB2312" w:eastAsia="仿宋_GB2312" w:hAnsiTheme="majorHAnsi" w:cstheme="majorBidi"/>
          <w:sz w:val="28"/>
          <w:szCs w:val="28"/>
        </w:rPr>
        <w:t>全区规划了大学城、番禺汽车城等四大创新平台及两条核心产业轴线。为提升重点平台通勤效率与产学研联动，需打造贯通南北、联络东西的快捷走廊，加快产业组团配套交通建设，畅通与</w:t>
      </w:r>
      <w:r>
        <w:rPr>
          <w:rFonts w:hint="eastAsia" w:ascii="仿宋_GB2312" w:eastAsia="仿宋_GB2312" w:hAnsiTheme="majorHAnsi" w:cstheme="majorBidi"/>
          <w:sz w:val="28"/>
          <w:szCs w:val="28"/>
          <w:highlight w:val="none"/>
        </w:rPr>
        <w:t>广州南站枢纽</w:t>
      </w:r>
      <w:r>
        <w:rPr>
          <w:rFonts w:hint="eastAsia" w:ascii="仿宋_GB2312" w:eastAsia="仿宋_GB2312" w:hAnsiTheme="majorHAnsi" w:cstheme="majorBidi"/>
          <w:sz w:val="28"/>
          <w:szCs w:val="28"/>
        </w:rPr>
        <w:t>等枢纽联系。结合“人工智能＋交通”部署，探索“空中的士”等通勤新模式，推进低空飞行规范化应用，强化大数据共享与自动驾驶规范落地，为区域高质量发展提供支撑。</w:t>
      </w:r>
    </w:p>
    <w:p w14:paraId="02D8B256">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契合城市空间发展结构，实施差异化交通发展策略。</w:t>
      </w:r>
      <w:r>
        <w:rPr>
          <w:rFonts w:hint="eastAsia" w:ascii="仿宋_GB2312" w:eastAsia="仿宋_GB2312" w:hAnsiTheme="majorHAnsi" w:cstheme="majorBidi"/>
          <w:sz w:val="28"/>
          <w:szCs w:val="28"/>
        </w:rPr>
        <w:t>结合“两横两纵”城镇发展带实施差异化供给。“两横”中，南大干线经济带需强化东西向复合廊道与跨江通道供给；亚运大道产业带需弥补内部供给，提升市桥与渔港等组团联系。“两纵”中，新中轴—番禺大道带开发成熟，应巩固优化存量；活力创新轴作为新兴发展轴，需强化战略资源投放与跨方式衔接，提升走廊综合承载力。</w:t>
      </w:r>
    </w:p>
    <w:p w14:paraId="699F0A1C">
      <w:pPr>
        <w:spacing w:before="0" w:beforeLines="0" w:after="0" w:afterLines="0" w:line="240" w:lineRule="auto"/>
        <w:ind w:firstLine="562"/>
        <w:jc w:val="left"/>
        <w:rPr>
          <w:rFonts w:ascii="仿宋_GB2312" w:eastAsia="仿宋_GB2312" w:hAnsiTheme="majorHAnsi" w:cstheme="majorBidi"/>
          <w:strike/>
          <w:sz w:val="28"/>
          <w:szCs w:val="28"/>
          <w:highlight w:val="yellow"/>
        </w:rPr>
      </w:pPr>
      <w:r>
        <w:rPr>
          <w:rFonts w:hint="eastAsia" w:ascii="仿宋_GB2312" w:eastAsia="仿宋_GB2312" w:hAnsiTheme="majorHAnsi" w:cstheme="majorBidi"/>
          <w:b/>
          <w:bCs/>
          <w:sz w:val="28"/>
          <w:szCs w:val="28"/>
        </w:rPr>
        <w:t>把握城市化进程特征，及时调整阶段性服务供给。</w:t>
      </w:r>
      <w:r>
        <w:rPr>
          <w:rFonts w:hint="eastAsia" w:ascii="仿宋_GB2312" w:eastAsia="仿宋_GB2312" w:hAnsiTheme="majorHAnsi" w:cstheme="majorBidi"/>
          <w:sz w:val="28"/>
          <w:szCs w:val="28"/>
        </w:rPr>
        <w:t>番禺交通呈现“西密东疏、南北潮汐”特征，北向跨江通勤基本饱和。目前全区机动车达57.8万辆（同比增</w:t>
      </w:r>
      <w:r>
        <w:rPr>
          <w:rFonts w:ascii="仿宋_GB2312" w:eastAsia="仿宋_GB2312" w:hAnsiTheme="majorHAnsi" w:cstheme="majorBidi"/>
          <w:sz w:val="28"/>
          <w:szCs w:val="28"/>
        </w:rPr>
        <w:t>115.7</w:t>
      </w:r>
      <w:r>
        <w:rPr>
          <w:rFonts w:hint="eastAsia" w:ascii="仿宋_GB2312" w:eastAsia="仿宋_GB2312" w:hAnsiTheme="majorHAnsi" w:cstheme="majorBidi"/>
          <w:sz w:val="28"/>
          <w:szCs w:val="28"/>
        </w:rPr>
        <w:t>%），电动自行车达105.5万辆，安全隐患突出，交通供需矛盾及保畅压力与日俱增。面对设施建设相对滞后的现状，“十五五”需精准把握出行需求，通过拥堵点治理与精细化管理缓解短期阵痛。</w:t>
      </w:r>
    </w:p>
    <w:p w14:paraId="46007C1D">
      <w:pPr>
        <w:spacing w:before="0" w:beforeLines="0" w:after="0" w:afterLines="0" w:line="240" w:lineRule="auto"/>
        <w:ind w:firstLine="562"/>
        <w:jc w:val="left"/>
        <w:rPr>
          <w:rFonts w:ascii="仿宋_GB2312" w:eastAsia="仿宋_GB2312" w:hAnsiTheme="majorHAnsi" w:cstheme="majorBidi"/>
          <w:sz w:val="28"/>
          <w:szCs w:val="28"/>
        </w:rPr>
      </w:pPr>
      <w:r>
        <w:rPr>
          <w:rFonts w:hint="eastAsia" w:ascii="仿宋_GB2312" w:eastAsia="仿宋_GB2312" w:hAnsiTheme="majorHAnsi" w:cstheme="majorBidi"/>
          <w:b/>
          <w:bCs/>
          <w:sz w:val="28"/>
          <w:szCs w:val="28"/>
        </w:rPr>
        <w:t>顺应土地集约化趋势，促进交通立体复合化转变。</w:t>
      </w:r>
      <w:r>
        <w:rPr>
          <w:rFonts w:hint="eastAsia" w:ascii="仿宋_GB2312" w:eastAsia="仿宋_GB2312" w:hAnsiTheme="majorHAnsi" w:cstheme="majorBidi"/>
          <w:sz w:val="28"/>
          <w:szCs w:val="28"/>
        </w:rPr>
        <w:t>面对资源紧约束，需转变粗放型设施建设模式，推动过境及区域性通道向“立体化、复合化”布局转变。结合《番禺区城市更新专项规划大纲》“一心两带三区”改造结构，交通设施增量更新与存量优化应与城市更新时序及土地开发深度绑定。对标提质存量导向，突出数智化升级改造和交通、土地、产业一体化协同规划，在集约用地框架下探索立体开发模式。</w:t>
      </w:r>
    </w:p>
    <w:p w14:paraId="1BA62F3E">
      <w:pPr>
        <w:pStyle w:val="3"/>
        <w:spacing w:before="156" w:after="156"/>
        <w:ind w:firstLine="562"/>
        <w:rPr>
          <w:rFonts w:ascii="仿宋_GB2312" w:eastAsia="仿宋_GB2312"/>
          <w:b/>
          <w:bCs/>
          <w:color w:val="auto"/>
          <w:sz w:val="28"/>
          <w:szCs w:val="28"/>
        </w:rPr>
      </w:pPr>
      <w:bookmarkStart w:id="18" w:name="_Toc233274599"/>
      <w:bookmarkStart w:id="19" w:name="_Toc233210644"/>
      <w:r>
        <w:rPr>
          <w:rFonts w:ascii="仿宋_GB2312" w:eastAsia="仿宋_GB2312"/>
          <w:b/>
          <w:bCs/>
          <w:color w:val="auto"/>
          <w:sz w:val="28"/>
          <w:szCs w:val="28"/>
        </w:rPr>
        <w:t>（</w:t>
      </w:r>
      <w:r>
        <w:rPr>
          <w:rFonts w:hint="eastAsia" w:ascii="仿宋_GB2312" w:eastAsia="仿宋_GB2312"/>
          <w:b/>
          <w:bCs/>
          <w:color w:val="auto"/>
          <w:sz w:val="28"/>
          <w:szCs w:val="28"/>
        </w:rPr>
        <w:t>二</w:t>
      </w:r>
      <w:r>
        <w:rPr>
          <w:rFonts w:ascii="仿宋_GB2312" w:eastAsia="仿宋_GB2312"/>
          <w:b/>
          <w:bCs/>
          <w:color w:val="auto"/>
          <w:sz w:val="28"/>
          <w:szCs w:val="28"/>
        </w:rPr>
        <w:t>）发展</w:t>
      </w:r>
      <w:r>
        <w:rPr>
          <w:rFonts w:hint="eastAsia" w:ascii="仿宋_GB2312" w:eastAsia="仿宋_GB2312"/>
          <w:b/>
          <w:bCs/>
          <w:color w:val="auto"/>
          <w:sz w:val="28"/>
          <w:szCs w:val="28"/>
        </w:rPr>
        <w:t>趋势</w:t>
      </w:r>
      <w:bookmarkEnd w:id="18"/>
      <w:bookmarkEnd w:id="19"/>
    </w:p>
    <w:p w14:paraId="516F14AC">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落实交通强国双纲领，加快提升设施建设水平。</w:t>
      </w:r>
      <w:r>
        <w:rPr>
          <w:rFonts w:ascii="仿宋_GB2312" w:eastAsia="仿宋_GB2312"/>
          <w:sz w:val="28"/>
          <w:szCs w:val="28"/>
        </w:rPr>
        <w:t>深刻把握《交通强国建设纲要》与《国家综合立体交通网规划纲要》内涵，“十五五”是基本建成交通强国第一阶段的关键承接期。番禺需对标国家“三张交通网”与“两个交通圈”部署，在做优增量、提质存量中强化跨方式一体衔接与跨领域深度融合，推动交通设施从“全”向“优”跃升。</w:t>
      </w:r>
    </w:p>
    <w:p w14:paraId="2D78D856">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把握新质生产力契机，构建创新引领运输体系。</w:t>
      </w:r>
      <w:r>
        <w:rPr>
          <w:rFonts w:ascii="仿宋_GB2312" w:eastAsia="仿宋_GB2312"/>
          <w:sz w:val="28"/>
          <w:szCs w:val="28"/>
        </w:rPr>
        <w:t>交通运输是新质生产力的重要载体。面向“十五五”，番禺应落实数字交通建设要求，推动交通基础设施建设、养护、运营向智能化、数字化与绿色化升级。强化“人工智能+交通运输”应用落地，推进设施数字感知与大数据共享，统筹布局自动驾驶、低空交通等新业态场景，构建现代化数字交通体系。</w:t>
      </w:r>
    </w:p>
    <w:p w14:paraId="10102A85">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对标国际综合交通枢纽，强化黄金内湾门户功能。</w:t>
      </w:r>
      <w:r>
        <w:rPr>
          <w:rFonts w:ascii="仿宋_GB2312" w:eastAsia="仿宋_GB2312"/>
          <w:sz w:val="28"/>
          <w:szCs w:val="28"/>
        </w:rPr>
        <w:t>落实广州市“十五五”规划关于提升国际性综合交通枢纽能级的部署，番禺交通需从“建项目”转向“强功能、优服务、促产业”。紧扣狮子洋增长极等核心空间，以</w:t>
      </w:r>
      <w:r>
        <w:rPr>
          <w:rFonts w:ascii="仿宋_GB2312" w:eastAsia="仿宋_GB2312"/>
          <w:sz w:val="28"/>
          <w:szCs w:val="28"/>
          <w:highlight w:val="none"/>
        </w:rPr>
        <w:t>广州南站</w:t>
      </w:r>
      <w:r>
        <w:rPr>
          <w:rFonts w:hint="eastAsia" w:ascii="仿宋_GB2312" w:eastAsia="仿宋_GB2312"/>
          <w:sz w:val="28"/>
          <w:szCs w:val="28"/>
          <w:highlight w:val="none"/>
        </w:rPr>
        <w:t>枢纽</w:t>
      </w:r>
      <w:r>
        <w:rPr>
          <w:rFonts w:ascii="仿宋_GB2312" w:eastAsia="仿宋_GB2312"/>
          <w:sz w:val="28"/>
          <w:szCs w:val="28"/>
        </w:rPr>
        <w:t>、莲花山港等枢纽为牵引，完善集疏运体系与一体化换乘组织，强化交通与土地产业协同，推动“枢纽流量”转化为“经济增量”。</w:t>
      </w:r>
    </w:p>
    <w:p w14:paraId="573BEA89">
      <w:pPr>
        <w:spacing w:before="0" w:beforeLines="0" w:after="0" w:afterLines="0" w:line="240" w:lineRule="auto"/>
        <w:ind w:firstLine="562"/>
        <w:jc w:val="left"/>
        <w:rPr>
          <w:rFonts w:ascii="仿宋_GB2312" w:eastAsia="仿宋_GB2312"/>
          <w:strike/>
          <w:sz w:val="28"/>
          <w:szCs w:val="28"/>
        </w:rPr>
      </w:pPr>
      <w:r>
        <w:rPr>
          <w:rFonts w:ascii="仿宋_GB2312" w:eastAsia="仿宋_GB2312"/>
          <w:b/>
          <w:bCs/>
          <w:sz w:val="28"/>
          <w:szCs w:val="28"/>
        </w:rPr>
        <w:t>积极承担区域重大设施布局，锚固大湾区枢纽定位。</w:t>
      </w:r>
      <w:r>
        <w:rPr>
          <w:rFonts w:ascii="仿宋_GB2312" w:eastAsia="仿宋_GB2312"/>
          <w:sz w:val="28"/>
          <w:szCs w:val="28"/>
        </w:rPr>
        <w:t>作为大湾区京港澳、广深港等大通道的关键节点，番禺需协同省市部门，进一步研究落实广中珠澳高铁、莲花山通道、海鸥通道等重点项目，构建环珠江口“黄金内湾”中心交通主轴；同步前置统筹多式联运节点、通道与服务网络组织，推动中长距离运输“公转铁”“公转水”，探索“一单制”“一箱制”等组织方式创新。</w:t>
      </w:r>
    </w:p>
    <w:p w14:paraId="06CC5FCA">
      <w:pPr>
        <w:pStyle w:val="2"/>
        <w:spacing w:before="156" w:after="156"/>
        <w:ind w:firstLine="562"/>
        <w:rPr>
          <w:rFonts w:ascii="仿宋_GB2312" w:eastAsia="仿宋_GB2312"/>
          <w:b/>
          <w:bCs/>
          <w:color w:val="auto"/>
          <w:sz w:val="28"/>
          <w:szCs w:val="28"/>
        </w:rPr>
      </w:pPr>
      <w:bookmarkStart w:id="20" w:name="_Toc233274600"/>
      <w:bookmarkStart w:id="21" w:name="OLE_LINK32"/>
      <w:r>
        <w:rPr>
          <w:rFonts w:ascii="仿宋_GB2312" w:eastAsia="仿宋_GB2312"/>
          <w:b/>
          <w:bCs/>
          <w:color w:val="auto"/>
          <w:sz w:val="28"/>
          <w:szCs w:val="28"/>
        </w:rPr>
        <w:t>三、指导思想、基本原则和发展目标</w:t>
      </w:r>
      <w:bookmarkEnd w:id="20"/>
    </w:p>
    <w:p w14:paraId="69838273">
      <w:pPr>
        <w:pStyle w:val="3"/>
        <w:spacing w:before="156" w:after="156"/>
        <w:ind w:firstLine="562"/>
        <w:rPr>
          <w:rFonts w:ascii="仿宋_GB2312" w:eastAsia="仿宋_GB2312"/>
          <w:b/>
          <w:bCs/>
          <w:color w:val="auto"/>
          <w:sz w:val="28"/>
          <w:szCs w:val="28"/>
        </w:rPr>
      </w:pPr>
      <w:bookmarkStart w:id="22" w:name="_Toc233274601"/>
      <w:bookmarkStart w:id="23" w:name="OLE_LINK30"/>
      <w:r>
        <w:rPr>
          <w:rFonts w:ascii="仿宋_GB2312" w:eastAsia="仿宋_GB2312"/>
          <w:b/>
          <w:bCs/>
          <w:color w:val="auto"/>
          <w:sz w:val="28"/>
          <w:szCs w:val="28"/>
        </w:rPr>
        <w:t>（一）指导思想</w:t>
      </w:r>
      <w:bookmarkEnd w:id="22"/>
    </w:p>
    <w:bookmarkEnd w:id="21"/>
    <w:bookmarkEnd w:id="23"/>
    <w:p w14:paraId="75306D36">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马克思列宁主义、毛泽东思想、邓小平理论、“三个代表”重要思想、科学发展观，全面贯彻习近平新时代中国特色社会主义思想，深入贯彻党的二十大和二十届历次全会精神，深入落实习近平总书记对广东、广州系列重要讲话和重要指示精神，立足新发展阶段，贯彻新发展理念，服务构建新发展格局，抓住“两洋南拓、两江东进”、战略性建设狮子洋增长极的重大机遇，锚定党中央大政方针及省委“1310”具体部署、市委“1312”思路举措以及区委“十二个方面走在前列、争当示范”重点任务 ，服务和融入湾区新发展格局，加强顶层设计、战略布局、整体推进，加快培育交通新质生产力，构建系统健全、功能完备、运行高效、智能绿色、安全韧性的综合交通运输体系，提升巩固番禺区在链接两核、缝合两岸的核心中继枢纽地位，为番禺区建设粤港澳大湾区优质生活圈、国家历史文化名城重要承载区、智造创新引领区、狮子洋增长极重要承载区，发挥全国先进制造业基地重要承载区、国际科技创新中心重要承载区、海洋产业创新发展区、国家全域旅游示范区的城市核心功能提供坚强有力的交通保障。</w:t>
      </w:r>
    </w:p>
    <w:p w14:paraId="5DDA9EFC">
      <w:pPr>
        <w:pStyle w:val="3"/>
        <w:spacing w:before="156" w:after="156"/>
        <w:ind w:firstLine="562"/>
        <w:rPr>
          <w:rFonts w:ascii="仿宋_GB2312" w:eastAsia="仿宋_GB2312"/>
          <w:b/>
          <w:bCs/>
          <w:color w:val="auto"/>
          <w:sz w:val="28"/>
          <w:szCs w:val="28"/>
        </w:rPr>
      </w:pPr>
      <w:bookmarkStart w:id="24" w:name="_Toc233274602"/>
      <w:r>
        <w:rPr>
          <w:rFonts w:ascii="仿宋_GB2312" w:eastAsia="仿宋_GB2312"/>
          <w:b/>
          <w:bCs/>
          <w:color w:val="auto"/>
          <w:sz w:val="28"/>
          <w:szCs w:val="28"/>
        </w:rPr>
        <w:t>（</w:t>
      </w:r>
      <w:r>
        <w:rPr>
          <w:rFonts w:hint="eastAsia" w:ascii="仿宋_GB2312" w:eastAsia="仿宋_GB2312"/>
          <w:b/>
          <w:bCs/>
          <w:color w:val="auto"/>
          <w:sz w:val="28"/>
          <w:szCs w:val="28"/>
        </w:rPr>
        <w:t>二</w:t>
      </w:r>
      <w:r>
        <w:rPr>
          <w:rFonts w:ascii="仿宋_GB2312" w:eastAsia="仿宋_GB2312"/>
          <w:b/>
          <w:bCs/>
          <w:color w:val="auto"/>
          <w:sz w:val="28"/>
          <w:szCs w:val="28"/>
        </w:rPr>
        <w:t>）</w:t>
      </w:r>
      <w:r>
        <w:rPr>
          <w:rFonts w:hint="eastAsia" w:ascii="仿宋_GB2312" w:eastAsia="仿宋_GB2312"/>
          <w:b/>
          <w:bCs/>
          <w:color w:val="auto"/>
          <w:sz w:val="28"/>
          <w:szCs w:val="28"/>
        </w:rPr>
        <w:t>基本原则</w:t>
      </w:r>
      <w:bookmarkEnd w:id="24"/>
    </w:p>
    <w:p w14:paraId="271218D1">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服务大局、统筹融合。</w:t>
      </w:r>
      <w:r>
        <w:rPr>
          <w:rFonts w:hint="eastAsia" w:ascii="仿宋_GB2312" w:eastAsia="仿宋_GB2312"/>
          <w:sz w:val="28"/>
          <w:szCs w:val="28"/>
        </w:rPr>
        <w:t>全面建设社会主义现代化国家大局，支撑市、区打造新发展格局战略支点，与国家、省、市等规划相衔接，统筹推动综合交通运输体系与国土空间开发保护、产业发展、新型城镇化协调发展，与交通基础设施相关产业融合发展、与其他基础设施共建共享，服务粤港澳大湾区、“一核一带一区”建设，打造外联内畅、互联互通的综合立体交通网。</w:t>
      </w:r>
    </w:p>
    <w:p w14:paraId="7C4ED9A5">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优化存量、精准增量。</w:t>
      </w:r>
      <w:r>
        <w:rPr>
          <w:rFonts w:hint="eastAsia" w:ascii="仿宋_GB2312" w:eastAsia="仿宋_GB2312"/>
          <w:sz w:val="28"/>
          <w:szCs w:val="28"/>
        </w:rPr>
        <w:t>全面提高资源配置效率，推动交通与各类要素资源精准适配，改变粗放式的交通发展模式，为经济社会高质量发展提供有力支撑。以发展新质生产力为核心，对已有的交通基础设施等进行有效整合、改造、优化利用，全面提高配置效率。以需求为导向实现新增交通运输设施的有效供给。</w:t>
      </w:r>
    </w:p>
    <w:p w14:paraId="78009955">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智慧赋能、创新驱动。</w:t>
      </w:r>
      <w:r>
        <w:rPr>
          <w:rFonts w:hint="eastAsia" w:ascii="仿宋_GB2312" w:eastAsia="仿宋_GB2312"/>
          <w:sz w:val="28"/>
          <w:szCs w:val="28"/>
        </w:rPr>
        <w:t>实施创新驱动发展战略，大力发展交通新质生产力，加快智慧交通、绿色交通产业的发展。巩固智慧交通、绿色交通等战略性新兴产业，提前布局低空经济等未来产业，改造提升传统交通基础设施建设、养护、运营及运输活动的智能化、数字化、绿色化水平，为城市高质量建设发展注入新活力。</w:t>
      </w:r>
    </w:p>
    <w:p w14:paraId="4A073E99">
      <w:pPr>
        <w:spacing w:before="0" w:beforeLines="0" w:after="0" w:afterLines="0" w:line="240" w:lineRule="auto"/>
        <w:ind w:firstLine="562"/>
        <w:rPr>
          <w:rFonts w:ascii="仿宋_GB2312" w:eastAsia="仿宋_GB2312"/>
          <w:sz w:val="28"/>
          <w:szCs w:val="28"/>
        </w:rPr>
      </w:pPr>
      <w:r>
        <w:rPr>
          <w:rFonts w:hint="eastAsia" w:ascii="仿宋_GB2312" w:eastAsia="仿宋_GB2312"/>
          <w:b/>
          <w:bCs/>
          <w:sz w:val="28"/>
          <w:szCs w:val="28"/>
        </w:rPr>
        <w:t>以人为本、绿色安全。</w:t>
      </w:r>
      <w:r>
        <w:rPr>
          <w:rFonts w:hint="eastAsia" w:ascii="仿宋_GB2312" w:eastAsia="仿宋_GB2312"/>
          <w:sz w:val="28"/>
          <w:szCs w:val="28"/>
        </w:rPr>
        <w:t>坚持可持续发展理念，顺应人民群众对美好出行和经济高效货运服务的期待和向往，推动运输服务效能系统性优化升级，增强人民群众出行的获得感、幸福感和安全感。落实碳达峰、碳中和要求，促进交通与自然和谐发展。统筹发展和安全，加强交通运输安全与应急保障能力建设。</w:t>
      </w:r>
    </w:p>
    <w:p w14:paraId="12F96301">
      <w:pPr>
        <w:pStyle w:val="3"/>
        <w:spacing w:before="156" w:after="156"/>
        <w:ind w:firstLine="562"/>
        <w:rPr>
          <w:rFonts w:ascii="仿宋_GB2312" w:eastAsia="仿宋_GB2312"/>
          <w:b/>
          <w:bCs/>
          <w:color w:val="auto"/>
          <w:sz w:val="28"/>
          <w:szCs w:val="28"/>
        </w:rPr>
      </w:pPr>
      <w:bookmarkStart w:id="25" w:name="_Toc233274603"/>
      <w:r>
        <w:rPr>
          <w:rFonts w:hint="eastAsia" w:ascii="仿宋_GB2312" w:eastAsia="仿宋_GB2312"/>
          <w:b/>
          <w:bCs/>
          <w:color w:val="auto"/>
          <w:sz w:val="28"/>
          <w:szCs w:val="28"/>
        </w:rPr>
        <w:t>（三）发展目标</w:t>
      </w:r>
      <w:bookmarkEnd w:id="25"/>
    </w:p>
    <w:p w14:paraId="0457D4AA">
      <w:pPr>
        <w:spacing w:before="0" w:beforeLines="0" w:after="0" w:afterLines="0" w:line="240" w:lineRule="auto"/>
        <w:ind w:firstLine="560"/>
        <w:rPr>
          <w:rFonts w:ascii="仿宋_GB2312" w:eastAsia="仿宋_GB2312"/>
          <w:sz w:val="28"/>
          <w:szCs w:val="28"/>
        </w:rPr>
      </w:pPr>
      <w:r>
        <w:rPr>
          <w:rFonts w:hint="eastAsia" w:ascii="仿宋_GB2312" w:eastAsia="仿宋_GB2312"/>
          <w:sz w:val="28"/>
          <w:szCs w:val="28"/>
        </w:rPr>
        <w:t>到2030年，基本建成开放互联、优质高效、智慧绿色、安全韧性的现代化综合立体交通网，主动服务广州“国际性综合交通枢纽集成融合”和“黄金内湾”协同发展，加快融入“全国123出行交通圈”和“全球123快货物流圈”。强化与中心城区、东部中心、南沙新区30分钟互达，与外围综合新城60分钟互达；充分发挥</w:t>
      </w:r>
      <w:r>
        <w:rPr>
          <w:rFonts w:hint="eastAsia" w:ascii="仿宋_GB2312" w:eastAsia="仿宋_GB2312"/>
          <w:sz w:val="28"/>
          <w:szCs w:val="28"/>
          <w:highlight w:val="none"/>
        </w:rPr>
        <w:t>广州南站枢纽</w:t>
      </w:r>
      <w:r>
        <w:rPr>
          <w:rFonts w:hint="eastAsia" w:ascii="仿宋_GB2312" w:eastAsia="仿宋_GB2312"/>
          <w:sz w:val="28"/>
          <w:szCs w:val="28"/>
        </w:rPr>
        <w:t>、莲花山站等枢纽带动作用，推动交通网络更立体畅通、运输服务更优质高效、城乡出行更便捷惠民、交通治理更精细高效、行业发展更低碳智能、体系韧性更可靠，支撑番禺建设“粤港澳大湾区优质生活圈、国家历史文化名城重要承载区、智造创新引领区、狮子洋增长极重要承载区”。</w:t>
      </w:r>
    </w:p>
    <w:p w14:paraId="2ED781C1">
      <w:pPr>
        <w:pStyle w:val="2"/>
        <w:spacing w:before="156" w:after="156"/>
        <w:ind w:firstLine="562"/>
        <w:rPr>
          <w:rFonts w:ascii="仿宋_GB2312" w:eastAsia="仿宋_GB2312"/>
          <w:b/>
          <w:bCs/>
          <w:color w:val="auto"/>
          <w:sz w:val="28"/>
          <w:szCs w:val="28"/>
        </w:rPr>
      </w:pPr>
      <w:bookmarkStart w:id="26" w:name="_Toc233210649"/>
      <w:bookmarkStart w:id="27" w:name="_Toc233274604"/>
      <w:r>
        <w:rPr>
          <w:rFonts w:ascii="仿宋_GB2312" w:eastAsia="仿宋_GB2312"/>
          <w:b/>
          <w:bCs/>
          <w:color w:val="auto"/>
          <w:sz w:val="28"/>
          <w:szCs w:val="28"/>
        </w:rPr>
        <w:t>四、主要任务</w:t>
      </w:r>
      <w:bookmarkEnd w:id="26"/>
      <w:bookmarkEnd w:id="27"/>
    </w:p>
    <w:p w14:paraId="1C9983DC">
      <w:pPr>
        <w:pStyle w:val="3"/>
        <w:spacing w:before="156" w:after="156"/>
        <w:ind w:firstLine="562"/>
        <w:rPr>
          <w:rFonts w:ascii="仿宋_GB2312" w:eastAsia="仿宋_GB2312"/>
          <w:b/>
          <w:bCs/>
          <w:color w:val="auto"/>
          <w:sz w:val="28"/>
          <w:szCs w:val="28"/>
        </w:rPr>
      </w:pPr>
      <w:bookmarkStart w:id="28" w:name="_Toc233274605"/>
      <w:bookmarkStart w:id="29" w:name="_Toc233210650"/>
      <w:r>
        <w:rPr>
          <w:rFonts w:ascii="仿宋_GB2312" w:eastAsia="仿宋_GB2312"/>
          <w:b/>
          <w:bCs/>
          <w:color w:val="auto"/>
          <w:sz w:val="28"/>
          <w:szCs w:val="28"/>
        </w:rPr>
        <w:t>（一）建强大通道：对接2049、链接两核，全面打通湾区骨干联系走廊</w:t>
      </w:r>
      <w:bookmarkEnd w:id="28"/>
      <w:bookmarkEnd w:id="29"/>
    </w:p>
    <w:p w14:paraId="486451FC">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围绕国家综合立体交通网和交通强国建设部署，对接面向2049“两洋南拓、两江东进、老城提质、极点示范”的空间发展要求，构建“外联湾区、内畅南北、江海联动”的对外大通道体系。以湾区轨道快线贯通为牵引，以横向通道补强、纵向通道直连为重点，以港航能级提升和低空交通网络布局为增量支撑，推进国铁、城际、地铁、高快速公路与高等级航道一体衔接，增强番禺区链接中心城区与南沙新区“两核”的枢纽门户功能。</w:t>
      </w:r>
    </w:p>
    <w:p w14:paraId="4BA9F9D4">
      <w:pPr>
        <w:pStyle w:val="4"/>
        <w:spacing w:before="156" w:after="156"/>
        <w:ind w:firstLine="562"/>
        <w:rPr>
          <w:rFonts w:ascii="仿宋_GB2312" w:eastAsia="仿宋_GB2312"/>
          <w:b/>
          <w:bCs/>
          <w:color w:val="auto"/>
          <w:sz w:val="28"/>
          <w:szCs w:val="28"/>
        </w:rPr>
      </w:pPr>
      <w:bookmarkStart w:id="30" w:name="_Toc233210651"/>
      <w:bookmarkStart w:id="31" w:name="_Toc233274606"/>
      <w:r>
        <w:rPr>
          <w:rFonts w:ascii="仿宋_GB2312" w:eastAsia="仿宋_GB2312"/>
          <w:b/>
          <w:bCs/>
          <w:color w:val="auto"/>
          <w:sz w:val="28"/>
          <w:szCs w:val="28"/>
        </w:rPr>
        <w:t>1、全面推进湾区轨道快线贯通工作</w:t>
      </w:r>
      <w:bookmarkEnd w:id="30"/>
      <w:bookmarkEnd w:id="31"/>
    </w:p>
    <w:p w14:paraId="52E20638">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围绕湾区一体化和番禺重点片区发展需求，统筹推进国铁、城际和城市轨道资源衔接，提升对外联系效率和重点功能区轨道覆盖水平。坚持通道预留、建设协同和站城融合，强化</w:t>
      </w:r>
      <w:r>
        <w:rPr>
          <w:rFonts w:ascii="仿宋_GB2312" w:eastAsia="仿宋_GB2312"/>
          <w:sz w:val="28"/>
          <w:szCs w:val="28"/>
          <w:highlight w:val="none"/>
        </w:rPr>
        <w:t>广州南站</w:t>
      </w:r>
      <w:r>
        <w:rPr>
          <w:rFonts w:hint="eastAsia" w:ascii="仿宋_GB2312" w:eastAsia="仿宋_GB2312"/>
          <w:sz w:val="28"/>
          <w:szCs w:val="28"/>
          <w:highlight w:val="none"/>
        </w:rPr>
        <w:t>枢纽</w:t>
      </w:r>
      <w:r>
        <w:rPr>
          <w:rFonts w:ascii="仿宋_GB2312" w:eastAsia="仿宋_GB2312"/>
          <w:sz w:val="28"/>
          <w:szCs w:val="28"/>
        </w:rPr>
        <w:t>与周边枢纽、重点平台之间的快速联系，支撑组团内部、组团之间及对外交通快速通达。</w:t>
      </w:r>
      <w:r>
        <w:rPr>
          <w:rFonts w:hint="eastAsia" w:ascii="仿宋_GB2312" w:eastAsia="仿宋_GB2312"/>
          <w:sz w:val="28"/>
          <w:szCs w:val="28"/>
        </w:rPr>
        <w:t>积极</w:t>
      </w:r>
      <w:r>
        <w:rPr>
          <w:rFonts w:ascii="仿宋_GB2312" w:eastAsia="仿宋_GB2312"/>
          <w:sz w:val="28"/>
          <w:szCs w:val="28"/>
        </w:rPr>
        <w:t>推动轨道资源向国际创新城、广汽研发制造基地、莲花湾片区、市桥中心、增长极中心等重点片区精准投放，提高轨道站点覆盖率和轨道交通服务能力。</w:t>
      </w:r>
    </w:p>
    <w:p w14:paraId="441561C5">
      <w:pPr>
        <w:pStyle w:val="4"/>
        <w:spacing w:before="156" w:after="156"/>
        <w:ind w:firstLine="562"/>
        <w:rPr>
          <w:rFonts w:ascii="仿宋_GB2312" w:eastAsia="仿宋_GB2312"/>
          <w:b/>
          <w:bCs/>
          <w:color w:val="auto"/>
          <w:sz w:val="28"/>
          <w:szCs w:val="28"/>
        </w:rPr>
      </w:pPr>
      <w:bookmarkStart w:id="32" w:name="_Toc233210652"/>
      <w:bookmarkStart w:id="33" w:name="_Toc233274607"/>
      <w:r>
        <w:rPr>
          <w:rFonts w:ascii="仿宋_GB2312" w:eastAsia="仿宋_GB2312"/>
          <w:b/>
          <w:bCs/>
          <w:color w:val="auto"/>
          <w:sz w:val="28"/>
          <w:szCs w:val="28"/>
        </w:rPr>
        <w:t>2、统筹对外快速联系通道扩能提升</w:t>
      </w:r>
      <w:bookmarkEnd w:id="32"/>
      <w:bookmarkEnd w:id="33"/>
    </w:p>
    <w:p w14:paraId="03548ABA">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面向“环珠江口黄金内湾”协同发展需求，补强东西向、南北向快速联系通道，完善跨江跨水道联系和对外出入口组织。坚持存量提能与新增通道研究并重，构建多走廊、可绕行、分层分流的快速通道网络，提升通道冗余度、运行效率与应急保障能力。强化与中心城区、南沙新区、佛山、东莞等方向联系，补强横向快速联系短板和纵向快速联系廊道，支撑狮子洋增长极、南大干线经济带、亚运大道产业带协同发展。</w:t>
      </w:r>
    </w:p>
    <w:p w14:paraId="5D5AB1F9">
      <w:pPr>
        <w:pStyle w:val="4"/>
        <w:spacing w:before="156" w:after="156"/>
        <w:ind w:firstLine="562"/>
        <w:rPr>
          <w:rFonts w:ascii="仿宋_GB2312" w:eastAsia="仿宋_GB2312"/>
          <w:b/>
          <w:bCs/>
          <w:color w:val="auto"/>
          <w:sz w:val="28"/>
          <w:szCs w:val="28"/>
        </w:rPr>
      </w:pPr>
      <w:bookmarkStart w:id="34" w:name="_Toc233210653"/>
      <w:bookmarkStart w:id="35" w:name="_Toc233274608"/>
      <w:r>
        <w:rPr>
          <w:rFonts w:ascii="仿宋_GB2312" w:eastAsia="仿宋_GB2312"/>
          <w:b/>
          <w:bCs/>
          <w:color w:val="auto"/>
          <w:sz w:val="28"/>
          <w:szCs w:val="28"/>
        </w:rPr>
        <w:t>3、促进港航基础设施与服务双升级</w:t>
      </w:r>
      <w:bookmarkEnd w:id="34"/>
      <w:bookmarkEnd w:id="35"/>
    </w:p>
    <w:p w14:paraId="7B6A8455">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以“通航道、强港区、优功能”为主线，推动港航基础设施扩能提质和港口功能优化，增强江海联运、水水中转和港航服务组织能力。围绕国家级沿海渔港经济区和沿江产业空间布局，统筹港口、航道、岸线、产业和文旅资源，推动港航服务由“点状运营”向“网络化组织”升级。同步推进绿色低碳转型和岸线综合利用，提升“港航+文旅”“港航+产业”的综合带动效应，促进港产城融合发展。</w:t>
      </w:r>
    </w:p>
    <w:p w14:paraId="4063B0C8">
      <w:pPr>
        <w:pStyle w:val="4"/>
        <w:spacing w:before="156" w:after="156"/>
        <w:ind w:firstLine="562"/>
        <w:rPr>
          <w:rFonts w:ascii="仿宋_GB2312" w:eastAsia="仿宋_GB2312"/>
          <w:b/>
          <w:bCs/>
          <w:color w:val="auto"/>
          <w:sz w:val="28"/>
          <w:szCs w:val="28"/>
        </w:rPr>
      </w:pPr>
      <w:bookmarkStart w:id="36" w:name="_Toc233274609"/>
      <w:bookmarkStart w:id="37" w:name="_Toc233210654"/>
      <w:r>
        <w:rPr>
          <w:rFonts w:ascii="仿宋_GB2312" w:eastAsia="仿宋_GB2312"/>
          <w:b/>
          <w:bCs/>
          <w:color w:val="auto"/>
          <w:sz w:val="28"/>
          <w:szCs w:val="28"/>
        </w:rPr>
        <w:t>4、探索发展多元化航空服务交通网</w:t>
      </w:r>
      <w:bookmarkEnd w:id="36"/>
      <w:bookmarkEnd w:id="37"/>
    </w:p>
    <w:p w14:paraId="4B81C4E5">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面向城市治理、应急保障、高端出行和物流配送等需求，审慎推进通用航空和低空交通网络研究，完善低空起降、监管、应急和运营服务体系。坚持场景牵引、规范先行和安全可控，探索低空经济与城市治理、产业发展协同应用。依托大学城科研资源和低空经济应用示范基础，推动低空交通在应急救援、交通疏导、养护巡查、物流配送、文旅观光等场景中的规范应用，形成与地面交通、水上交通互补的立体交通服务体系。</w:t>
      </w:r>
    </w:p>
    <w:p w14:paraId="4C6B4FAB">
      <w:pPr>
        <w:pStyle w:val="3"/>
        <w:spacing w:before="156" w:after="156"/>
        <w:ind w:firstLine="562"/>
        <w:rPr>
          <w:rFonts w:ascii="仿宋_GB2312" w:eastAsia="仿宋_GB2312"/>
          <w:b/>
          <w:bCs/>
          <w:color w:val="auto"/>
          <w:sz w:val="28"/>
          <w:szCs w:val="28"/>
        </w:rPr>
      </w:pPr>
      <w:bookmarkStart w:id="38" w:name="_Toc233274610"/>
      <w:bookmarkStart w:id="39" w:name="_Toc233210655"/>
      <w:r>
        <w:rPr>
          <w:rFonts w:ascii="仿宋_GB2312" w:eastAsia="仿宋_GB2312"/>
          <w:b/>
          <w:bCs/>
          <w:color w:val="auto"/>
          <w:sz w:val="28"/>
          <w:szCs w:val="28"/>
        </w:rPr>
        <w:t>（二）做优大枢纽：融入湾区、转型升级，构建高能级综合集疏运平台</w:t>
      </w:r>
      <w:bookmarkEnd w:id="38"/>
      <w:bookmarkEnd w:id="39"/>
    </w:p>
    <w:p w14:paraId="4BDC4217">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紧扣广州市“国际性综合交通枢纽”建设部署，围绕</w:t>
      </w:r>
      <w:r>
        <w:rPr>
          <w:rFonts w:ascii="仿宋_GB2312" w:eastAsia="仿宋_GB2312"/>
          <w:sz w:val="28"/>
          <w:szCs w:val="28"/>
          <w:highlight w:val="none"/>
        </w:rPr>
        <w:t>广州南站</w:t>
      </w:r>
      <w:r>
        <w:rPr>
          <w:rFonts w:hint="eastAsia" w:ascii="仿宋_GB2312" w:eastAsia="仿宋_GB2312"/>
          <w:sz w:val="28"/>
          <w:szCs w:val="28"/>
          <w:highlight w:val="none"/>
        </w:rPr>
        <w:t>枢纽</w:t>
      </w:r>
      <w:r>
        <w:rPr>
          <w:rFonts w:ascii="仿宋_GB2312" w:eastAsia="仿宋_GB2312"/>
          <w:sz w:val="28"/>
          <w:szCs w:val="28"/>
        </w:rPr>
        <w:t>、莲花山港、龙沙码头等关键节点，打造布局合理、功能完备、集疏运高效的客货运综合枢纽体系。以TOD和地下空间综合开发提升枢纽集聚与站城融合水平，以站内外一体化衔接、联程联运和货运通道完善提升换乘与集疏运效率，以多式联运、公转铁、公转水、冷链、地下物流与低空配送等举措推动物流降本增效。</w:t>
      </w:r>
    </w:p>
    <w:p w14:paraId="5BE04691">
      <w:pPr>
        <w:pStyle w:val="4"/>
        <w:spacing w:before="156" w:after="156"/>
        <w:ind w:firstLine="562"/>
        <w:rPr>
          <w:rFonts w:ascii="仿宋_GB2312" w:eastAsia="仿宋_GB2312"/>
          <w:b/>
          <w:bCs/>
          <w:color w:val="auto"/>
          <w:sz w:val="28"/>
          <w:szCs w:val="28"/>
        </w:rPr>
      </w:pPr>
      <w:bookmarkStart w:id="40" w:name="_Toc233274611"/>
      <w:bookmarkStart w:id="41" w:name="_Toc233210656"/>
      <w:r>
        <w:rPr>
          <w:rFonts w:ascii="仿宋_GB2312" w:eastAsia="仿宋_GB2312"/>
          <w:b/>
          <w:bCs/>
          <w:color w:val="auto"/>
          <w:sz w:val="28"/>
          <w:szCs w:val="28"/>
        </w:rPr>
        <w:t>1、打造多层一体综合交通枢纽体系</w:t>
      </w:r>
      <w:bookmarkEnd w:id="40"/>
      <w:bookmarkEnd w:id="41"/>
    </w:p>
    <w:p w14:paraId="46001D30">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以综合客运枢纽为牵引，完善国家级枢纽、区域节点和城市站点多层级体系，提升站内外换乘、集疏运组织和公共服务能力。围绕“强换乘、强集疏、强配套”，完善枢纽周边道路、公交首末站、P+R、慢行连廊、上落客区等接驳体系，提升“到站即换、换乘可预期”的服务水平。推动客货枢纽与城市功能、产业空间和用地开发融合发展，促进枢纽能级提升与城市功能升级双向赋能。</w:t>
      </w:r>
    </w:p>
    <w:p w14:paraId="0D6CA597">
      <w:pPr>
        <w:pStyle w:val="4"/>
        <w:spacing w:before="156" w:after="156"/>
        <w:ind w:firstLine="562"/>
        <w:rPr>
          <w:rFonts w:ascii="仿宋_GB2312" w:eastAsia="仿宋_GB2312"/>
          <w:sz w:val="28"/>
          <w:szCs w:val="28"/>
        </w:rPr>
      </w:pPr>
      <w:bookmarkStart w:id="42" w:name="_Toc233274612"/>
      <w:bookmarkStart w:id="43" w:name="_Toc233210657"/>
      <w:r>
        <w:rPr>
          <w:rFonts w:ascii="仿宋_GB2312" w:eastAsia="仿宋_GB2312"/>
          <w:b/>
          <w:bCs/>
          <w:color w:val="auto"/>
          <w:sz w:val="28"/>
          <w:szCs w:val="28"/>
        </w:rPr>
        <w:t>2、提供便捷舒适经济高效运输服务</w:t>
      </w:r>
      <w:bookmarkEnd w:id="42"/>
      <w:bookmarkEnd w:id="43"/>
    </w:p>
    <w:p w14:paraId="1C193B98">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完善“快线+干线+支线/微循环线”的公交服务体系，优化轨道站点、重点社区、园区和公共服务节点的接驳组织，提升公共交通可达性与时效性。同步提高客运联程服务、公交适老适儿和无障碍服务水平，推动旅客联程联运和换乘服务优化。以降低物流成本为导向，推动货运结构优化和多式联运发展，促进公路、铁路、水运高效衔接，提高货物中转效率和贸易便利化水平。</w:t>
      </w:r>
    </w:p>
    <w:p w14:paraId="0F0FF05E">
      <w:pPr>
        <w:pStyle w:val="4"/>
        <w:spacing w:before="156" w:after="156"/>
        <w:ind w:firstLine="562"/>
        <w:rPr>
          <w:rFonts w:ascii="仿宋_GB2312" w:eastAsia="仿宋_GB2312"/>
          <w:b/>
          <w:bCs/>
          <w:color w:val="auto"/>
          <w:sz w:val="28"/>
          <w:szCs w:val="28"/>
        </w:rPr>
      </w:pPr>
      <w:bookmarkStart w:id="44" w:name="_Toc233210658"/>
      <w:bookmarkStart w:id="45" w:name="_Toc233274613"/>
      <w:r>
        <w:rPr>
          <w:rFonts w:ascii="仿宋_GB2312" w:eastAsia="仿宋_GB2312"/>
          <w:b/>
          <w:bCs/>
          <w:color w:val="auto"/>
          <w:sz w:val="28"/>
          <w:szCs w:val="28"/>
        </w:rPr>
        <w:t>3、促进客货运输服务模式业态创新</w:t>
      </w:r>
      <w:bookmarkEnd w:id="44"/>
      <w:bookmarkEnd w:id="45"/>
    </w:p>
    <w:p w14:paraId="7184F7D3">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围绕通勤、通学、就医、文旅、消费和物流配送等高频场景，支持响应式、定制化和数字化服务模式研究，形成与常规公交、传统货运互补的服务供给。发展通学专线、适老化专线、旅游专线、需求响应式动态巴士等服务，提升公共交通精细化水平。推动城市配送、地下物流、无人配送、低空物流等新模式研究，完善信息平台、标准化作业、监管与应急条件，推动客货运输向高效率、低干扰、可监管方向升级。</w:t>
      </w:r>
    </w:p>
    <w:p w14:paraId="152443E7">
      <w:pPr>
        <w:pStyle w:val="4"/>
        <w:spacing w:before="156" w:after="156"/>
        <w:ind w:firstLine="562"/>
        <w:rPr>
          <w:rFonts w:ascii="仿宋_GB2312" w:eastAsia="仿宋_GB2312"/>
          <w:b/>
          <w:bCs/>
          <w:color w:val="auto"/>
          <w:sz w:val="28"/>
          <w:szCs w:val="28"/>
        </w:rPr>
      </w:pPr>
      <w:bookmarkStart w:id="46" w:name="_Toc233210659"/>
      <w:bookmarkStart w:id="47" w:name="_Toc233274614"/>
      <w:r>
        <w:rPr>
          <w:rFonts w:ascii="仿宋_GB2312" w:eastAsia="仿宋_GB2312"/>
          <w:b/>
          <w:bCs/>
          <w:color w:val="auto"/>
          <w:sz w:val="28"/>
          <w:szCs w:val="28"/>
        </w:rPr>
        <w:t>4、加速“交通+”其他业态融合发展</w:t>
      </w:r>
      <w:bookmarkEnd w:id="46"/>
      <w:bookmarkEnd w:id="47"/>
    </w:p>
    <w:p w14:paraId="2B4DBE46">
      <w:pPr>
        <w:spacing w:before="0" w:beforeLines="0" w:after="0" w:afterLines="0" w:line="240" w:lineRule="auto"/>
        <w:ind w:firstLine="560"/>
      </w:pPr>
      <w:r>
        <w:rPr>
          <w:rFonts w:ascii="仿宋_GB2312" w:eastAsia="仿宋_GB2312"/>
          <w:sz w:val="28"/>
          <w:szCs w:val="28"/>
        </w:rPr>
        <w:t>加强交通运输与产业体系、文旅消费、城市服务等领域协同，提升供应链组织效率和交通资源综合利用水平。围绕“3+5+1”重点产业体系，发展汽车物流、精密仪器运输、医药冷链、城市配送等专业化物流服务，支撑现代产业体系发展。推动交通枢纽流量向商务、会展、旅游和消费场景转化，强化城市公共交通与重点景区、枢纽节点之间的衔接，打造更便利、更友好的湾区宜游生活圈。</w:t>
      </w:r>
    </w:p>
    <w:p w14:paraId="60895699">
      <w:pPr>
        <w:pStyle w:val="3"/>
        <w:spacing w:before="156" w:after="156"/>
        <w:ind w:firstLine="562"/>
        <w:rPr>
          <w:rFonts w:ascii="仿宋_GB2312" w:eastAsia="仿宋_GB2312"/>
          <w:b/>
          <w:bCs/>
          <w:color w:val="auto"/>
          <w:sz w:val="28"/>
          <w:szCs w:val="28"/>
        </w:rPr>
      </w:pPr>
      <w:bookmarkStart w:id="48" w:name="_Toc233274615"/>
      <w:bookmarkStart w:id="49" w:name="_Toc233210660"/>
      <w:r>
        <w:rPr>
          <w:rFonts w:ascii="仿宋_GB2312" w:eastAsia="仿宋_GB2312"/>
          <w:b/>
          <w:bCs/>
          <w:color w:val="auto"/>
          <w:sz w:val="28"/>
          <w:szCs w:val="28"/>
        </w:rPr>
        <w:t>（三）织密道路网：补网强链、精细提升，贯通主次干道织补街巷堵点</w:t>
      </w:r>
      <w:bookmarkEnd w:id="48"/>
      <w:bookmarkEnd w:id="49"/>
    </w:p>
    <w:p w14:paraId="0FCC1D40">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对标番禺区国土空间规划和狮子洋增长极、南大干线经济带、亚运大道产业带等重大平台布局，统筹推进主干道贯通成网、次支路织补微循环、城市更新配套路网与路域环境整治协同提升，构建“主轴支撑、纵横成网、街区畅达”的道路网络体系，补齐东部通道与过江联系短板，为产业集聚、城市功能提升和民生便捷出行提供承载。</w:t>
      </w:r>
    </w:p>
    <w:p w14:paraId="248AE8C8">
      <w:pPr>
        <w:pStyle w:val="4"/>
        <w:spacing w:before="156" w:after="156"/>
        <w:ind w:firstLine="562"/>
        <w:rPr>
          <w:rFonts w:ascii="仿宋_GB2312" w:eastAsia="仿宋_GB2312"/>
          <w:b/>
          <w:bCs/>
          <w:color w:val="auto"/>
          <w:sz w:val="28"/>
          <w:szCs w:val="28"/>
        </w:rPr>
      </w:pPr>
      <w:bookmarkStart w:id="50" w:name="_Toc233274616"/>
      <w:bookmarkStart w:id="51" w:name="_Toc233210661"/>
      <w:r>
        <w:rPr>
          <w:rFonts w:ascii="仿宋_GB2312" w:eastAsia="仿宋_GB2312"/>
          <w:b/>
          <w:bCs/>
          <w:color w:val="auto"/>
          <w:sz w:val="28"/>
          <w:szCs w:val="28"/>
        </w:rPr>
        <w:t>1、持续优化内部主干骨架道路网络</w:t>
      </w:r>
      <w:bookmarkEnd w:id="50"/>
      <w:bookmarkEnd w:id="51"/>
    </w:p>
    <w:p w14:paraId="001113E8">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围绕“贯通主轴、补齐短板、提升节点、增强韧性”，持续完善内部主干骨架道路网络，强化东西向、南北向和跨组团联系。推动主干道和关键横纵向联络线分段贯通，完善沿江、跨组团和重点园区联系通道，提升南北向集散与对外衔接能力。统筹生活性交通、产业交通和过境交通分流组织，优化瓶颈节点和重点走廊运行条件，提升骨架路网承载力、运行效率和安全韧性。</w:t>
      </w:r>
    </w:p>
    <w:p w14:paraId="2A355731">
      <w:pPr>
        <w:pStyle w:val="4"/>
        <w:spacing w:before="156" w:after="156"/>
        <w:ind w:firstLine="562"/>
        <w:rPr>
          <w:rFonts w:ascii="仿宋_GB2312" w:eastAsia="仿宋_GB2312"/>
          <w:b/>
          <w:bCs/>
          <w:color w:val="auto"/>
          <w:sz w:val="28"/>
          <w:szCs w:val="28"/>
        </w:rPr>
      </w:pPr>
      <w:bookmarkStart w:id="52" w:name="_Toc233210662"/>
      <w:bookmarkStart w:id="53" w:name="_Toc233274617"/>
      <w:r>
        <w:rPr>
          <w:rFonts w:ascii="仿宋_GB2312" w:eastAsia="仿宋_GB2312"/>
          <w:b/>
          <w:bCs/>
          <w:color w:val="auto"/>
          <w:sz w:val="28"/>
          <w:szCs w:val="28"/>
        </w:rPr>
        <w:t>2、统筹完善次支路与农村公路建设</w:t>
      </w:r>
      <w:bookmarkEnd w:id="52"/>
      <w:bookmarkEnd w:id="53"/>
    </w:p>
    <w:p w14:paraId="5B5EB736">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窄马路、密路网”与片区功能导向相结合，织密城市次支路网络，打通断头路和微循环节点，强化与轨道站点、主干通道、社区和园区的衔接。围绕产业园区、物流节点、重大平台和成熟居住片区，完善内部道路与交通组织，推动“建成一批、成网一片、见效一圈”。持续深化“四好农村路”高质量发展，加强农村老旧公路改造、过窄公路拓宽、安防设施完善和客货邮融合，提升城乡交通均衡服务水平。</w:t>
      </w:r>
    </w:p>
    <w:p w14:paraId="5BA773DF">
      <w:pPr>
        <w:pStyle w:val="4"/>
        <w:spacing w:before="156" w:after="156"/>
        <w:ind w:firstLine="562"/>
        <w:rPr>
          <w:rFonts w:ascii="仿宋_GB2312" w:eastAsia="仿宋_GB2312"/>
          <w:b/>
          <w:bCs/>
          <w:color w:val="auto"/>
          <w:sz w:val="28"/>
          <w:szCs w:val="28"/>
        </w:rPr>
      </w:pPr>
      <w:bookmarkStart w:id="54" w:name="_Toc233274618"/>
      <w:bookmarkStart w:id="55" w:name="_Toc233210663"/>
      <w:r>
        <w:rPr>
          <w:rFonts w:ascii="仿宋_GB2312" w:eastAsia="仿宋_GB2312"/>
          <w:b/>
          <w:bCs/>
          <w:color w:val="auto"/>
          <w:sz w:val="28"/>
          <w:szCs w:val="28"/>
        </w:rPr>
        <w:t>3、系统推进道路精细化改造与治理</w:t>
      </w:r>
      <w:bookmarkEnd w:id="54"/>
      <w:bookmarkEnd w:id="55"/>
    </w:p>
    <w:p w14:paraId="4215295F">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把道路微改造作为主次干道提能和安全提升的重要抓手，统筹路面结构、慢行空间、公交停靠、信号控制和街道环境优化。结合城市更新和路域环境整治，完善消防、步行、非机动车和停车组织，推动街巷路网织补与公共服务设施、商业业态、社区生活协同提升。强化交通噪声、排水防涝、桥梁安全、照明通信和违法监管等综合治理，提升街区通行品质和道路全寿命安全韧性。</w:t>
      </w:r>
    </w:p>
    <w:p w14:paraId="40E108EA">
      <w:pPr>
        <w:pStyle w:val="3"/>
        <w:spacing w:before="156" w:after="156"/>
        <w:ind w:firstLine="562"/>
        <w:rPr>
          <w:rFonts w:ascii="仿宋_GB2312" w:eastAsia="仿宋_GB2312"/>
          <w:b/>
          <w:bCs/>
          <w:color w:val="auto"/>
          <w:sz w:val="28"/>
          <w:szCs w:val="28"/>
        </w:rPr>
      </w:pPr>
      <w:bookmarkStart w:id="56" w:name="_Toc233274619"/>
      <w:bookmarkStart w:id="57" w:name="_Toc233210664"/>
      <w:r>
        <w:rPr>
          <w:rFonts w:ascii="仿宋_GB2312" w:eastAsia="仿宋_GB2312"/>
          <w:b/>
          <w:bCs/>
          <w:color w:val="auto"/>
          <w:sz w:val="28"/>
          <w:szCs w:val="28"/>
        </w:rPr>
        <w:t>（四）深耕小而美：聚焦民生、小微织补，实施高质量惠民生交通工程</w:t>
      </w:r>
      <w:bookmarkEnd w:id="56"/>
      <w:bookmarkEnd w:id="57"/>
    </w:p>
    <w:p w14:paraId="141FC5F6">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可落地、可实施、很迫切、高效益”原则，精准实施“小而美”民生交通改造工程。以“15分钟便民出行圈”为牵引，围绕停车、慢行、堵点治理三大板块补短强弱，通过路内外停车资源联动与智慧治理缓解停车矛盾，通过非机动车道改造、立体过街连通与电动自行车整治提升慢行品质与安全，通过交通堵点黑点精细化治理提升出行效率，支撑湾区优质生活圈建设。</w:t>
      </w:r>
    </w:p>
    <w:p w14:paraId="21FA36C0">
      <w:pPr>
        <w:pStyle w:val="4"/>
        <w:spacing w:before="156" w:after="156"/>
        <w:ind w:firstLine="562"/>
        <w:rPr>
          <w:rFonts w:ascii="仿宋_GB2312" w:eastAsia="仿宋_GB2312"/>
          <w:b/>
          <w:bCs/>
          <w:color w:val="auto"/>
          <w:sz w:val="28"/>
          <w:szCs w:val="28"/>
        </w:rPr>
      </w:pPr>
      <w:bookmarkStart w:id="58" w:name="_Toc233210665"/>
      <w:bookmarkStart w:id="59" w:name="_Toc233274620"/>
      <w:r>
        <w:rPr>
          <w:rFonts w:ascii="仿宋_GB2312" w:eastAsia="仿宋_GB2312"/>
          <w:b/>
          <w:bCs/>
          <w:color w:val="auto"/>
          <w:sz w:val="28"/>
          <w:szCs w:val="28"/>
        </w:rPr>
        <w:t>1、建管齐下着力缓解城市停车难题</w:t>
      </w:r>
      <w:bookmarkEnd w:id="58"/>
      <w:bookmarkEnd w:id="59"/>
    </w:p>
    <w:p w14:paraId="17132910">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路外为主、路内补充、智慧管理、共享利用”，统筹推进公共停车设施供给、路内泊位管理、错时共享和智能引导。重点围绕老旧小区、学校、医院、商圈景点和交通枢纽等高需求区域补短板，鼓励公共停车场立体化、复合化开发利用。强化路内泊位功能定位和动态调整，推动“短停快走、退路入库”，并通过智能停车引导、经营性停车场备案、数据接入和违法停车治理，提升停车治理精细化、规范化和智慧化水平。</w:t>
      </w:r>
    </w:p>
    <w:p w14:paraId="551AFEF6">
      <w:pPr>
        <w:pStyle w:val="4"/>
        <w:spacing w:before="156" w:after="156"/>
        <w:ind w:firstLine="562"/>
        <w:rPr>
          <w:rFonts w:ascii="仿宋_GB2312" w:eastAsia="仿宋_GB2312"/>
          <w:b/>
          <w:bCs/>
          <w:color w:val="auto"/>
          <w:sz w:val="28"/>
          <w:szCs w:val="28"/>
        </w:rPr>
      </w:pPr>
      <w:bookmarkStart w:id="60" w:name="_Toc233210666"/>
      <w:bookmarkStart w:id="61" w:name="_Toc233274621"/>
      <w:r>
        <w:rPr>
          <w:rFonts w:ascii="仿宋_GB2312" w:eastAsia="仿宋_GB2312"/>
          <w:b/>
          <w:bCs/>
          <w:color w:val="auto"/>
          <w:sz w:val="28"/>
          <w:szCs w:val="28"/>
        </w:rPr>
        <w:t>2、有序构建广覆盖高品质慢行网络</w:t>
      </w:r>
      <w:bookmarkEnd w:id="60"/>
      <w:bookmarkEnd w:id="61"/>
    </w:p>
    <w:p w14:paraId="07B40D65">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系统连续与精细友好，构建“主廊道+连通道+休闲道”的非机动车和步行网络。严格落实慢行空间保障要求，优先补齐现状道路非机动车专用道不足、连续性不强和过街不便等短板，强化学校、医院、商圈、轨道站点、滨水空间和居住区周边慢行设施衔接。统筹推进非机动车道、立体过街、碧道、绿道和滨水慢行空间建设，提升绿色出行安全性、舒适性和吸引力。</w:t>
      </w:r>
    </w:p>
    <w:p w14:paraId="21728FFE">
      <w:pPr>
        <w:pStyle w:val="4"/>
        <w:spacing w:before="156" w:after="156"/>
        <w:ind w:firstLine="562"/>
        <w:rPr>
          <w:rFonts w:ascii="仿宋_GB2312" w:eastAsia="仿宋_GB2312"/>
          <w:b/>
          <w:bCs/>
          <w:color w:val="auto"/>
          <w:sz w:val="28"/>
          <w:szCs w:val="28"/>
        </w:rPr>
      </w:pPr>
      <w:bookmarkStart w:id="62" w:name="_Toc233274622"/>
      <w:bookmarkStart w:id="63" w:name="_Toc233210667"/>
      <w:r>
        <w:rPr>
          <w:rFonts w:ascii="仿宋_GB2312" w:eastAsia="仿宋_GB2312"/>
          <w:b/>
          <w:bCs/>
          <w:color w:val="auto"/>
          <w:sz w:val="28"/>
          <w:szCs w:val="28"/>
        </w:rPr>
        <w:t>3、以精细化治理破解城市拥堵堵点</w:t>
      </w:r>
      <w:bookmarkEnd w:id="62"/>
      <w:bookmarkEnd w:id="63"/>
    </w:p>
    <w:p w14:paraId="430AD4DF">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一路一策、一路一套交通组织方案”，通过交叉口渠化、车道功能重构、信号配时优化、慢行秩序整治和违法停车治理等方式，持续破解热点片区、学校医院周边和重点走廊拥堵问题。加强交通运行监测、拥堵点滚动排查和治理效果评估，推动交通堵点治理由单点改造向片区统筹转变。同步强化电动自行车、停车秩序、通学路径和重点节点安全治理，提升路网运行效率和出行安全水平。</w:t>
      </w:r>
    </w:p>
    <w:p w14:paraId="11954170">
      <w:pPr>
        <w:pStyle w:val="3"/>
        <w:spacing w:before="156" w:after="156"/>
        <w:ind w:firstLine="562"/>
        <w:rPr>
          <w:rFonts w:ascii="仿宋_GB2312" w:eastAsia="仿宋_GB2312"/>
          <w:b/>
          <w:bCs/>
          <w:color w:val="auto"/>
          <w:sz w:val="28"/>
          <w:szCs w:val="28"/>
        </w:rPr>
      </w:pPr>
      <w:bookmarkStart w:id="64" w:name="_Toc233210668"/>
      <w:bookmarkStart w:id="65" w:name="_Toc233274623"/>
      <w:r>
        <w:rPr>
          <w:rFonts w:ascii="仿宋_GB2312" w:eastAsia="仿宋_GB2312"/>
          <w:b/>
          <w:bCs/>
          <w:color w:val="auto"/>
          <w:sz w:val="28"/>
          <w:szCs w:val="28"/>
        </w:rPr>
        <w:t>（五）赋能大产业：三化转型、场景牵引，加快培育交通业新质生产力</w:t>
      </w:r>
      <w:bookmarkEnd w:id="64"/>
      <w:bookmarkEnd w:id="65"/>
    </w:p>
    <w:p w14:paraId="25FC11AC">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紧扣加快科技自立自强、引领发展新质生产力的部署，坚持“项目牵引+制度创新”双轮驱动，以产业平台路网完善为先导，以绿色化、数字化、智慧化“三化转型”为主线，以低空交通、自动驾驶与智慧物流等场景为突破口，同步健全“陆水空”立体应急交通体系，推动交通由“通道支撑”向“产业赋能、治理增效、韧性提升”转变。</w:t>
      </w:r>
    </w:p>
    <w:p w14:paraId="523EBEDD">
      <w:pPr>
        <w:pStyle w:val="4"/>
        <w:spacing w:before="156" w:after="156"/>
        <w:ind w:firstLine="562"/>
        <w:rPr>
          <w:rFonts w:ascii="仿宋_GB2312" w:eastAsia="仿宋_GB2312"/>
          <w:b/>
          <w:bCs/>
          <w:color w:val="auto"/>
          <w:sz w:val="28"/>
          <w:szCs w:val="28"/>
        </w:rPr>
      </w:pPr>
      <w:bookmarkStart w:id="66" w:name="_Toc233274624"/>
      <w:bookmarkStart w:id="67" w:name="_Toc233210669"/>
      <w:r>
        <w:rPr>
          <w:rFonts w:ascii="仿宋_GB2312" w:eastAsia="仿宋_GB2312"/>
          <w:b/>
          <w:bCs/>
          <w:color w:val="auto"/>
          <w:sz w:val="28"/>
          <w:szCs w:val="28"/>
        </w:rPr>
        <w:t>1、加强重点产业园区配套道路建设</w:t>
      </w:r>
      <w:bookmarkEnd w:id="66"/>
      <w:bookmarkEnd w:id="67"/>
    </w:p>
    <w:p w14:paraId="04B380B5">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将产业园区配套路网建设作为做强产业平台、提升营商环境和培育新质生产力的重</w:t>
      </w:r>
      <w:r>
        <w:rPr>
          <w:rFonts w:ascii="仿宋_GB2312" w:eastAsia="仿宋_GB2312"/>
          <w:sz w:val="28"/>
          <w:szCs w:val="28"/>
          <w:highlight w:val="none"/>
        </w:rPr>
        <w:t>要抓手，推动园区内部道路、对外通道和公共交通接驳协同完善。围绕未来重点培育和持续发展的产业园区、产业平台，提前谋划储备一批项目，增强园区开发建设的交通支撑能力。</w:t>
      </w:r>
      <w:r>
        <w:rPr>
          <w:rFonts w:ascii="仿宋_GB2312" w:eastAsia="仿宋_GB2312"/>
          <w:sz w:val="28"/>
          <w:szCs w:val="28"/>
        </w:rPr>
        <w:t>坚持“园区成环、走廊成网、枢纽成链”，加强重点园区、产业平台、交通枢纽、物流节点和生活配套之间的道路联系。加强道路建设与园区开发、物流组织、员工通勤和慢行环境的一体化安排，提升产业平台综合承载能力，形成“产业走廊可达、园区运行高效、要素流动顺畅”的交通支撑体系。</w:t>
      </w:r>
    </w:p>
    <w:p w14:paraId="73913524">
      <w:pPr>
        <w:pStyle w:val="4"/>
        <w:spacing w:before="156" w:after="156"/>
        <w:ind w:firstLine="562"/>
        <w:rPr>
          <w:rFonts w:ascii="仿宋_GB2312" w:eastAsia="仿宋_GB2312"/>
          <w:b/>
          <w:bCs/>
          <w:color w:val="auto"/>
          <w:sz w:val="28"/>
          <w:szCs w:val="28"/>
        </w:rPr>
      </w:pPr>
      <w:bookmarkStart w:id="68" w:name="_Toc233274625"/>
      <w:bookmarkStart w:id="69" w:name="_Toc233210670"/>
      <w:r>
        <w:rPr>
          <w:rFonts w:ascii="仿宋_GB2312" w:eastAsia="仿宋_GB2312"/>
          <w:b/>
          <w:bCs/>
          <w:color w:val="auto"/>
          <w:sz w:val="28"/>
          <w:szCs w:val="28"/>
        </w:rPr>
        <w:t>2、构建绿色智慧数字交通发展体系</w:t>
      </w:r>
      <w:bookmarkEnd w:id="68"/>
      <w:bookmarkEnd w:id="69"/>
    </w:p>
    <w:p w14:paraId="24B09F17">
      <w:pPr>
        <w:spacing w:before="0" w:beforeLines="0" w:after="0" w:afterLines="0" w:line="240" w:lineRule="auto"/>
        <w:ind w:firstLine="560"/>
        <w:rPr>
          <w:rFonts w:ascii="仿宋_GB2312" w:eastAsia="仿宋_GB2312"/>
          <w:sz w:val="28"/>
          <w:szCs w:val="28"/>
          <w:highlight w:val="none"/>
        </w:rPr>
      </w:pPr>
      <w:r>
        <w:rPr>
          <w:rFonts w:ascii="仿宋_GB2312" w:eastAsia="仿宋_GB2312"/>
          <w:sz w:val="28"/>
          <w:szCs w:val="28"/>
        </w:rPr>
        <w:t>坚持绿色化、数字化、集约化方向，推动交通基础设施建设、养护、运营和治理全过程低碳转型。巩固公交出租电动化成果，推动交通物流和城市交通管理数字化发展，提升交通运行数据汇聚、综合监测、决策支持和应急协调能力。</w:t>
      </w:r>
      <w:r>
        <w:rPr>
          <w:rFonts w:ascii="仿宋_GB2312" w:eastAsia="仿宋_GB2312"/>
          <w:sz w:val="28"/>
          <w:szCs w:val="28"/>
          <w:highlight w:val="none"/>
        </w:rPr>
        <w:t>做好自动驾驶、无人配送等政策衔接、场景论证</w:t>
      </w:r>
      <w:r>
        <w:rPr>
          <w:rFonts w:hint="eastAsia" w:ascii="仿宋_GB2312" w:eastAsia="仿宋_GB2312"/>
          <w:sz w:val="28"/>
          <w:szCs w:val="28"/>
          <w:highlight w:val="none"/>
        </w:rPr>
        <w:t>相关工作</w:t>
      </w:r>
      <w:r>
        <w:rPr>
          <w:rFonts w:ascii="仿宋_GB2312" w:eastAsia="仿宋_GB2312"/>
          <w:sz w:val="28"/>
          <w:szCs w:val="28"/>
          <w:highlight w:val="none"/>
        </w:rPr>
        <w:t>。</w:t>
      </w:r>
    </w:p>
    <w:p w14:paraId="26D3F652">
      <w:pPr>
        <w:pStyle w:val="4"/>
        <w:spacing w:before="156" w:after="156"/>
        <w:ind w:firstLine="562"/>
        <w:rPr>
          <w:rFonts w:ascii="仿宋_GB2312" w:eastAsia="仿宋_GB2312"/>
          <w:b/>
          <w:bCs/>
          <w:color w:val="auto"/>
          <w:sz w:val="28"/>
          <w:szCs w:val="28"/>
        </w:rPr>
      </w:pPr>
      <w:bookmarkStart w:id="70" w:name="_Toc233210671"/>
      <w:bookmarkStart w:id="71" w:name="_Toc233274626"/>
      <w:r>
        <w:rPr>
          <w:rFonts w:ascii="仿宋_GB2312" w:eastAsia="仿宋_GB2312"/>
          <w:b/>
          <w:bCs/>
          <w:color w:val="auto"/>
          <w:sz w:val="28"/>
          <w:szCs w:val="28"/>
        </w:rPr>
        <w:t>3、以低空引领交通新质生产力发展</w:t>
      </w:r>
      <w:bookmarkEnd w:id="70"/>
      <w:bookmarkEnd w:id="71"/>
    </w:p>
    <w:p w14:paraId="2C9D6DC6">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场景牵引、示范先行、安全可控，审慎探索低空出行、低空物流、应急救援和城市治理等应用场景。完善低空交通规划、运行组织、设施分类管理和协同监管研究，促进低空制造、运营服务和人才培育等产业要素集聚。推动低空经济与交通疏导、应急指挥调度、养护巡查、路政巡查、文旅观光和物流配送等场景协同，形成“低空新通道”与“治理新工具”的综合赋能。</w:t>
      </w:r>
    </w:p>
    <w:p w14:paraId="2E89116F">
      <w:pPr>
        <w:pStyle w:val="4"/>
        <w:spacing w:before="156" w:after="156"/>
        <w:ind w:firstLine="562"/>
        <w:rPr>
          <w:rFonts w:ascii="仿宋_GB2312" w:eastAsia="仿宋_GB2312"/>
          <w:sz w:val="28"/>
          <w:szCs w:val="28"/>
        </w:rPr>
      </w:pPr>
      <w:bookmarkStart w:id="72" w:name="_Toc233274627"/>
      <w:bookmarkStart w:id="73" w:name="_Toc233210672"/>
      <w:r>
        <w:rPr>
          <w:rFonts w:ascii="仿宋_GB2312" w:eastAsia="仿宋_GB2312"/>
          <w:b/>
          <w:bCs/>
          <w:color w:val="auto"/>
          <w:sz w:val="28"/>
          <w:szCs w:val="28"/>
        </w:rPr>
        <w:t>4、建立信息化立体化应急交通系统</w:t>
      </w:r>
      <w:bookmarkEnd w:id="72"/>
      <w:bookmarkEnd w:id="73"/>
    </w:p>
    <w:p w14:paraId="5B6E9442">
      <w:pPr>
        <w:spacing w:before="0" w:beforeLines="0" w:after="0" w:afterLines="0" w:line="240" w:lineRule="auto"/>
        <w:ind w:firstLine="560"/>
        <w:rPr>
          <w:rFonts w:ascii="仿宋_GB2312" w:eastAsia="仿宋_GB2312"/>
          <w:sz w:val="28"/>
          <w:szCs w:val="28"/>
        </w:rPr>
      </w:pPr>
      <w:r>
        <w:rPr>
          <w:rFonts w:ascii="仿宋_GB2312" w:eastAsia="仿宋_GB2312"/>
          <w:sz w:val="28"/>
          <w:szCs w:val="28"/>
        </w:rPr>
        <w:t>坚持“平急两用、主动防御、统一指挥、协同联动”，完善交通运输应急预案、物资储备、调度组织和抢险救援体系。统筹陆上、水上和低空应急保障能力建设，强化基础设施健康监测、灾害预警和应急通道保障。围绕极端天气、突发公共事件、重大活动保障和重要物资运输等需求，完善应急物流通道、应急运力调度和跨部门协同机制，提升重大风险应对能力。</w:t>
      </w:r>
    </w:p>
    <w:p w14:paraId="3C464601">
      <w:pPr>
        <w:pStyle w:val="2"/>
        <w:spacing w:before="156" w:after="156"/>
        <w:ind w:firstLine="562"/>
        <w:rPr>
          <w:rFonts w:ascii="仿宋_GB2312" w:eastAsia="仿宋_GB2312"/>
          <w:b/>
          <w:bCs/>
          <w:color w:val="auto"/>
          <w:sz w:val="28"/>
          <w:szCs w:val="28"/>
        </w:rPr>
      </w:pPr>
      <w:bookmarkStart w:id="74" w:name="_Toc233274628"/>
      <w:r>
        <w:rPr>
          <w:rFonts w:hint="eastAsia" w:ascii="仿宋_GB2312" w:eastAsia="仿宋_GB2312"/>
          <w:b/>
          <w:bCs/>
          <w:color w:val="auto"/>
          <w:sz w:val="28"/>
          <w:szCs w:val="28"/>
        </w:rPr>
        <w:t>五</w:t>
      </w:r>
      <w:r>
        <w:rPr>
          <w:rFonts w:ascii="仿宋_GB2312" w:eastAsia="仿宋_GB2312"/>
          <w:b/>
          <w:bCs/>
          <w:color w:val="auto"/>
          <w:sz w:val="28"/>
          <w:szCs w:val="28"/>
        </w:rPr>
        <w:t>、环境影响说明</w:t>
      </w:r>
      <w:bookmarkEnd w:id="74"/>
    </w:p>
    <w:p w14:paraId="6EF87AA3">
      <w:pPr>
        <w:spacing w:before="0" w:beforeLines="0" w:after="0" w:afterLines="0" w:line="240" w:lineRule="auto"/>
        <w:ind w:firstLine="560"/>
        <w:jc w:val="left"/>
        <w:rPr>
          <w:rFonts w:ascii="仿宋_GB2312" w:eastAsia="仿宋_GB2312"/>
          <w:sz w:val="28"/>
          <w:szCs w:val="28"/>
        </w:rPr>
      </w:pPr>
      <w:r>
        <w:rPr>
          <w:rFonts w:ascii="仿宋_GB2312" w:eastAsia="仿宋_GB2312"/>
          <w:sz w:val="28"/>
          <w:szCs w:val="28"/>
        </w:rPr>
        <w:t>本规划符合国家生态文明建设总体要求，与广东省、广州市、番禺区国土空间总体规划、生态环境保护规划等上位规划有效衔接，整体符合“三线一单”生态环境分区管控要求。</w:t>
      </w:r>
    </w:p>
    <w:p w14:paraId="4D85BD18">
      <w:pPr>
        <w:spacing w:before="0" w:beforeLines="0" w:after="0" w:afterLines="0" w:line="240" w:lineRule="auto"/>
        <w:ind w:firstLine="560"/>
        <w:jc w:val="left"/>
        <w:rPr>
          <w:rFonts w:ascii="仿宋_GB2312" w:eastAsia="仿宋_GB2312"/>
          <w:sz w:val="28"/>
          <w:szCs w:val="28"/>
        </w:rPr>
      </w:pPr>
      <w:r>
        <w:rPr>
          <w:rFonts w:ascii="仿宋_GB2312" w:eastAsia="仿宋_GB2312"/>
          <w:sz w:val="28"/>
          <w:szCs w:val="28"/>
        </w:rPr>
        <w:t>规划实施过程中，交通廊道、枢纽场站及配套设施建设，可能对局部区域生态环境产生一定影响，主要包括建设阶段对土地、岸线资源的占用和生态空间的局部扰动，以及施工扬尘、噪声、污水、固废等污染物排放；运营阶段产生的交通噪声、尾气污染，以及危险品运输与装卸环节的环境风险。</w:t>
      </w:r>
    </w:p>
    <w:p w14:paraId="1EB4218E">
      <w:pPr>
        <w:spacing w:before="0" w:beforeLines="0" w:after="0" w:afterLines="0" w:line="240" w:lineRule="auto"/>
        <w:ind w:firstLine="560"/>
        <w:jc w:val="left"/>
        <w:rPr>
          <w:rFonts w:ascii="仿宋_GB2312" w:eastAsia="仿宋_GB2312"/>
          <w:sz w:val="28"/>
          <w:szCs w:val="28"/>
        </w:rPr>
      </w:pPr>
      <w:r>
        <w:rPr>
          <w:rFonts w:ascii="仿宋_GB2312" w:eastAsia="仿宋_GB2312"/>
          <w:sz w:val="28"/>
          <w:szCs w:val="28"/>
        </w:rPr>
        <w:t>通过严格落实规划环评与项目环评制度，坚持保护优先、避让为主，优先避让生态保护红线、自然保护地等敏感目标，严格落实生态缓冲、水土保持、污染防治等措施，大力推广节能环保新技术、新装备，全面推进清洁能源应用，强化环境风险防范与应急能力建设，规划实施产生的不利环境影响总体可控，从资源环境角度，本规划总体可行。</w:t>
      </w:r>
    </w:p>
    <w:p w14:paraId="7F780445">
      <w:pPr>
        <w:pStyle w:val="2"/>
        <w:spacing w:before="156" w:after="156"/>
        <w:ind w:firstLine="562"/>
        <w:rPr>
          <w:rFonts w:ascii="仿宋_GB2312" w:eastAsia="仿宋_GB2312"/>
          <w:b/>
          <w:bCs/>
          <w:color w:val="auto"/>
          <w:sz w:val="28"/>
          <w:szCs w:val="28"/>
        </w:rPr>
      </w:pPr>
      <w:bookmarkStart w:id="75" w:name="_Toc233274629"/>
      <w:r>
        <w:rPr>
          <w:rFonts w:hint="eastAsia" w:ascii="仿宋_GB2312" w:eastAsia="仿宋_GB2312"/>
          <w:b/>
          <w:bCs/>
          <w:color w:val="auto"/>
          <w:sz w:val="28"/>
          <w:szCs w:val="28"/>
        </w:rPr>
        <w:t>六</w:t>
      </w:r>
      <w:r>
        <w:rPr>
          <w:rFonts w:ascii="仿宋_GB2312" w:eastAsia="仿宋_GB2312"/>
          <w:b/>
          <w:bCs/>
          <w:color w:val="auto"/>
          <w:sz w:val="28"/>
          <w:szCs w:val="28"/>
        </w:rPr>
        <w:t>、保障措施</w:t>
      </w:r>
      <w:bookmarkEnd w:id="75"/>
    </w:p>
    <w:p w14:paraId="3A48DA68">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加强组织统筹</w:t>
      </w:r>
      <w:r>
        <w:rPr>
          <w:rFonts w:hint="eastAsia" w:ascii="仿宋_GB2312" w:eastAsia="仿宋_GB2312"/>
          <w:b/>
          <w:bCs/>
          <w:sz w:val="28"/>
          <w:szCs w:val="28"/>
        </w:rPr>
        <w:t>。</w:t>
      </w:r>
      <w:r>
        <w:rPr>
          <w:rFonts w:ascii="仿宋_GB2312" w:eastAsia="仿宋_GB2312"/>
          <w:sz w:val="28"/>
          <w:szCs w:val="28"/>
        </w:rPr>
        <w:t>充分发挥区综合交通运输体系建设领导小组统筹协调作用，健全跨部门、跨区域协同推进机制，明确责任分工，细化任务清单，强化重点项目督导调度，完善规划实施跟踪评估与动态调整机制，确保各项任务落地见效。</w:t>
      </w:r>
    </w:p>
    <w:p w14:paraId="17EF8DB1">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强化要素保障</w:t>
      </w:r>
      <w:r>
        <w:rPr>
          <w:rFonts w:hint="eastAsia" w:ascii="仿宋_GB2312" w:eastAsia="仿宋_GB2312"/>
          <w:b/>
          <w:bCs/>
          <w:sz w:val="28"/>
          <w:szCs w:val="28"/>
        </w:rPr>
        <w:t>。</w:t>
      </w:r>
      <w:r>
        <w:rPr>
          <w:rFonts w:ascii="仿宋_GB2312" w:eastAsia="仿宋_GB2312"/>
          <w:sz w:val="28"/>
          <w:szCs w:val="28"/>
        </w:rPr>
        <w:t>健全多元化投融资机制，统筹用好财政资金，鼓励社会资本依法合规参与交通项目建设；优先保障重大交通基础设施用地用海需求，提升用地报批效率；推动跨部门并联审批，优化审批流程，提升项目落地效率。</w:t>
      </w:r>
    </w:p>
    <w:p w14:paraId="5C1B84D5">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严格环保管控</w:t>
      </w:r>
      <w:r>
        <w:rPr>
          <w:rFonts w:hint="eastAsia" w:ascii="仿宋_GB2312" w:eastAsia="仿宋_GB2312"/>
          <w:b/>
          <w:bCs/>
          <w:sz w:val="28"/>
          <w:szCs w:val="28"/>
        </w:rPr>
        <w:t>。</w:t>
      </w:r>
      <w:r>
        <w:rPr>
          <w:rFonts w:ascii="仿宋_GB2312" w:eastAsia="仿宋_GB2312"/>
          <w:sz w:val="28"/>
          <w:szCs w:val="28"/>
        </w:rPr>
        <w:t>依法开展规划与项目环境影响评价，严格落实“三线一单”生态环境分区管控要求，强化规划环评、项目环评与分区管控的协同衔接，实现项目全周期生态环境监管，推动交通领域减污降碳协同增效。</w:t>
      </w:r>
    </w:p>
    <w:p w14:paraId="26C3CECD">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完善人才支撑</w:t>
      </w:r>
      <w:r>
        <w:rPr>
          <w:rFonts w:hint="eastAsia" w:ascii="仿宋_GB2312" w:eastAsia="仿宋_GB2312"/>
          <w:b/>
          <w:bCs/>
          <w:sz w:val="28"/>
          <w:szCs w:val="28"/>
        </w:rPr>
        <w:t>。</w:t>
      </w:r>
      <w:r>
        <w:rPr>
          <w:rFonts w:ascii="仿宋_GB2312" w:eastAsia="仿宋_GB2312"/>
          <w:sz w:val="28"/>
          <w:szCs w:val="28"/>
        </w:rPr>
        <w:t>完善交通领域人才培养与引育机制，强化规划、建设、运营、管理全链条复合型人才供给，重点补齐智慧交通、绿色低碳、多式联运等领域紧缺人才，提升交通治理专业化水平。</w:t>
      </w:r>
    </w:p>
    <w:p w14:paraId="40E145C5">
      <w:pPr>
        <w:spacing w:before="0" w:beforeLines="0" w:after="0" w:afterLines="0" w:line="240" w:lineRule="auto"/>
        <w:ind w:firstLine="562"/>
        <w:jc w:val="left"/>
        <w:rPr>
          <w:rFonts w:ascii="仿宋_GB2312" w:eastAsia="仿宋_GB2312"/>
          <w:sz w:val="28"/>
          <w:szCs w:val="28"/>
        </w:rPr>
      </w:pPr>
      <w:r>
        <w:rPr>
          <w:rFonts w:ascii="仿宋_GB2312" w:eastAsia="仿宋_GB2312"/>
          <w:b/>
          <w:bCs/>
          <w:sz w:val="28"/>
          <w:szCs w:val="28"/>
        </w:rPr>
        <w:t>扩大公众参与</w:t>
      </w:r>
      <w:r>
        <w:rPr>
          <w:rFonts w:hint="eastAsia" w:ascii="仿宋_GB2312" w:eastAsia="仿宋_GB2312"/>
          <w:b/>
          <w:bCs/>
          <w:sz w:val="28"/>
          <w:szCs w:val="28"/>
        </w:rPr>
        <w:t>。</w:t>
      </w:r>
      <w:r>
        <w:rPr>
          <w:rFonts w:ascii="仿宋_GB2312" w:eastAsia="仿宋_GB2312"/>
          <w:sz w:val="28"/>
          <w:szCs w:val="28"/>
        </w:rPr>
        <w:t>健全公共决策机制，加强政府信息公开，及时解读规划政策与项目进展，主动回应社会关切，畅通公众意见反馈渠道，广泛凝聚社会共识，争取社会各界对交通建设的理解与支持。</w:t>
      </w:r>
    </w:p>
    <w:p w14:paraId="1D3E725B">
      <w:pPr>
        <w:spacing w:before="0" w:beforeLines="0" w:after="0" w:afterLines="0" w:line="240" w:lineRule="auto"/>
        <w:ind w:firstLine="560"/>
        <w:jc w:val="left"/>
        <w:rPr>
          <w:rFonts w:ascii="仿宋_GB2312" w:eastAsia="仿宋_GB2312"/>
          <w:sz w:val="28"/>
          <w:szCs w:val="28"/>
        </w:rPr>
      </w:pPr>
    </w:p>
    <w:sectPr>
      <w:footerReference r:id="rId11"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Light">
    <w:altName w:val="华文仿宋"/>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等线 Light">
    <w:altName w:val="C059"/>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9BEE0">
    <w:pPr>
      <w:pStyle w:val="14"/>
      <w:spacing w:before="120" w:after="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2506">
    <w:pPr>
      <w:pStyle w:val="14"/>
      <w:spacing w:before="120"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A366C">
    <w:pPr>
      <w:pStyle w:val="14"/>
      <w:spacing w:before="120" w:after="1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7881177"/>
    </w:sdtPr>
    <w:sdtContent>
      <w:p w14:paraId="37F36738">
        <w:pPr>
          <w:pStyle w:val="14"/>
          <w:spacing w:before="120" w:after="120"/>
          <w:ind w:firstLine="360"/>
          <w:jc w:val="center"/>
        </w:pPr>
        <w:r>
          <w:fldChar w:fldCharType="begin"/>
        </w:r>
        <w:r>
          <w:instrText xml:space="preserve">PAGE   \* MERGEFORMAT</w:instrText>
        </w:r>
        <w:r>
          <w:fldChar w:fldCharType="separate"/>
        </w:r>
        <w:r>
          <w:rPr>
            <w:lang w:val="zh-CN"/>
          </w:rPr>
          <w:t>2</w:t>
        </w:r>
        <w:r>
          <w:fldChar w:fldCharType="end"/>
        </w:r>
      </w:p>
    </w:sdtContent>
  </w:sdt>
  <w:p w14:paraId="0FCBABA9">
    <w:pPr>
      <w:pStyle w:val="14"/>
      <w:spacing w:before="120" w:after="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F02A">
    <w:pPr>
      <w:pStyle w:val="15"/>
      <w:spacing w:before="120" w:after="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D94E0">
    <w:pPr>
      <w:pStyle w:val="15"/>
      <w:spacing w:before="120"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93F17">
    <w:pPr>
      <w:pStyle w:val="15"/>
      <w:spacing w:before="120" w:after="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406"/>
    <w:rsid w:val="0012302C"/>
    <w:rsid w:val="00152BD1"/>
    <w:rsid w:val="00172A2D"/>
    <w:rsid w:val="001A0A7C"/>
    <w:rsid w:val="001C2A16"/>
    <w:rsid w:val="001D217F"/>
    <w:rsid w:val="00230CFE"/>
    <w:rsid w:val="00242B51"/>
    <w:rsid w:val="002518C1"/>
    <w:rsid w:val="002767D4"/>
    <w:rsid w:val="002E7AF1"/>
    <w:rsid w:val="0035366D"/>
    <w:rsid w:val="003C5894"/>
    <w:rsid w:val="00427588"/>
    <w:rsid w:val="00462DED"/>
    <w:rsid w:val="00497F45"/>
    <w:rsid w:val="004A0924"/>
    <w:rsid w:val="004E2ADE"/>
    <w:rsid w:val="004E5A67"/>
    <w:rsid w:val="004F2439"/>
    <w:rsid w:val="00545D89"/>
    <w:rsid w:val="00546078"/>
    <w:rsid w:val="005722FC"/>
    <w:rsid w:val="005824DE"/>
    <w:rsid w:val="005A73FE"/>
    <w:rsid w:val="005E7797"/>
    <w:rsid w:val="00612689"/>
    <w:rsid w:val="0062629D"/>
    <w:rsid w:val="00640FB2"/>
    <w:rsid w:val="0064535B"/>
    <w:rsid w:val="00680773"/>
    <w:rsid w:val="006A0211"/>
    <w:rsid w:val="006C47D8"/>
    <w:rsid w:val="00747971"/>
    <w:rsid w:val="00766480"/>
    <w:rsid w:val="007763A4"/>
    <w:rsid w:val="007A2A4D"/>
    <w:rsid w:val="007B375D"/>
    <w:rsid w:val="007E65EF"/>
    <w:rsid w:val="007F1137"/>
    <w:rsid w:val="00876532"/>
    <w:rsid w:val="008A3F84"/>
    <w:rsid w:val="008C7315"/>
    <w:rsid w:val="009067EE"/>
    <w:rsid w:val="00930A38"/>
    <w:rsid w:val="00975033"/>
    <w:rsid w:val="00A11DE8"/>
    <w:rsid w:val="00A13810"/>
    <w:rsid w:val="00A25386"/>
    <w:rsid w:val="00A569BB"/>
    <w:rsid w:val="00A738DB"/>
    <w:rsid w:val="00A80312"/>
    <w:rsid w:val="00AC17E9"/>
    <w:rsid w:val="00AD6898"/>
    <w:rsid w:val="00AF225D"/>
    <w:rsid w:val="00AF7262"/>
    <w:rsid w:val="00B06406"/>
    <w:rsid w:val="00B10E09"/>
    <w:rsid w:val="00B81A5F"/>
    <w:rsid w:val="00B8746E"/>
    <w:rsid w:val="00C31EEA"/>
    <w:rsid w:val="00C45D92"/>
    <w:rsid w:val="00C7186B"/>
    <w:rsid w:val="00CA0916"/>
    <w:rsid w:val="00CD2991"/>
    <w:rsid w:val="00D27AD1"/>
    <w:rsid w:val="00D47310"/>
    <w:rsid w:val="00D85FC6"/>
    <w:rsid w:val="00D95ECD"/>
    <w:rsid w:val="00DB4240"/>
    <w:rsid w:val="00DC0DF6"/>
    <w:rsid w:val="00DC4BCA"/>
    <w:rsid w:val="00DC574C"/>
    <w:rsid w:val="00E20D32"/>
    <w:rsid w:val="00E232E8"/>
    <w:rsid w:val="00E52B15"/>
    <w:rsid w:val="00E71DDE"/>
    <w:rsid w:val="00E94CCD"/>
    <w:rsid w:val="00EA70B0"/>
    <w:rsid w:val="00EC31F2"/>
    <w:rsid w:val="00F04903"/>
    <w:rsid w:val="00F17288"/>
    <w:rsid w:val="00F41E24"/>
    <w:rsid w:val="00F439C7"/>
    <w:rsid w:val="0E605CF1"/>
    <w:rsid w:val="1FFDFF9D"/>
    <w:rsid w:val="2DF318E2"/>
    <w:rsid w:val="2FF9B1BD"/>
    <w:rsid w:val="3FDF777D"/>
    <w:rsid w:val="573FA17D"/>
    <w:rsid w:val="5D4FF16A"/>
    <w:rsid w:val="619E2839"/>
    <w:rsid w:val="73F59127"/>
    <w:rsid w:val="777BF9C1"/>
    <w:rsid w:val="7ADEF054"/>
    <w:rsid w:val="7BB3F9CB"/>
    <w:rsid w:val="7D75A3D4"/>
    <w:rsid w:val="7EFBE7CD"/>
    <w:rsid w:val="9F7715CF"/>
    <w:rsid w:val="BD9E2A77"/>
    <w:rsid w:val="CEF6A913"/>
    <w:rsid w:val="DD7A8117"/>
    <w:rsid w:val="E5FF4952"/>
    <w:rsid w:val="E7FE57E3"/>
    <w:rsid w:val="EF3EA344"/>
    <w:rsid w:val="F35B4E53"/>
    <w:rsid w:val="F6FBA4DB"/>
    <w:rsid w:val="F6FF3F77"/>
    <w:rsid w:val="FBFEBCA8"/>
    <w:rsid w:val="FD7E2575"/>
    <w:rsid w:val="FDFC121C"/>
    <w:rsid w:val="FF779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50" w:beforeLines="50" w:after="50" w:afterLines="50" w:line="360" w:lineRule="auto"/>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9"/>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30"/>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31"/>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32"/>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3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3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5"/>
    <w:semiHidden/>
    <w:unhideWhenUsed/>
    <w:qFormat/>
    <w:uiPriority w:val="9"/>
    <w:pPr>
      <w:keepNext/>
      <w:keepLines/>
      <w:spacing w:before="0"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6"/>
    <w:semiHidden/>
    <w:unhideWhenUsed/>
    <w:qFormat/>
    <w:uiPriority w:val="9"/>
    <w:pPr>
      <w:keepNext/>
      <w:keepLines/>
      <w:spacing w:before="0"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9"/>
    <w:semiHidden/>
    <w:unhideWhenUsed/>
    <w:qFormat/>
    <w:uiPriority w:val="99"/>
    <w:pPr>
      <w:jc w:val="left"/>
    </w:pPr>
  </w:style>
  <w:style w:type="paragraph" w:styleId="12">
    <w:name w:val="toc 3"/>
    <w:basedOn w:val="1"/>
    <w:next w:val="1"/>
    <w:autoRedefine/>
    <w:unhideWhenUsed/>
    <w:qFormat/>
    <w:uiPriority w:val="39"/>
    <w:pPr>
      <w:ind w:left="840" w:leftChars="400"/>
    </w:pPr>
  </w:style>
  <w:style w:type="paragraph" w:styleId="13">
    <w:name w:val="Date"/>
    <w:basedOn w:val="1"/>
    <w:next w:val="1"/>
    <w:link w:val="48"/>
    <w:semiHidden/>
    <w:unhideWhenUsed/>
    <w:qFormat/>
    <w:uiPriority w:val="99"/>
    <w:pPr>
      <w:ind w:left="100" w:leftChars="2500"/>
    </w:pPr>
  </w:style>
  <w:style w:type="paragraph" w:styleId="14">
    <w:name w:val="footer"/>
    <w:basedOn w:val="1"/>
    <w:link w:val="47"/>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46"/>
    <w:unhideWhenUsed/>
    <w:qFormat/>
    <w:uiPriority w:val="99"/>
    <w:pPr>
      <w:tabs>
        <w:tab w:val="center" w:pos="4153"/>
        <w:tab w:val="right" w:pos="8306"/>
      </w:tabs>
      <w:snapToGrid w:val="0"/>
      <w:spacing w:line="240" w:lineRule="auto"/>
      <w:jc w:val="center"/>
    </w:pPr>
    <w:rPr>
      <w:sz w:val="18"/>
      <w:szCs w:val="18"/>
    </w:rPr>
  </w:style>
  <w:style w:type="paragraph" w:styleId="16">
    <w:name w:val="toc 1"/>
    <w:basedOn w:val="1"/>
    <w:next w:val="1"/>
    <w:autoRedefine/>
    <w:unhideWhenUsed/>
    <w:qFormat/>
    <w:uiPriority w:val="39"/>
  </w:style>
  <w:style w:type="paragraph" w:styleId="17">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footnote text"/>
    <w:basedOn w:val="1"/>
    <w:link w:val="51"/>
    <w:unhideWhenUsed/>
    <w:qFormat/>
    <w:uiPriority w:val="99"/>
    <w:pPr>
      <w:snapToGrid w:val="0"/>
      <w:jc w:val="left"/>
    </w:pPr>
    <w:rPr>
      <w:sz w:val="18"/>
      <w:szCs w:val="18"/>
    </w:rPr>
  </w:style>
  <w:style w:type="paragraph" w:styleId="19">
    <w:name w:val="toc 2"/>
    <w:basedOn w:val="1"/>
    <w:next w:val="1"/>
    <w:autoRedefine/>
    <w:unhideWhenUsed/>
    <w:qFormat/>
    <w:uiPriority w:val="39"/>
    <w:pPr>
      <w:ind w:left="420" w:leftChars="200"/>
    </w:pPr>
  </w:style>
  <w:style w:type="paragraph" w:styleId="20">
    <w:name w:val="Title"/>
    <w:basedOn w:val="1"/>
    <w:next w:val="1"/>
    <w:link w:val="37"/>
    <w:qFormat/>
    <w:uiPriority w:val="10"/>
    <w:pPr>
      <w:spacing w:before="0" w:after="80" w:line="240" w:lineRule="auto"/>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1"/>
    <w:next w:val="11"/>
    <w:link w:val="50"/>
    <w:semiHidden/>
    <w:unhideWhenUsed/>
    <w:qFormat/>
    <w:uiPriority w:val="99"/>
    <w:rPr>
      <w:b/>
      <w:bCs/>
    </w:rPr>
  </w:style>
  <w:style w:type="character" w:styleId="24">
    <w:name w:val="Strong"/>
    <w:basedOn w:val="23"/>
    <w:qFormat/>
    <w:uiPriority w:val="22"/>
    <w:rPr>
      <w:b/>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styleId="27">
    <w:name w:val="footnote reference"/>
    <w:basedOn w:val="23"/>
    <w:semiHidden/>
    <w:unhideWhenUsed/>
    <w:qFormat/>
    <w:uiPriority w:val="99"/>
    <w:rPr>
      <w:vertAlign w:val="superscript"/>
    </w:rPr>
  </w:style>
  <w:style w:type="character" w:customStyle="1" w:styleId="28">
    <w:name w:val="标题 1 字符"/>
    <w:basedOn w:val="23"/>
    <w:link w:val="2"/>
    <w:qFormat/>
    <w:uiPriority w:val="9"/>
    <w:rPr>
      <w:rFonts w:asciiTheme="majorHAnsi" w:hAnsiTheme="majorHAnsi" w:eastAsiaTheme="majorEastAsia" w:cstheme="majorBidi"/>
      <w:color w:val="2F5597" w:themeColor="accent1" w:themeShade="BF"/>
      <w:sz w:val="48"/>
      <w:szCs w:val="48"/>
    </w:rPr>
  </w:style>
  <w:style w:type="character" w:customStyle="1" w:styleId="29">
    <w:name w:val="标题 2 字符"/>
    <w:basedOn w:val="23"/>
    <w:link w:val="3"/>
    <w:qFormat/>
    <w:uiPriority w:val="9"/>
    <w:rPr>
      <w:rFonts w:asciiTheme="majorHAnsi" w:hAnsiTheme="majorHAnsi" w:eastAsiaTheme="majorEastAsia" w:cstheme="majorBidi"/>
      <w:color w:val="2F5597" w:themeColor="accent1" w:themeShade="BF"/>
      <w:sz w:val="40"/>
      <w:szCs w:val="40"/>
    </w:rPr>
  </w:style>
  <w:style w:type="character" w:customStyle="1" w:styleId="30">
    <w:name w:val="标题 3 字符"/>
    <w:basedOn w:val="23"/>
    <w:link w:val="4"/>
    <w:qFormat/>
    <w:uiPriority w:val="9"/>
    <w:rPr>
      <w:rFonts w:asciiTheme="majorHAnsi" w:hAnsiTheme="majorHAnsi" w:eastAsiaTheme="majorEastAsia" w:cstheme="majorBidi"/>
      <w:color w:val="2F5597" w:themeColor="accent1" w:themeShade="BF"/>
      <w:sz w:val="32"/>
      <w:szCs w:val="32"/>
    </w:rPr>
  </w:style>
  <w:style w:type="character" w:customStyle="1" w:styleId="31">
    <w:name w:val="标题 4 字符"/>
    <w:basedOn w:val="23"/>
    <w:link w:val="5"/>
    <w:qFormat/>
    <w:uiPriority w:val="9"/>
    <w:rPr>
      <w:rFonts w:cstheme="majorBidi"/>
      <w:color w:val="2F5597" w:themeColor="accent1" w:themeShade="BF"/>
      <w:sz w:val="28"/>
      <w:szCs w:val="28"/>
    </w:rPr>
  </w:style>
  <w:style w:type="character" w:customStyle="1" w:styleId="32">
    <w:name w:val="标题 5 字符"/>
    <w:basedOn w:val="23"/>
    <w:link w:val="6"/>
    <w:qFormat/>
    <w:uiPriority w:val="9"/>
    <w:rPr>
      <w:rFonts w:cstheme="majorBidi"/>
      <w:color w:val="2F5597" w:themeColor="accent1" w:themeShade="BF"/>
      <w:sz w:val="24"/>
      <w:szCs w:val="24"/>
    </w:rPr>
  </w:style>
  <w:style w:type="character" w:customStyle="1" w:styleId="33">
    <w:name w:val="标题 6 字符"/>
    <w:basedOn w:val="23"/>
    <w:link w:val="7"/>
    <w:semiHidden/>
    <w:qFormat/>
    <w:uiPriority w:val="9"/>
    <w:rPr>
      <w:rFonts w:cstheme="majorBidi"/>
      <w:b/>
      <w:bCs/>
      <w:color w:val="2F5597" w:themeColor="accent1" w:themeShade="BF"/>
    </w:rPr>
  </w:style>
  <w:style w:type="character" w:customStyle="1" w:styleId="34">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标题 字符"/>
    <w:basedOn w:val="23"/>
    <w:link w:val="20"/>
    <w:qFormat/>
    <w:uiPriority w:val="10"/>
    <w:rPr>
      <w:rFonts w:asciiTheme="majorHAnsi" w:hAnsiTheme="majorHAnsi" w:eastAsiaTheme="majorEastAsia" w:cstheme="majorBidi"/>
      <w:spacing w:val="-10"/>
      <w:kern w:val="28"/>
      <w:sz w:val="56"/>
      <w:szCs w:val="56"/>
    </w:rPr>
  </w:style>
  <w:style w:type="character" w:customStyle="1" w:styleId="38">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23"/>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明显强调1"/>
    <w:basedOn w:val="23"/>
    <w:qFormat/>
    <w:uiPriority w:val="21"/>
    <w:rPr>
      <w:i/>
      <w:iCs/>
      <w:color w:val="2F5597" w:themeColor="accent1" w:themeShade="BF"/>
    </w:rPr>
  </w:style>
  <w:style w:type="paragraph" w:styleId="43">
    <w:name w:val="Intense Quote"/>
    <w:basedOn w:val="1"/>
    <w:next w:val="1"/>
    <w:link w:val="4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4">
    <w:name w:val="明显引用 字符"/>
    <w:basedOn w:val="23"/>
    <w:link w:val="43"/>
    <w:qFormat/>
    <w:uiPriority w:val="30"/>
    <w:rPr>
      <w:i/>
      <w:iCs/>
      <w:color w:val="2F5597" w:themeColor="accent1" w:themeShade="BF"/>
    </w:rPr>
  </w:style>
  <w:style w:type="character" w:customStyle="1" w:styleId="45">
    <w:name w:val="明显参考1"/>
    <w:basedOn w:val="23"/>
    <w:qFormat/>
    <w:uiPriority w:val="32"/>
    <w:rPr>
      <w:b/>
      <w:bCs/>
      <w:smallCaps/>
      <w:color w:val="2F5597" w:themeColor="accent1" w:themeShade="BF"/>
      <w:spacing w:val="5"/>
    </w:rPr>
  </w:style>
  <w:style w:type="character" w:customStyle="1" w:styleId="46">
    <w:name w:val="页眉 字符"/>
    <w:basedOn w:val="23"/>
    <w:link w:val="15"/>
    <w:qFormat/>
    <w:uiPriority w:val="99"/>
    <w:rPr>
      <w:sz w:val="18"/>
      <w:szCs w:val="18"/>
    </w:rPr>
  </w:style>
  <w:style w:type="character" w:customStyle="1" w:styleId="47">
    <w:name w:val="页脚 字符"/>
    <w:basedOn w:val="23"/>
    <w:link w:val="14"/>
    <w:qFormat/>
    <w:uiPriority w:val="99"/>
    <w:rPr>
      <w:sz w:val="18"/>
      <w:szCs w:val="18"/>
    </w:rPr>
  </w:style>
  <w:style w:type="character" w:customStyle="1" w:styleId="48">
    <w:name w:val="日期 字符"/>
    <w:basedOn w:val="23"/>
    <w:link w:val="13"/>
    <w:semiHidden/>
    <w:qFormat/>
    <w:uiPriority w:val="99"/>
  </w:style>
  <w:style w:type="character" w:customStyle="1" w:styleId="49">
    <w:name w:val="批注文字 字符"/>
    <w:basedOn w:val="23"/>
    <w:link w:val="11"/>
    <w:semiHidden/>
    <w:qFormat/>
    <w:uiPriority w:val="99"/>
  </w:style>
  <w:style w:type="character" w:customStyle="1" w:styleId="50">
    <w:name w:val="批注主题 字符"/>
    <w:basedOn w:val="49"/>
    <w:link w:val="21"/>
    <w:semiHidden/>
    <w:qFormat/>
    <w:uiPriority w:val="99"/>
    <w:rPr>
      <w:b/>
      <w:bCs/>
    </w:rPr>
  </w:style>
  <w:style w:type="character" w:customStyle="1" w:styleId="51">
    <w:name w:val="脚注文本 字符"/>
    <w:basedOn w:val="23"/>
    <w:link w:val="18"/>
    <w:qFormat/>
    <w:uiPriority w:val="99"/>
    <w:rPr>
      <w:sz w:val="18"/>
      <w:szCs w:val="18"/>
    </w:rPr>
  </w:style>
  <w:style w:type="paragraph" w:customStyle="1" w:styleId="52">
    <w:name w:val="TOC 标题1"/>
    <w:basedOn w:val="2"/>
    <w:next w:val="1"/>
    <w:unhideWhenUsed/>
    <w:qFormat/>
    <w:uiPriority w:val="39"/>
    <w:pPr>
      <w:spacing w:before="240" w:beforeLines="0" w:after="0" w:afterLines="0" w:line="259" w:lineRule="auto"/>
      <w:ind w:firstLine="0" w:firstLineChars="0"/>
      <w:jc w:val="left"/>
      <w:outlineLvl w:val="9"/>
    </w:pPr>
    <w:rPr>
      <w:kern w:val="0"/>
      <w:sz w:val="32"/>
      <w:szCs w:val="32"/>
    </w:rPr>
  </w:style>
  <w:style w:type="character" w:customStyle="1" w:styleId="53">
    <w:name w:val="Unresolved Mention"/>
    <w:basedOn w:val="2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7789921B-B18F-4123-A489-B3B2B6B566FF}">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2491</Words>
  <Characters>14200</Characters>
  <Lines>118</Lines>
  <Paragraphs>33</Paragraphs>
  <TotalTime>0</TotalTime>
  <ScaleCrop>false</ScaleCrop>
  <LinksUpToDate>false</LinksUpToDate>
  <CharactersWithSpaces>16658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2026-06-25T17:48:00Z</dcterms:created>
  <dc:creator>定仪 黄</dc:creator>
  <cp:lastModifiedBy>张玉洁</cp:lastModifiedBy>
  <dcterms:modified xsi:type="dcterms:W3CDTF">2026-06-25T16:12:48Z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3805F2F0EDCE6D221FE23C6AD4771FDA_43</vt:lpwstr>
  </property>
</Properties>
</file>