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6ABBD">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番禺区城市道路停车泊位使用费标准</w:t>
      </w:r>
    </w:p>
    <w:p w14:paraId="70425982">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优化调整方案（公开征求意见稿）</w:t>
      </w:r>
    </w:p>
    <w:p w14:paraId="136039EF">
      <w:pPr>
        <w:spacing w:line="56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起草说明</w:t>
      </w:r>
    </w:p>
    <w:p w14:paraId="1722CC71">
      <w:pPr>
        <w:rPr>
          <w:rFonts w:hint="eastAsia" w:ascii="宋体" w:hAnsi="宋体" w:eastAsia="宋体"/>
          <w:b/>
          <w:bCs/>
          <w:color w:val="000000" w:themeColor="text1"/>
          <w:sz w:val="32"/>
          <w:szCs w:val="36"/>
          <w14:textFill>
            <w14:solidFill>
              <w14:schemeClr w14:val="tx1"/>
            </w14:solidFill>
          </w14:textFill>
        </w:rPr>
      </w:pPr>
    </w:p>
    <w:p w14:paraId="68145872">
      <w:pPr>
        <w:spacing w:line="600" w:lineRule="exact"/>
        <w:ind w:firstLine="640" w:firstLineChars="200"/>
        <w:outlineLvl w:val="0"/>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一、</w:t>
      </w:r>
      <w:bookmarkStart w:id="0" w:name="heading_1"/>
      <w:r>
        <w:rPr>
          <w:rFonts w:hint="eastAsia" w:ascii="黑体" w:hAnsi="黑体" w:eastAsia="黑体" w:cs="黑体"/>
          <w:bCs/>
          <w:color w:val="000000" w:themeColor="text1"/>
          <w:sz w:val="32"/>
          <w:szCs w:val="32"/>
          <w14:textFill>
            <w14:solidFill>
              <w14:schemeClr w14:val="tx1"/>
            </w14:solidFill>
          </w14:textFill>
        </w:rPr>
        <w:t>实施背景</w:t>
      </w:r>
      <w:bookmarkEnd w:id="0"/>
    </w:p>
    <w:p w14:paraId="6F920CA4">
      <w:pPr>
        <w:spacing w:line="600" w:lineRule="exact"/>
        <w:ind w:firstLine="640" w:firstLineChars="200"/>
        <w:rPr>
          <w:rFonts w:hint="eastAsia" w:ascii="仿宋" w:hAnsi="仿宋" w:eastAsia="仿宋" w:cs="仿宋_GB2312"/>
          <w:color w:val="000000" w:themeColor="text1"/>
          <w:sz w:val="32"/>
          <w:szCs w:val="32"/>
          <w14:textFill>
            <w14:solidFill>
              <w14:schemeClr w14:val="tx1"/>
            </w14:solidFill>
          </w14:textFill>
        </w:rPr>
      </w:pPr>
      <w:bookmarkStart w:id="1" w:name="_Hlk216277976"/>
      <w:bookmarkStart w:id="2" w:name="OLE_LINK26"/>
      <w:r>
        <w:rPr>
          <w:rFonts w:hint="eastAsia" w:ascii="仿宋" w:hAnsi="仿宋" w:eastAsia="仿宋" w:cs="仿宋_GB2312"/>
          <w:color w:val="000000" w:themeColor="text1"/>
          <w:sz w:val="32"/>
          <w:szCs w:val="32"/>
          <w14:textFill>
            <w14:solidFill>
              <w14:schemeClr w14:val="tx1"/>
            </w14:solidFill>
          </w14:textFill>
        </w:rPr>
        <w:t>随着近年来我区机动车保有量的增长、道路路网分布的变迁发展，原有道路停车泊位使用费标准需结合社会经济发展现状进行再评估调整。</w:t>
      </w:r>
      <w:bookmarkEnd w:id="1"/>
      <w:r>
        <w:rPr>
          <w:rFonts w:hint="eastAsia" w:ascii="仿宋" w:hAnsi="仿宋" w:eastAsia="仿宋" w:cs="仿宋_GB2312"/>
          <w:color w:val="000000" w:themeColor="text1"/>
          <w:sz w:val="32"/>
          <w:szCs w:val="32"/>
          <w14:textFill>
            <w14:solidFill>
              <w14:schemeClr w14:val="tx1"/>
            </w14:solidFill>
          </w14:textFill>
        </w:rPr>
        <w:t>根据《</w:t>
      </w:r>
      <w:bookmarkStart w:id="11" w:name="_GoBack"/>
      <w:r>
        <w:rPr>
          <w:rFonts w:ascii="仿宋" w:hAnsi="仿宋" w:eastAsia="仿宋" w:cs="仿宋"/>
          <w:i w:val="0"/>
          <w:iCs w:val="0"/>
          <w:caps w:val="0"/>
          <w:color w:val="333333"/>
          <w:spacing w:val="0"/>
          <w:sz w:val="30"/>
          <w:szCs w:val="30"/>
        </w:rPr>
        <w:t>国家发展和改革委员会 住房和城乡建设部 交通运输部关于进一步完善机动车停放服务收费政策的指导意见</w:t>
      </w:r>
      <w:bookmarkEnd w:id="11"/>
      <w:r>
        <w:rPr>
          <w:rFonts w:hint="eastAsia" w:ascii="仿宋" w:hAnsi="仿宋" w:eastAsia="仿宋" w:cs="仿宋_GB2312"/>
          <w:color w:val="000000" w:themeColor="text1"/>
          <w:sz w:val="32"/>
          <w:szCs w:val="32"/>
          <w14:textFill>
            <w14:solidFill>
              <w14:schemeClr w14:val="tx1"/>
            </w14:solidFill>
          </w14:textFill>
        </w:rPr>
        <w:t>》（发改价格〔2015〕2975号）、《广东省发展和改革委员会 广东省住房和城乡建设厅 广东省交通运输厅 广东省市场监督管理局关于完善机动车停放服务收费政策的指导意见》（粤发改规〔2022〕10号）《广州市停车场条例》等文件规定，</w:t>
      </w:r>
      <w:bookmarkEnd w:id="2"/>
      <w:r>
        <w:rPr>
          <w:rFonts w:hint="eastAsia" w:ascii="仿宋" w:hAnsi="仿宋" w:eastAsia="仿宋" w:cs="仿宋_GB2312"/>
          <w:color w:val="000000" w:themeColor="text1"/>
          <w:sz w:val="32"/>
          <w:szCs w:val="32"/>
          <w:lang w:val="en-US" w:eastAsia="zh-CN"/>
          <w14:textFill>
            <w14:solidFill>
              <w14:schemeClr w14:val="tx1"/>
            </w14:solidFill>
          </w14:textFill>
        </w:rPr>
        <w:t>编制形成本次征求意见稿方案</w:t>
      </w:r>
      <w:r>
        <w:rPr>
          <w:rFonts w:hint="eastAsia" w:ascii="仿宋" w:hAnsi="仿宋" w:eastAsia="仿宋" w:cs="仿宋_GB2312"/>
          <w:color w:val="000000" w:themeColor="text1"/>
          <w:sz w:val="32"/>
          <w:szCs w:val="32"/>
          <w14:textFill>
            <w14:solidFill>
              <w14:schemeClr w14:val="tx1"/>
            </w14:solidFill>
          </w14:textFill>
        </w:rPr>
        <w:t>。</w:t>
      </w:r>
    </w:p>
    <w:p w14:paraId="54CF7766">
      <w:pPr>
        <w:spacing w:line="600" w:lineRule="exact"/>
        <w:ind w:firstLine="640" w:firstLineChars="200"/>
        <w:outlineLvl w:val="0"/>
        <w:rPr>
          <w:rFonts w:hint="eastAsia" w:ascii="黑体" w:hAnsi="黑体" w:eastAsia="黑体" w:cs="黑体"/>
          <w:bCs/>
          <w:color w:val="000000" w:themeColor="text1"/>
          <w:sz w:val="32"/>
          <w:szCs w:val="32"/>
          <w14:textFill>
            <w14:solidFill>
              <w14:schemeClr w14:val="tx1"/>
            </w14:solidFill>
          </w14:textFill>
        </w:rPr>
      </w:pPr>
      <w:bookmarkStart w:id="3" w:name="heading_3"/>
      <w:bookmarkStart w:id="4" w:name="_Hlk216353056"/>
      <w:r>
        <w:rPr>
          <w:rFonts w:hint="eastAsia" w:ascii="黑体" w:hAnsi="黑体" w:eastAsia="黑体" w:cs="黑体"/>
          <w:bCs/>
          <w:color w:val="000000" w:themeColor="text1"/>
          <w:sz w:val="32"/>
          <w:szCs w:val="32"/>
          <w:lang w:val="en-US" w:eastAsia="zh-CN"/>
          <w14:textFill>
            <w14:solidFill>
              <w14:schemeClr w14:val="tx1"/>
            </w14:solidFill>
          </w14:textFill>
        </w:rPr>
        <w:t>二</w:t>
      </w:r>
      <w:r>
        <w:rPr>
          <w:rFonts w:hint="eastAsia" w:ascii="黑体" w:hAnsi="黑体" w:eastAsia="黑体" w:cs="黑体"/>
          <w:bCs/>
          <w:color w:val="000000" w:themeColor="text1"/>
          <w:sz w:val="32"/>
          <w:szCs w:val="32"/>
          <w14:textFill>
            <w14:solidFill>
              <w14:schemeClr w14:val="tx1"/>
            </w14:solidFill>
          </w14:textFill>
        </w:rPr>
        <w:t>、调整原则</w:t>
      </w:r>
      <w:bookmarkEnd w:id="3"/>
    </w:p>
    <w:p w14:paraId="3415A399">
      <w:pPr>
        <w:spacing w:line="600" w:lineRule="exact"/>
        <w:ind w:firstLine="640" w:firstLineChars="200"/>
        <w:rPr>
          <w:rFonts w:hint="eastAsia" w:ascii="仿宋" w:hAnsi="仿宋" w:eastAsia="仿宋" w:cs="仿宋_GB2312"/>
          <w:color w:val="000000" w:themeColor="text1"/>
          <w:sz w:val="32"/>
          <w:szCs w:val="32"/>
          <w14:textFill>
            <w14:solidFill>
              <w14:schemeClr w14:val="tx1"/>
            </w14:solidFill>
          </w14:textFill>
        </w:rPr>
      </w:pPr>
      <w:bookmarkStart w:id="5" w:name="_Hlk219193767"/>
      <w:r>
        <w:rPr>
          <w:rFonts w:hint="eastAsia" w:ascii="仿宋" w:hAnsi="仿宋" w:eastAsia="仿宋" w:cs="仿宋_GB2312"/>
          <w:color w:val="000000" w:themeColor="text1"/>
          <w:sz w:val="32"/>
          <w:szCs w:val="32"/>
          <w14:textFill>
            <w14:solidFill>
              <w14:schemeClr w14:val="tx1"/>
            </w14:solidFill>
          </w14:textFill>
        </w:rPr>
        <w:t>（一）优化配置原则：充分发挥价格杠杆调节功能，优化城市道路泊位资源配置与使用效率，在保障动态交通畅通的基础上，有效服务公众停车需求。</w:t>
      </w:r>
    </w:p>
    <w:p w14:paraId="55E4152E">
      <w:pPr>
        <w:spacing w:line="600" w:lineRule="exact"/>
        <w:ind w:firstLine="640" w:firstLineChars="200"/>
        <w:rPr>
          <w:rFonts w:hint="eastAsia"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（二）分类优惠原则：通过设立短时免费时段、对新能源汽车及特定服务车辆给予定向优惠、为残疾人车辆提供停车费用减免等方式，体现公共政策的温度与包容性，保障市民基本停车权益和特殊群体需求。</w:t>
      </w:r>
    </w:p>
    <w:p w14:paraId="3AE45B85">
      <w:pPr>
        <w:spacing w:line="600" w:lineRule="exact"/>
        <w:ind w:firstLine="640" w:firstLineChars="200"/>
        <w:rPr>
          <w:rFonts w:hint="eastAsia"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三）周转促进原则：坚持“短时优惠、长时累进”的阶梯式收费模式，降低长时停车成本、缓解用户负担的同时，以阶梯价差引导车辆合理停放，抑制无序长期占用行为，加快泊位周转频次，最大化提升公共资源利用效能。</w:t>
      </w:r>
    </w:p>
    <w:p w14:paraId="5CDD44EB">
      <w:pPr>
        <w:spacing w:line="600" w:lineRule="exact"/>
        <w:ind w:firstLine="640" w:firstLineChars="200"/>
        <w:rPr>
          <w:rFonts w:hint="eastAsia" w:ascii="仿宋" w:hAnsi="仿宋" w:eastAsia="仿宋" w:cs="仿宋_GB2312"/>
          <w:color w:val="000000" w:themeColor="text1"/>
          <w:sz w:val="32"/>
          <w:szCs w:val="32"/>
          <w14:textFill>
            <w14:solidFill>
              <w14:schemeClr w14:val="tx1"/>
            </w14:solidFill>
          </w14:textFill>
        </w:rPr>
      </w:pPr>
      <w:r>
        <w:rPr>
          <w:rFonts w:hint="eastAsia" w:ascii="仿宋" w:hAnsi="仿宋" w:eastAsia="仿宋" w:cs="仿宋_GB2312"/>
          <w:color w:val="000000" w:themeColor="text1"/>
          <w:sz w:val="32"/>
          <w:szCs w:val="32"/>
          <w14:textFill>
            <w14:solidFill>
              <w14:schemeClr w14:val="tx1"/>
            </w14:solidFill>
          </w14:textFill>
        </w:rPr>
        <w:t>（四）区域调控原则：根据重点区域与非重点区域在交通压力、停车供需矛盾上的显著差异，实施差别化收费标准。通过对重点区域实行更高的收费标准和限价，疏解核心区域交通压力，优化全域停车资源配置效能。</w:t>
      </w:r>
    </w:p>
    <w:bookmarkEnd w:id="4"/>
    <w:bookmarkEnd w:id="5"/>
    <w:p w14:paraId="01BE7967">
      <w:pPr>
        <w:spacing w:line="600" w:lineRule="exact"/>
        <w:ind w:firstLine="640" w:firstLineChars="200"/>
        <w:outlineLvl w:val="0"/>
        <w:rPr>
          <w:rFonts w:hint="default" w:ascii="黑体" w:hAnsi="黑体" w:eastAsia="黑体" w:cs="黑体"/>
          <w:bCs/>
          <w:color w:val="000000" w:themeColor="text1"/>
          <w:sz w:val="32"/>
          <w:szCs w:val="32"/>
          <w:lang w:val="en-US" w:eastAsia="zh-CN"/>
          <w14:textFill>
            <w14:solidFill>
              <w14:schemeClr w14:val="tx1"/>
            </w14:solidFill>
          </w14:textFill>
        </w:rPr>
      </w:pPr>
      <w:bookmarkStart w:id="6" w:name="heading_4"/>
      <w:r>
        <w:rPr>
          <w:rFonts w:hint="eastAsia" w:ascii="黑体" w:hAnsi="黑体" w:eastAsia="黑体" w:cs="黑体"/>
          <w:bCs/>
          <w:color w:val="000000" w:themeColor="text1"/>
          <w:sz w:val="32"/>
          <w:szCs w:val="32"/>
          <w:lang w:val="en-US" w:eastAsia="zh-CN"/>
          <w14:textFill>
            <w14:solidFill>
              <w14:schemeClr w14:val="tx1"/>
            </w14:solidFill>
          </w14:textFill>
        </w:rPr>
        <w:t>三</w:t>
      </w:r>
      <w:r>
        <w:rPr>
          <w:rFonts w:hint="eastAsia" w:ascii="黑体" w:hAnsi="黑体" w:eastAsia="黑体" w:cs="黑体"/>
          <w:bCs/>
          <w:color w:val="000000" w:themeColor="text1"/>
          <w:sz w:val="32"/>
          <w:szCs w:val="32"/>
          <w14:textFill>
            <w14:solidFill>
              <w14:schemeClr w14:val="tx1"/>
            </w14:solidFill>
          </w14:textFill>
        </w:rPr>
        <w:t>、</w:t>
      </w:r>
      <w:bookmarkEnd w:id="6"/>
      <w:r>
        <w:rPr>
          <w:rFonts w:hint="eastAsia" w:ascii="黑体" w:hAnsi="黑体" w:eastAsia="黑体" w:cs="黑体"/>
          <w:bCs/>
          <w:color w:val="000000" w:themeColor="text1"/>
          <w:sz w:val="32"/>
          <w:szCs w:val="32"/>
          <w:lang w:val="en-US" w:eastAsia="zh-CN"/>
          <w14:textFill>
            <w14:solidFill>
              <w14:schemeClr w14:val="tx1"/>
            </w14:solidFill>
          </w14:textFill>
        </w:rPr>
        <w:t>主要调整内容</w:t>
      </w:r>
    </w:p>
    <w:p w14:paraId="0D898F48">
      <w:pPr>
        <w:spacing w:line="600" w:lineRule="exact"/>
        <w:ind w:firstLine="640" w:firstLineChars="200"/>
        <w:rPr>
          <w:rFonts w:hint="eastAsia" w:ascii="仿宋" w:hAnsi="仿宋" w:eastAsia="仿宋" w:cs="仿宋_GB2312"/>
          <w:color w:val="000000" w:themeColor="text1"/>
          <w:sz w:val="32"/>
          <w:szCs w:val="32"/>
          <w14:textFill>
            <w14:solidFill>
              <w14:schemeClr w14:val="tx1"/>
            </w14:solidFill>
          </w14:textFill>
        </w:rPr>
      </w:pPr>
      <w:bookmarkStart w:id="7" w:name="_Hlk216280288"/>
      <w:r>
        <w:rPr>
          <w:rFonts w:hint="eastAsia" w:ascii="仿宋" w:hAnsi="仿宋" w:eastAsia="仿宋" w:cs="Times New Roman"/>
          <w:color w:val="000000" w:themeColor="text1"/>
          <w:sz w:val="32"/>
          <w:szCs w:val="32"/>
          <w14:textFill>
            <w14:solidFill>
              <w14:schemeClr w14:val="tx1"/>
            </w14:solidFill>
          </w14:textFill>
        </w:rPr>
        <w:t>与</w:t>
      </w:r>
      <w:r>
        <w:rPr>
          <w:rFonts w:ascii="仿宋" w:hAnsi="仿宋" w:eastAsia="仿宋" w:cs="Times New Roman"/>
          <w:color w:val="000000" w:themeColor="text1"/>
          <w:sz w:val="32"/>
          <w:szCs w:val="32"/>
          <w14:textFill>
            <w14:solidFill>
              <w14:schemeClr w14:val="tx1"/>
            </w14:solidFill>
          </w14:textFill>
        </w:rPr>
        <w:t>《番禺区发展和改革局关于番禺区城市道路临时泊位停车收费标准的通知》（番发改</w:t>
      </w:r>
      <w:r>
        <w:rPr>
          <w:rFonts w:hint="eastAsia" w:ascii="仿宋" w:hAnsi="仿宋" w:eastAsia="仿宋" w:cs="仿宋_GB2312"/>
          <w:color w:val="000000" w:themeColor="text1"/>
          <w:sz w:val="32"/>
          <w:szCs w:val="32"/>
          <w14:textFill>
            <w14:solidFill>
              <w14:schemeClr w14:val="tx1"/>
            </w14:solidFill>
          </w14:textFill>
        </w:rPr>
        <w:t>〔2020〕123</w:t>
      </w:r>
      <w:r>
        <w:rPr>
          <w:rFonts w:ascii="仿宋" w:hAnsi="仿宋" w:eastAsia="仿宋" w:cs="Times New Roman"/>
          <w:color w:val="000000" w:themeColor="text1"/>
          <w:sz w:val="32"/>
          <w:szCs w:val="32"/>
          <w14:textFill>
            <w14:solidFill>
              <w14:schemeClr w14:val="tx1"/>
            </w14:solidFill>
          </w14:textFill>
        </w:rPr>
        <w:t>号）</w:t>
      </w:r>
      <w:r>
        <w:rPr>
          <w:rFonts w:hint="eastAsia" w:ascii="仿宋" w:hAnsi="仿宋" w:eastAsia="仿宋" w:cs="Times New Roman"/>
          <w:color w:val="000000" w:themeColor="text1"/>
          <w:sz w:val="32"/>
          <w:szCs w:val="32"/>
          <w14:textFill>
            <w14:solidFill>
              <w14:schemeClr w14:val="tx1"/>
            </w14:solidFill>
          </w14:textFill>
        </w:rPr>
        <w:t>收费标准相比</w:t>
      </w:r>
      <w:r>
        <w:rPr>
          <w:rFonts w:hint="eastAsia" w:ascii="仿宋" w:hAnsi="仿宋" w:eastAsia="仿宋" w:cs="仿宋_GB2312"/>
          <w:color w:val="000000" w:themeColor="text1"/>
          <w:sz w:val="32"/>
          <w:szCs w:val="32"/>
          <w14:textFill>
            <w14:solidFill>
              <w14:schemeClr w14:val="tx1"/>
            </w14:solidFill>
          </w14:textFill>
        </w:rPr>
        <w:t>，主要调整内容如下：</w:t>
      </w:r>
    </w:p>
    <w:bookmarkEnd w:id="7"/>
    <w:p w14:paraId="024E39B0">
      <w:pPr>
        <w:spacing w:line="600" w:lineRule="exact"/>
        <w:ind w:firstLine="640" w:firstLineChars="200"/>
        <w:rPr>
          <w:rFonts w:hint="eastAsia" w:ascii="仿宋" w:hAnsi="仿宋" w:eastAsia="仿宋" w:cs="仿宋_GB2312"/>
          <w:color w:val="000000" w:themeColor="text1"/>
          <w:sz w:val="32"/>
          <w:szCs w:val="32"/>
          <w14:textFill>
            <w14:solidFill>
              <w14:schemeClr w14:val="tx1"/>
            </w14:solidFill>
          </w14:textFill>
        </w:rPr>
      </w:pPr>
      <w:bookmarkStart w:id="8" w:name="_Hlk216280336"/>
      <w:r>
        <w:rPr>
          <w:rFonts w:hint="eastAsia" w:ascii="仿宋" w:hAnsi="仿宋" w:eastAsia="仿宋" w:cs="仿宋_GB2312"/>
          <w:color w:val="000000" w:themeColor="text1"/>
          <w:sz w:val="32"/>
          <w:szCs w:val="32"/>
          <w14:textFill>
            <w14:solidFill>
              <w14:schemeClr w14:val="tx1"/>
            </w14:solidFill>
          </w14:textFill>
        </w:rPr>
        <w:t>（一）</w:t>
      </w:r>
      <w:r>
        <w:rPr>
          <w:rFonts w:hint="eastAsia" w:ascii="仿宋_GB2312" w:hAnsi="仿宋_GB2312" w:eastAsia="仿宋_GB2312" w:cs="仿宋_GB2312"/>
          <w:sz w:val="32"/>
          <w:szCs w:val="32"/>
          <w:lang w:val="en-US" w:eastAsia="zh-CN"/>
        </w:rPr>
        <w:t>调整计费单位</w:t>
      </w:r>
      <w:r>
        <w:rPr>
          <w:rFonts w:hint="eastAsia" w:ascii="仿宋" w:hAnsi="仿宋" w:eastAsia="仿宋" w:cs="仿宋_GB2312"/>
          <w:color w:val="auto"/>
          <w:sz w:val="32"/>
          <w:szCs w:val="32"/>
          <w:lang w:val="en-US" w:eastAsia="zh-CN"/>
        </w:rPr>
        <w:t>，</w:t>
      </w:r>
      <w:r>
        <w:rPr>
          <w:rFonts w:hint="eastAsia" w:ascii="仿宋_GB2312" w:hAnsi="仿宋_GB2312" w:eastAsia="仿宋_GB2312" w:cs="仿宋_GB2312"/>
          <w:sz w:val="32"/>
          <w:szCs w:val="32"/>
        </w:rPr>
        <w:t>停车</w:t>
      </w:r>
      <w:r>
        <w:rPr>
          <w:rFonts w:hint="eastAsia" w:ascii="仿宋_GB2312" w:hAnsi="仿宋_GB2312" w:eastAsia="仿宋_GB2312" w:cs="仿宋_GB2312"/>
          <w:sz w:val="32"/>
          <w:szCs w:val="32"/>
          <w:lang w:eastAsia="zh-CN"/>
        </w:rPr>
        <w:t>计费</w:t>
      </w:r>
      <w:r>
        <w:rPr>
          <w:rFonts w:hint="eastAsia" w:ascii="仿宋_GB2312" w:hAnsi="仿宋_GB2312" w:eastAsia="仿宋_GB2312" w:cs="仿宋_GB2312"/>
          <w:sz w:val="32"/>
          <w:szCs w:val="32"/>
        </w:rPr>
        <w:t>单位由30分钟改为15分钟，计费时段中不足15分钟的部分按15分钟计算，</w:t>
      </w:r>
      <w:r>
        <w:rPr>
          <w:rFonts w:hint="eastAsia" w:ascii="仿宋_GB2312" w:hAnsi="仿宋_GB2312" w:eastAsia="仿宋_GB2312" w:cs="仿宋_GB2312"/>
          <w:sz w:val="32"/>
          <w:szCs w:val="32"/>
          <w:lang w:val="en-US" w:eastAsia="zh-CN"/>
        </w:rPr>
        <w:t>停车计费更加精准，</w:t>
      </w:r>
      <w:r>
        <w:rPr>
          <w:rFonts w:hint="eastAsia" w:ascii="仿宋_GB2312" w:hAnsi="仿宋_GB2312" w:eastAsia="仿宋_GB2312" w:cs="仿宋_GB2312"/>
          <w:sz w:val="32"/>
          <w:szCs w:val="32"/>
        </w:rPr>
        <w:t>间接降低停车成本</w:t>
      </w:r>
      <w:r>
        <w:rPr>
          <w:rFonts w:hint="eastAsia" w:ascii="仿宋" w:hAnsi="仿宋" w:eastAsia="仿宋" w:cs="仿宋_GB2312"/>
          <w:color w:val="auto"/>
          <w:sz w:val="32"/>
          <w:szCs w:val="32"/>
        </w:rPr>
        <w:t>。</w:t>
      </w:r>
    </w:p>
    <w:p w14:paraId="2F3DDE62">
      <w:pPr>
        <w:spacing w:line="600" w:lineRule="exact"/>
        <w:ind w:firstLine="640" w:firstLineChars="200"/>
        <w:rPr>
          <w:rFonts w:hint="eastAsia" w:ascii="仿宋" w:hAnsi="仿宋" w:eastAsia="仿宋" w:cs="仿宋_GB2312"/>
          <w:color w:val="000000" w:themeColor="text1"/>
          <w:sz w:val="32"/>
          <w:szCs w:val="32"/>
          <w:lang w:val="en-US" w:eastAsia="zh-CN"/>
          <w14:textFill>
            <w14:solidFill>
              <w14:schemeClr w14:val="tx1"/>
            </w14:solidFill>
          </w14:textFill>
        </w:rPr>
      </w:pPr>
      <w:r>
        <w:rPr>
          <w:rFonts w:hint="eastAsia" w:ascii="仿宋" w:hAnsi="仿宋" w:eastAsia="仿宋" w:cs="仿宋_GB2312"/>
          <w:color w:val="auto"/>
          <w:sz w:val="32"/>
          <w:szCs w:val="32"/>
        </w:rPr>
        <w:t>（二）</w:t>
      </w:r>
      <w:r>
        <w:rPr>
          <w:rFonts w:hint="eastAsia" w:ascii="仿宋" w:hAnsi="仿宋" w:eastAsia="仿宋" w:cs="仿宋_GB2312"/>
          <w:color w:val="000000" w:themeColor="text1"/>
          <w:sz w:val="32"/>
          <w:szCs w:val="32"/>
          <w14:textFill>
            <w14:solidFill>
              <w14:schemeClr w14:val="tx1"/>
            </w14:solidFill>
          </w14:textFill>
        </w:rPr>
        <w:t>下调重点区域的道路停车泊位使用费</w:t>
      </w:r>
      <w:r>
        <w:rPr>
          <w:rFonts w:hint="eastAsia" w:ascii="仿宋" w:hAnsi="仿宋" w:eastAsia="仿宋" w:cs="Times New Roman"/>
          <w:color w:val="000000" w:themeColor="text1"/>
          <w:sz w:val="32"/>
          <w:szCs w:val="32"/>
          <w14:textFill>
            <w14:solidFill>
              <w14:schemeClr w14:val="tx1"/>
            </w14:solidFill>
          </w14:textFill>
        </w:rPr>
        <w:t>标准</w:t>
      </w:r>
      <w:r>
        <w:rPr>
          <w:rFonts w:hint="eastAsia" w:ascii="仿宋" w:hAnsi="仿宋" w:eastAsia="仿宋" w:cs="Times New Roman"/>
          <w:color w:val="000000" w:themeColor="text1"/>
          <w:sz w:val="32"/>
          <w:szCs w:val="32"/>
          <w:lang w:val="en-US" w:eastAsia="zh-CN"/>
          <w14:textFill>
            <w14:solidFill>
              <w14:schemeClr w14:val="tx1"/>
            </w14:solidFill>
          </w14:textFill>
        </w:rPr>
        <w:t>与</w:t>
      </w:r>
      <w:r>
        <w:rPr>
          <w:rFonts w:hint="eastAsia" w:ascii="仿宋" w:hAnsi="仿宋" w:eastAsia="仿宋" w:cs="仿宋_GB2312"/>
          <w:color w:val="000000" w:themeColor="text1"/>
          <w:sz w:val="32"/>
          <w:szCs w:val="32"/>
          <w14:textFill>
            <w14:solidFill>
              <w14:schemeClr w14:val="tx1"/>
            </w14:solidFill>
          </w14:textFill>
        </w:rPr>
        <w:t>每日收费时段内单次连续停放最高限价，</w:t>
      </w:r>
      <w:r>
        <w:rPr>
          <w:rFonts w:hint="eastAsia" w:ascii="仿宋" w:hAnsi="仿宋" w:eastAsia="仿宋" w:cs="仿宋_GB2312"/>
          <w:color w:val="000000" w:themeColor="text1"/>
          <w:sz w:val="32"/>
          <w:szCs w:val="32"/>
          <w:lang w:val="en-US" w:eastAsia="zh-CN"/>
          <w14:textFill>
            <w14:solidFill>
              <w14:schemeClr w14:val="tx1"/>
            </w14:solidFill>
          </w14:textFill>
        </w:rPr>
        <w:t>有效降低市民重点区域停车成本</w:t>
      </w:r>
      <w:r>
        <w:rPr>
          <w:rFonts w:hint="eastAsia" w:ascii="仿宋" w:hAnsi="仿宋" w:eastAsia="仿宋" w:cs="仿宋_GB2312"/>
          <w:color w:val="000000" w:themeColor="text1"/>
          <w:sz w:val="32"/>
          <w:szCs w:val="32"/>
          <w14:textFill>
            <w14:solidFill>
              <w14:schemeClr w14:val="tx1"/>
            </w14:solidFill>
          </w14:textFill>
        </w:rPr>
        <w:t>。</w:t>
      </w:r>
      <w:r>
        <w:rPr>
          <w:rFonts w:hint="eastAsia" w:ascii="仿宋" w:hAnsi="仿宋" w:eastAsia="仿宋" w:cs="仿宋_GB2312"/>
          <w:color w:val="000000" w:themeColor="text1"/>
          <w:sz w:val="32"/>
          <w:szCs w:val="32"/>
          <w:lang w:val="en-US" w:eastAsia="zh-CN"/>
          <w14:textFill>
            <w14:solidFill>
              <w14:schemeClr w14:val="tx1"/>
            </w14:solidFill>
          </w14:textFill>
        </w:rPr>
        <w:t>重点区域三个阶梯分别由4元/半小时、6元/半小时、10元/半小时下调为1.5元/15分钟、2元/15分钟、3元/15分钟，</w:t>
      </w:r>
      <w:r>
        <w:rPr>
          <w:rFonts w:hint="eastAsia" w:ascii="仿宋" w:hAnsi="仿宋" w:eastAsia="仿宋" w:cs="仿宋_GB2312"/>
          <w:color w:val="000000" w:themeColor="text1"/>
          <w:sz w:val="32"/>
          <w:szCs w:val="32"/>
          <w14:textFill>
            <w14:solidFill>
              <w14:schemeClr w14:val="tx1"/>
            </w14:solidFill>
          </w14:textFill>
        </w:rPr>
        <w:t>每日收费时段内单次连续停放最高限价</w:t>
      </w:r>
      <w:r>
        <w:rPr>
          <w:rFonts w:hint="eastAsia" w:ascii="仿宋" w:hAnsi="仿宋" w:eastAsia="仿宋" w:cs="仿宋_GB2312"/>
          <w:color w:val="000000" w:themeColor="text1"/>
          <w:sz w:val="32"/>
          <w:szCs w:val="32"/>
          <w:lang w:val="en-US" w:eastAsia="zh-CN"/>
          <w14:textFill>
            <w14:solidFill>
              <w14:schemeClr w14:val="tx1"/>
            </w14:solidFill>
          </w14:textFill>
        </w:rPr>
        <w:t>由132元降至58元。</w:t>
      </w:r>
    </w:p>
    <w:p w14:paraId="244C259C">
      <w:pPr>
        <w:spacing w:line="600" w:lineRule="exact"/>
        <w:ind w:firstLine="640" w:firstLineChars="200"/>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（三）</w:t>
      </w:r>
      <w:r>
        <w:rPr>
          <w:rFonts w:hint="eastAsia" w:ascii="仿宋_GB2312" w:eastAsia="仿宋_GB2312"/>
          <w:sz w:val="32"/>
          <w:szCs w:val="32"/>
          <w:lang w:val="en-US" w:eastAsia="zh-CN"/>
        </w:rPr>
        <w:t>优化免费停放时长。免费停放时长保持15分钟不变，超过15分钟的，前15分钟由原来的纳入计费时长调整为不纳入计费时长。此外，</w:t>
      </w:r>
      <w:r>
        <w:rPr>
          <w:rFonts w:hint="eastAsia" w:ascii="仿宋_GB2312" w:hAnsi="仿宋_GB2312" w:eastAsia="仿宋_GB2312" w:cs="仿宋_GB2312"/>
          <w:sz w:val="32"/>
          <w:szCs w:val="32"/>
        </w:rPr>
        <w:t>取消信用管理条款，对有未缴清使用费记录的车辆，不</w:t>
      </w:r>
      <w:r>
        <w:rPr>
          <w:rFonts w:hint="eastAsia" w:ascii="仿宋_GB2312" w:hAnsi="仿宋_GB2312" w:eastAsia="仿宋_GB2312" w:cs="仿宋_GB2312"/>
          <w:sz w:val="32"/>
          <w:szCs w:val="32"/>
          <w:lang w:val="en-US" w:eastAsia="zh-CN"/>
        </w:rPr>
        <w:t>再</w:t>
      </w:r>
      <w:r>
        <w:rPr>
          <w:rFonts w:hint="eastAsia" w:ascii="仿宋_GB2312" w:hAnsi="仿宋_GB2312" w:eastAsia="仿宋_GB2312" w:cs="仿宋_GB2312"/>
          <w:sz w:val="32"/>
          <w:szCs w:val="32"/>
        </w:rPr>
        <w:t>限制享受15分钟免费停放，兼顾惠民与管理实效。</w:t>
      </w:r>
    </w:p>
    <w:p w14:paraId="7ACF5A07">
      <w:pPr>
        <w:spacing w:line="600" w:lineRule="exact"/>
        <w:ind w:firstLine="640" w:firstLineChars="200"/>
        <w:rPr>
          <w:rFonts w:hint="eastAsia" w:ascii="仿宋" w:hAnsi="仿宋" w:eastAsia="仿宋" w:cs="Times New Roman"/>
          <w:color w:val="000000" w:themeColor="text1"/>
          <w:sz w:val="32"/>
          <w:szCs w:val="32"/>
          <w14:textFill>
            <w14:solidFill>
              <w14:schemeClr w14:val="tx1"/>
            </w14:solidFill>
          </w14:textFill>
        </w:rPr>
      </w:pPr>
      <w:r>
        <w:rPr>
          <w:rFonts w:hint="eastAsia" w:ascii="仿宋" w:hAnsi="仿宋" w:eastAsia="仿宋" w:cs="Times New Roman"/>
          <w:color w:val="000000" w:themeColor="text1"/>
          <w:sz w:val="32"/>
          <w:szCs w:val="32"/>
          <w14:textFill>
            <w14:solidFill>
              <w14:schemeClr w14:val="tx1"/>
            </w14:solidFill>
          </w14:textFill>
        </w:rPr>
        <w:t>（四）进一步细化完善优惠政策和工作要求。针对新能源汽车、</w:t>
      </w:r>
      <w:r>
        <w:rPr>
          <w:rFonts w:hint="eastAsia" w:ascii="Times New Roman" w:hAnsi="Times New Roman" w:eastAsia="仿宋" w:cs="Times New Roman"/>
          <w:color w:val="000000" w:themeColor="text1"/>
          <w:sz w:val="32"/>
          <w:szCs w:val="32"/>
          <w14:textFill>
            <w14:solidFill>
              <w14:schemeClr w14:val="tx1"/>
            </w14:solidFill>
          </w14:textFill>
        </w:rPr>
        <w:t>残疾人专用机动车等优惠政策</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以及相关工作要求</w:t>
      </w:r>
      <w:r>
        <w:rPr>
          <w:rFonts w:hint="eastAsia" w:ascii="Times New Roman" w:hAnsi="Times New Roman" w:eastAsia="仿宋" w:cs="Times New Roman"/>
          <w:color w:val="000000" w:themeColor="text1"/>
          <w:sz w:val="32"/>
          <w:szCs w:val="32"/>
          <w14:textFill>
            <w14:solidFill>
              <w14:schemeClr w14:val="tx1"/>
            </w14:solidFill>
          </w14:textFill>
        </w:rPr>
        <w:t>表述进行修改</w:t>
      </w:r>
      <w:r>
        <w:rPr>
          <w:rFonts w:hint="eastAsia" w:ascii="Times New Roman" w:hAnsi="Times New Roman" w:eastAsia="仿宋" w:cs="Times New Roman"/>
          <w:color w:val="000000" w:themeColor="text1"/>
          <w:sz w:val="32"/>
          <w:szCs w:val="32"/>
          <w:lang w:val="en-US" w:eastAsia="zh-CN"/>
          <w14:textFill>
            <w14:solidFill>
              <w14:schemeClr w14:val="tx1"/>
            </w14:solidFill>
          </w14:textFill>
        </w:rPr>
        <w:t>完善</w:t>
      </w:r>
      <w:r>
        <w:rPr>
          <w:rFonts w:hint="eastAsia" w:ascii="仿宋" w:hAnsi="仿宋" w:eastAsia="仿宋" w:cs="Times New Roman"/>
          <w:color w:val="000000" w:themeColor="text1"/>
          <w:sz w:val="32"/>
          <w:szCs w:val="32"/>
          <w14:textFill>
            <w14:solidFill>
              <w14:schemeClr w14:val="tx1"/>
            </w14:solidFill>
          </w14:textFill>
        </w:rPr>
        <w:t>。</w:t>
      </w:r>
    </w:p>
    <w:p w14:paraId="43DBEF8F">
      <w:pPr>
        <w:spacing w:line="600" w:lineRule="exact"/>
        <w:jc w:val="center"/>
        <w:rPr>
          <w:rFonts w:ascii="Times New Roman" w:hAnsi="Times New Roman" w:eastAsia="仿宋" w:cs="Times New Roman"/>
          <w:b/>
          <w:bCs/>
          <w:color w:val="000000" w:themeColor="text1"/>
          <w:sz w:val="32"/>
          <w:szCs w:val="32"/>
          <w14:textFill>
            <w14:solidFill>
              <w14:schemeClr w14:val="tx1"/>
            </w14:solidFill>
          </w14:textFill>
        </w:rPr>
      </w:pPr>
      <w:r>
        <w:rPr>
          <w:rFonts w:hint="eastAsia" w:ascii="Times New Roman" w:hAnsi="Times New Roman" w:eastAsia="仿宋" w:cs="Times New Roman"/>
          <w:b/>
          <w:bCs/>
          <w:color w:val="000000" w:themeColor="text1"/>
          <w:sz w:val="32"/>
          <w:szCs w:val="32"/>
          <w14:textFill>
            <w14:solidFill>
              <w14:schemeClr w14:val="tx1"/>
            </w14:solidFill>
          </w14:textFill>
        </w:rPr>
        <w:t>调整前后收费标准对比</w:t>
      </w:r>
    </w:p>
    <w:tbl>
      <w:tblPr>
        <w:tblStyle w:val="16"/>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48"/>
        <w:gridCol w:w="2516"/>
        <w:gridCol w:w="1984"/>
        <w:gridCol w:w="1985"/>
        <w:gridCol w:w="1701"/>
      </w:tblGrid>
      <w:tr w14:paraId="582BF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 w:hRule="atLeast"/>
          <w:jc w:val="center"/>
        </w:trPr>
        <w:tc>
          <w:tcPr>
            <w:tcW w:w="1448" w:type="dxa"/>
            <w:tcMar>
              <w:top w:w="60" w:type="dxa"/>
              <w:left w:w="120" w:type="dxa"/>
              <w:bottom w:w="30" w:type="dxa"/>
              <w:right w:w="120" w:type="dxa"/>
            </w:tcMar>
            <w:vAlign w:val="center"/>
          </w:tcPr>
          <w:p w14:paraId="67821B9C">
            <w:pPr>
              <w:snapToGrid w:val="0"/>
              <w:spacing w:line="400" w:lineRule="exact"/>
              <w:jc w:val="center"/>
              <w:rPr>
                <w:rFonts w:ascii="Times New Roman" w:hAnsi="Times New Roman" w:eastAsia="仿宋" w:cs="Times New Roman"/>
                <w:b/>
                <w:bCs/>
                <w:color w:val="000000" w:themeColor="text1"/>
                <w:sz w:val="24"/>
                <w14:textFill>
                  <w14:solidFill>
                    <w14:schemeClr w14:val="tx1"/>
                  </w14:solidFill>
                </w14:textFill>
              </w:rPr>
            </w:pPr>
            <w:r>
              <w:rPr>
                <w:rFonts w:ascii="Times New Roman" w:hAnsi="Times New Roman" w:eastAsia="仿宋" w:cs="Times New Roman"/>
                <w:b/>
                <w:bCs/>
                <w:color w:val="000000" w:themeColor="text1"/>
                <w:sz w:val="24"/>
                <w:szCs w:val="24"/>
                <w14:textFill>
                  <w14:solidFill>
                    <w14:schemeClr w14:val="tx1"/>
                  </w14:solidFill>
                </w14:textFill>
              </w:rPr>
              <w:t>区域类型</w:t>
            </w:r>
          </w:p>
        </w:tc>
        <w:tc>
          <w:tcPr>
            <w:tcW w:w="2516" w:type="dxa"/>
            <w:tcMar>
              <w:top w:w="60" w:type="dxa"/>
              <w:left w:w="120" w:type="dxa"/>
              <w:bottom w:w="30" w:type="dxa"/>
              <w:right w:w="120" w:type="dxa"/>
            </w:tcMar>
            <w:vAlign w:val="center"/>
          </w:tcPr>
          <w:p w14:paraId="056A27A3">
            <w:pPr>
              <w:snapToGrid w:val="0"/>
              <w:spacing w:line="400" w:lineRule="exact"/>
              <w:jc w:val="center"/>
              <w:rPr>
                <w:rFonts w:ascii="Times New Roman" w:hAnsi="Times New Roman" w:eastAsia="仿宋" w:cs="Times New Roman"/>
                <w:b/>
                <w:bCs/>
                <w:color w:val="000000" w:themeColor="text1"/>
                <w:sz w:val="24"/>
                <w14:textFill>
                  <w14:solidFill>
                    <w14:schemeClr w14:val="tx1"/>
                  </w14:solidFill>
                </w14:textFill>
              </w:rPr>
            </w:pPr>
            <w:r>
              <w:rPr>
                <w:rFonts w:ascii="Times New Roman" w:hAnsi="Times New Roman" w:eastAsia="仿宋" w:cs="Times New Roman"/>
                <w:b/>
                <w:bCs/>
                <w:color w:val="000000" w:themeColor="text1"/>
                <w:sz w:val="24"/>
                <w:szCs w:val="24"/>
                <w14:textFill>
                  <w14:solidFill>
                    <w14:schemeClr w14:val="tx1"/>
                  </w14:solidFill>
                </w14:textFill>
              </w:rPr>
              <w:t>停车时段</w:t>
            </w:r>
          </w:p>
        </w:tc>
        <w:tc>
          <w:tcPr>
            <w:tcW w:w="1984" w:type="dxa"/>
            <w:tcMar>
              <w:top w:w="60" w:type="dxa"/>
              <w:left w:w="120" w:type="dxa"/>
              <w:bottom w:w="30" w:type="dxa"/>
              <w:right w:w="120" w:type="dxa"/>
            </w:tcMar>
            <w:vAlign w:val="center"/>
          </w:tcPr>
          <w:p w14:paraId="547F4446">
            <w:pPr>
              <w:snapToGrid w:val="0"/>
              <w:spacing w:line="400" w:lineRule="exact"/>
              <w:jc w:val="center"/>
              <w:rPr>
                <w:rFonts w:ascii="Times New Roman" w:hAnsi="Times New Roman" w:eastAsia="仿宋" w:cs="Times New Roman"/>
                <w:b/>
                <w:bCs/>
                <w:color w:val="000000" w:themeColor="text1"/>
                <w:sz w:val="24"/>
                <w14:textFill>
                  <w14:solidFill>
                    <w14:schemeClr w14:val="tx1"/>
                  </w14:solidFill>
                </w14:textFill>
              </w:rPr>
            </w:pPr>
            <w:r>
              <w:rPr>
                <w:rFonts w:ascii="Times New Roman" w:hAnsi="Times New Roman" w:eastAsia="仿宋" w:cs="Times New Roman"/>
                <w:b/>
                <w:bCs/>
                <w:color w:val="000000" w:themeColor="text1"/>
                <w:sz w:val="24"/>
                <w:szCs w:val="24"/>
                <w14:textFill>
                  <w14:solidFill>
                    <w14:schemeClr w14:val="tx1"/>
                  </w14:solidFill>
                </w14:textFill>
              </w:rPr>
              <w:t>现行收费标准</w:t>
            </w:r>
          </w:p>
        </w:tc>
        <w:tc>
          <w:tcPr>
            <w:tcW w:w="1985" w:type="dxa"/>
            <w:tcMar>
              <w:top w:w="60" w:type="dxa"/>
              <w:left w:w="120" w:type="dxa"/>
              <w:bottom w:w="30" w:type="dxa"/>
              <w:right w:w="120" w:type="dxa"/>
            </w:tcMar>
            <w:vAlign w:val="center"/>
          </w:tcPr>
          <w:p w14:paraId="316B03C7">
            <w:pPr>
              <w:snapToGrid w:val="0"/>
              <w:spacing w:line="400" w:lineRule="exact"/>
              <w:jc w:val="center"/>
              <w:rPr>
                <w:rFonts w:ascii="Times New Roman" w:hAnsi="Times New Roman" w:eastAsia="仿宋" w:cs="Times New Roman"/>
                <w:b/>
                <w:bCs/>
                <w:color w:val="000000" w:themeColor="text1"/>
                <w:sz w:val="24"/>
                <w:szCs w:val="24"/>
                <w14:textFill>
                  <w14:solidFill>
                    <w14:schemeClr w14:val="tx1"/>
                  </w14:solidFill>
                </w14:textFill>
              </w:rPr>
            </w:pPr>
            <w:r>
              <w:rPr>
                <w:rFonts w:ascii="Times New Roman" w:hAnsi="Times New Roman" w:eastAsia="仿宋" w:cs="Times New Roman"/>
                <w:b/>
                <w:bCs/>
                <w:color w:val="000000" w:themeColor="text1"/>
                <w:sz w:val="24"/>
                <w:szCs w:val="24"/>
                <w14:textFill>
                  <w14:solidFill>
                    <w14:schemeClr w14:val="tx1"/>
                  </w14:solidFill>
                </w14:textFill>
              </w:rPr>
              <w:t>优化后收费标准</w:t>
            </w:r>
          </w:p>
        </w:tc>
        <w:tc>
          <w:tcPr>
            <w:tcW w:w="1701" w:type="dxa"/>
            <w:vAlign w:val="center"/>
          </w:tcPr>
          <w:p w14:paraId="717CB4AB">
            <w:pPr>
              <w:widowControl/>
              <w:snapToGrid w:val="0"/>
              <w:jc w:val="center"/>
              <w:rPr>
                <w:rFonts w:ascii="Times New Roman" w:hAnsi="Times New Roman" w:eastAsia="仿宋" w:cs="Times New Roman"/>
                <w:b/>
                <w:bCs/>
                <w:color w:val="000000" w:themeColor="text1"/>
                <w:sz w:val="24"/>
                <w14:textFill>
                  <w14:solidFill>
                    <w14:schemeClr w14:val="tx1"/>
                  </w14:solidFill>
                </w14:textFill>
              </w:rPr>
            </w:pPr>
            <w:r>
              <w:rPr>
                <w:rFonts w:hint="eastAsia" w:ascii="Times New Roman" w:hAnsi="Times New Roman" w:eastAsia="仿宋" w:cs="Times New Roman"/>
                <w:b/>
                <w:bCs/>
                <w:color w:val="000000" w:themeColor="text1"/>
                <w:sz w:val="24"/>
                <w:szCs w:val="24"/>
                <w14:textFill>
                  <w14:solidFill>
                    <w14:schemeClr w14:val="tx1"/>
                  </w14:solidFill>
                </w14:textFill>
              </w:rPr>
              <w:t>调价幅度</w:t>
            </w:r>
          </w:p>
        </w:tc>
      </w:tr>
      <w:tr w14:paraId="4C3E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 w:hRule="atLeast"/>
          <w:jc w:val="center"/>
        </w:trPr>
        <w:tc>
          <w:tcPr>
            <w:tcW w:w="1448" w:type="dxa"/>
            <w:vMerge w:val="restart"/>
            <w:tcMar>
              <w:top w:w="60" w:type="dxa"/>
              <w:left w:w="120" w:type="dxa"/>
              <w:bottom w:w="30" w:type="dxa"/>
              <w:right w:w="120" w:type="dxa"/>
            </w:tcMar>
            <w:vAlign w:val="center"/>
          </w:tcPr>
          <w:p w14:paraId="2A2207BF">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重点区域</w:t>
            </w:r>
          </w:p>
        </w:tc>
        <w:tc>
          <w:tcPr>
            <w:tcW w:w="2516" w:type="dxa"/>
            <w:tcMar>
              <w:top w:w="60" w:type="dxa"/>
              <w:left w:w="120" w:type="dxa"/>
              <w:bottom w:w="30" w:type="dxa"/>
              <w:right w:w="120" w:type="dxa"/>
            </w:tcMar>
            <w:vAlign w:val="center"/>
          </w:tcPr>
          <w:p w14:paraId="14EF112D">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1小时</w:t>
            </w:r>
            <w:r>
              <w:rPr>
                <w:rFonts w:hint="eastAsia" w:ascii="Times New Roman" w:hAnsi="Times New Roman" w:eastAsia="仿宋" w:cs="Times New Roman"/>
                <w:color w:val="000000" w:themeColor="text1"/>
                <w:sz w:val="24"/>
                <w:szCs w:val="24"/>
                <w14:textFill>
                  <w14:solidFill>
                    <w14:schemeClr w14:val="tx1"/>
                  </w14:solidFill>
                </w14:textFill>
              </w:rPr>
              <w:t>内</w:t>
            </w:r>
          </w:p>
          <w:p w14:paraId="769003FF">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（含1小时）</w:t>
            </w:r>
          </w:p>
        </w:tc>
        <w:tc>
          <w:tcPr>
            <w:tcW w:w="1984" w:type="dxa"/>
            <w:tcMar>
              <w:top w:w="60" w:type="dxa"/>
              <w:left w:w="120" w:type="dxa"/>
              <w:bottom w:w="30" w:type="dxa"/>
              <w:right w:w="120" w:type="dxa"/>
            </w:tcMar>
            <w:vAlign w:val="center"/>
          </w:tcPr>
          <w:p w14:paraId="0DF65722">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4元/半小时</w:t>
            </w:r>
          </w:p>
        </w:tc>
        <w:tc>
          <w:tcPr>
            <w:tcW w:w="1985" w:type="dxa"/>
            <w:tcMar>
              <w:top w:w="60" w:type="dxa"/>
              <w:left w:w="120" w:type="dxa"/>
              <w:bottom w:w="30" w:type="dxa"/>
              <w:right w:w="120" w:type="dxa"/>
            </w:tcMar>
            <w:vAlign w:val="center"/>
          </w:tcPr>
          <w:p w14:paraId="3E7972D1">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1.5元/15分钟</w:t>
            </w:r>
          </w:p>
        </w:tc>
        <w:tc>
          <w:tcPr>
            <w:tcW w:w="1701" w:type="dxa"/>
            <w:vAlign w:val="center"/>
          </w:tcPr>
          <w:p w14:paraId="54368FFF">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-25.0%</w:t>
            </w:r>
          </w:p>
        </w:tc>
      </w:tr>
      <w:tr w14:paraId="4CEAE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 w:hRule="atLeast"/>
          <w:jc w:val="center"/>
        </w:trPr>
        <w:tc>
          <w:tcPr>
            <w:tcW w:w="1448" w:type="dxa"/>
            <w:vMerge w:val="continue"/>
            <w:tcMar>
              <w:top w:w="60" w:type="dxa"/>
              <w:left w:w="120" w:type="dxa"/>
              <w:bottom w:w="30" w:type="dxa"/>
              <w:right w:w="120" w:type="dxa"/>
            </w:tcMar>
            <w:vAlign w:val="center"/>
          </w:tcPr>
          <w:p w14:paraId="274FFE2F">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p>
        </w:tc>
        <w:tc>
          <w:tcPr>
            <w:tcW w:w="2516" w:type="dxa"/>
            <w:tcMar>
              <w:top w:w="60" w:type="dxa"/>
              <w:left w:w="120" w:type="dxa"/>
              <w:bottom w:w="30" w:type="dxa"/>
              <w:right w:w="120" w:type="dxa"/>
            </w:tcMar>
            <w:vAlign w:val="center"/>
          </w:tcPr>
          <w:p w14:paraId="2F24B039">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1</w:t>
            </w:r>
            <w:r>
              <w:rPr>
                <w:rFonts w:ascii="Times New Roman" w:hAnsi="Times New Roman" w:eastAsia="仿宋" w:cs="Times New Roman"/>
                <w:color w:val="000000" w:themeColor="text1"/>
                <w:sz w:val="24"/>
                <w:szCs w:val="24"/>
                <w14:textFill>
                  <w14:solidFill>
                    <w14:schemeClr w14:val="tx1"/>
                  </w14:solidFill>
                </w14:textFill>
              </w:rPr>
              <w:t>-3小时</w:t>
            </w:r>
          </w:p>
          <w:p w14:paraId="42D728D1">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（含3小时）</w:t>
            </w:r>
          </w:p>
        </w:tc>
        <w:tc>
          <w:tcPr>
            <w:tcW w:w="1984" w:type="dxa"/>
            <w:tcMar>
              <w:top w:w="60" w:type="dxa"/>
              <w:left w:w="120" w:type="dxa"/>
              <w:bottom w:w="30" w:type="dxa"/>
              <w:right w:w="120" w:type="dxa"/>
            </w:tcMar>
            <w:vAlign w:val="center"/>
          </w:tcPr>
          <w:p w14:paraId="5345A84D">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6元/半小时</w:t>
            </w:r>
          </w:p>
        </w:tc>
        <w:tc>
          <w:tcPr>
            <w:tcW w:w="1985" w:type="dxa"/>
            <w:tcMar>
              <w:top w:w="60" w:type="dxa"/>
              <w:left w:w="120" w:type="dxa"/>
              <w:bottom w:w="30" w:type="dxa"/>
              <w:right w:w="120" w:type="dxa"/>
            </w:tcMar>
            <w:vAlign w:val="center"/>
          </w:tcPr>
          <w:p w14:paraId="32566BAA">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2元/15分钟</w:t>
            </w:r>
          </w:p>
        </w:tc>
        <w:tc>
          <w:tcPr>
            <w:tcW w:w="1701" w:type="dxa"/>
            <w:vAlign w:val="center"/>
          </w:tcPr>
          <w:p w14:paraId="386D1C7E">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-33.3%</w:t>
            </w:r>
          </w:p>
        </w:tc>
      </w:tr>
      <w:tr w14:paraId="7F3E9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70" w:hRule="atLeast"/>
          <w:jc w:val="center"/>
        </w:trPr>
        <w:tc>
          <w:tcPr>
            <w:tcW w:w="1448" w:type="dxa"/>
            <w:vMerge w:val="continue"/>
            <w:tcMar>
              <w:top w:w="60" w:type="dxa"/>
              <w:left w:w="120" w:type="dxa"/>
              <w:bottom w:w="30" w:type="dxa"/>
              <w:right w:w="120" w:type="dxa"/>
            </w:tcMar>
            <w:vAlign w:val="center"/>
          </w:tcPr>
          <w:p w14:paraId="6BEF3641">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p>
        </w:tc>
        <w:tc>
          <w:tcPr>
            <w:tcW w:w="2516" w:type="dxa"/>
            <w:tcMar>
              <w:top w:w="60" w:type="dxa"/>
              <w:left w:w="120" w:type="dxa"/>
              <w:bottom w:w="30" w:type="dxa"/>
              <w:right w:w="120" w:type="dxa"/>
            </w:tcMar>
            <w:vAlign w:val="center"/>
          </w:tcPr>
          <w:p w14:paraId="530154C6">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3小时以上</w:t>
            </w:r>
          </w:p>
        </w:tc>
        <w:tc>
          <w:tcPr>
            <w:tcW w:w="1984" w:type="dxa"/>
            <w:tcMar>
              <w:top w:w="60" w:type="dxa"/>
              <w:left w:w="120" w:type="dxa"/>
              <w:bottom w:w="30" w:type="dxa"/>
              <w:right w:w="120" w:type="dxa"/>
            </w:tcMar>
            <w:vAlign w:val="center"/>
          </w:tcPr>
          <w:p w14:paraId="751DFED4">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10元/半小时</w:t>
            </w:r>
          </w:p>
        </w:tc>
        <w:tc>
          <w:tcPr>
            <w:tcW w:w="1985" w:type="dxa"/>
            <w:tcMar>
              <w:top w:w="60" w:type="dxa"/>
              <w:left w:w="120" w:type="dxa"/>
              <w:bottom w:w="30" w:type="dxa"/>
              <w:right w:w="120" w:type="dxa"/>
            </w:tcMar>
            <w:vAlign w:val="center"/>
          </w:tcPr>
          <w:p w14:paraId="1AC5EF1F">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3元/15分钟</w:t>
            </w:r>
          </w:p>
        </w:tc>
        <w:tc>
          <w:tcPr>
            <w:tcW w:w="1701" w:type="dxa"/>
            <w:vAlign w:val="center"/>
          </w:tcPr>
          <w:p w14:paraId="36734584">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-40.0%</w:t>
            </w:r>
          </w:p>
        </w:tc>
      </w:tr>
      <w:tr w14:paraId="6313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 w:hRule="atLeast"/>
          <w:jc w:val="center"/>
        </w:trPr>
        <w:tc>
          <w:tcPr>
            <w:tcW w:w="1448" w:type="dxa"/>
            <w:vMerge w:val="continue"/>
            <w:tcMar>
              <w:top w:w="60" w:type="dxa"/>
              <w:left w:w="120" w:type="dxa"/>
              <w:bottom w:w="30" w:type="dxa"/>
              <w:right w:w="120" w:type="dxa"/>
            </w:tcMar>
            <w:vAlign w:val="center"/>
          </w:tcPr>
          <w:p w14:paraId="1F2DB7A9">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p>
        </w:tc>
        <w:tc>
          <w:tcPr>
            <w:tcW w:w="2516" w:type="dxa"/>
            <w:tcMar>
              <w:top w:w="60" w:type="dxa"/>
              <w:left w:w="120" w:type="dxa"/>
              <w:bottom w:w="30" w:type="dxa"/>
              <w:right w:w="120" w:type="dxa"/>
            </w:tcMar>
            <w:vAlign w:val="center"/>
          </w:tcPr>
          <w:p w14:paraId="37EB841E">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bookmarkStart w:id="9" w:name="OLE_LINK4"/>
            <w:r>
              <w:rPr>
                <w:rFonts w:hint="eastAsia" w:ascii="Times New Roman" w:hAnsi="Times New Roman" w:eastAsia="仿宋" w:cs="Times New Roman"/>
                <w:color w:val="000000" w:themeColor="text1"/>
                <w:sz w:val="24"/>
                <w:szCs w:val="24"/>
                <w14:textFill>
                  <w14:solidFill>
                    <w14:schemeClr w14:val="tx1"/>
                  </w14:solidFill>
                </w14:textFill>
              </w:rPr>
              <w:t>每日收费时段内单次连续停放最高限价</w:t>
            </w:r>
            <w:bookmarkEnd w:id="9"/>
          </w:p>
        </w:tc>
        <w:tc>
          <w:tcPr>
            <w:tcW w:w="1984" w:type="dxa"/>
            <w:tcMar>
              <w:top w:w="60" w:type="dxa"/>
              <w:left w:w="120" w:type="dxa"/>
              <w:bottom w:w="30" w:type="dxa"/>
              <w:right w:w="120" w:type="dxa"/>
            </w:tcMar>
            <w:vAlign w:val="center"/>
          </w:tcPr>
          <w:p w14:paraId="613855CD">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132元</w:t>
            </w:r>
          </w:p>
        </w:tc>
        <w:tc>
          <w:tcPr>
            <w:tcW w:w="1985" w:type="dxa"/>
            <w:tcMar>
              <w:top w:w="60" w:type="dxa"/>
              <w:left w:w="120" w:type="dxa"/>
              <w:bottom w:w="30" w:type="dxa"/>
              <w:right w:w="120" w:type="dxa"/>
            </w:tcMar>
            <w:vAlign w:val="center"/>
          </w:tcPr>
          <w:p w14:paraId="494090AF">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58元</w:t>
            </w:r>
          </w:p>
        </w:tc>
        <w:tc>
          <w:tcPr>
            <w:tcW w:w="1701" w:type="dxa"/>
            <w:vAlign w:val="center"/>
          </w:tcPr>
          <w:p w14:paraId="4CFB630A">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bookmarkStart w:id="10" w:name="_Hlk218765919"/>
            <w:r>
              <w:rPr>
                <w:rFonts w:hint="eastAsia" w:ascii="Times New Roman" w:hAnsi="Times New Roman" w:eastAsia="仿宋" w:cs="Times New Roman"/>
                <w:color w:val="000000" w:themeColor="text1"/>
                <w:sz w:val="24"/>
                <w:szCs w:val="24"/>
                <w14:textFill>
                  <w14:solidFill>
                    <w14:schemeClr w14:val="tx1"/>
                  </w14:solidFill>
                </w14:textFill>
              </w:rPr>
              <w:t>-56.1%</w:t>
            </w:r>
            <w:bookmarkEnd w:id="10"/>
          </w:p>
        </w:tc>
      </w:tr>
      <w:tr w14:paraId="793A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 w:hRule="atLeast"/>
          <w:jc w:val="center"/>
        </w:trPr>
        <w:tc>
          <w:tcPr>
            <w:tcW w:w="1448" w:type="dxa"/>
            <w:vMerge w:val="restart"/>
            <w:tcMar>
              <w:top w:w="60" w:type="dxa"/>
              <w:left w:w="120" w:type="dxa"/>
              <w:bottom w:w="30" w:type="dxa"/>
              <w:right w:w="120" w:type="dxa"/>
            </w:tcMar>
            <w:vAlign w:val="center"/>
          </w:tcPr>
          <w:p w14:paraId="7650CBA5">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非重点区域</w:t>
            </w:r>
          </w:p>
        </w:tc>
        <w:tc>
          <w:tcPr>
            <w:tcW w:w="2516" w:type="dxa"/>
            <w:tcMar>
              <w:top w:w="60" w:type="dxa"/>
              <w:left w:w="120" w:type="dxa"/>
              <w:bottom w:w="30" w:type="dxa"/>
              <w:right w:w="120" w:type="dxa"/>
            </w:tcMar>
            <w:vAlign w:val="center"/>
          </w:tcPr>
          <w:p w14:paraId="7476F930">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1小时</w:t>
            </w:r>
            <w:r>
              <w:rPr>
                <w:rFonts w:hint="eastAsia" w:ascii="Times New Roman" w:hAnsi="Times New Roman" w:eastAsia="仿宋" w:cs="Times New Roman"/>
                <w:color w:val="000000" w:themeColor="text1"/>
                <w:sz w:val="24"/>
                <w:szCs w:val="24"/>
                <w14:textFill>
                  <w14:solidFill>
                    <w14:schemeClr w14:val="tx1"/>
                  </w14:solidFill>
                </w14:textFill>
              </w:rPr>
              <w:t>内</w:t>
            </w:r>
          </w:p>
          <w:p w14:paraId="14A16BA9">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（含1小时）</w:t>
            </w:r>
          </w:p>
        </w:tc>
        <w:tc>
          <w:tcPr>
            <w:tcW w:w="1984" w:type="dxa"/>
            <w:tcMar>
              <w:top w:w="60" w:type="dxa"/>
              <w:left w:w="120" w:type="dxa"/>
              <w:bottom w:w="30" w:type="dxa"/>
              <w:right w:w="120" w:type="dxa"/>
            </w:tcMar>
            <w:vAlign w:val="center"/>
          </w:tcPr>
          <w:p w14:paraId="0FABE978">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2</w:t>
            </w:r>
            <w:r>
              <w:rPr>
                <w:rFonts w:hint="eastAsia" w:ascii="Times New Roman" w:hAnsi="Times New Roman" w:eastAsia="仿宋" w:cs="Times New Roman"/>
                <w:color w:val="000000" w:themeColor="text1"/>
                <w:sz w:val="24"/>
                <w:szCs w:val="24"/>
                <w14:textFill>
                  <w14:solidFill>
                    <w14:schemeClr w14:val="tx1"/>
                  </w14:solidFill>
                </w14:textFill>
              </w:rPr>
              <w:t>元/半小时</w:t>
            </w:r>
          </w:p>
        </w:tc>
        <w:tc>
          <w:tcPr>
            <w:tcW w:w="1985" w:type="dxa"/>
            <w:tcMar>
              <w:top w:w="60" w:type="dxa"/>
              <w:left w:w="120" w:type="dxa"/>
              <w:bottom w:w="30" w:type="dxa"/>
              <w:right w:w="120" w:type="dxa"/>
            </w:tcMar>
            <w:vAlign w:val="center"/>
          </w:tcPr>
          <w:p w14:paraId="5128677A">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1元/15分钟</w:t>
            </w:r>
          </w:p>
        </w:tc>
        <w:tc>
          <w:tcPr>
            <w:tcW w:w="1701" w:type="dxa"/>
            <w:vAlign w:val="center"/>
          </w:tcPr>
          <w:p w14:paraId="161686B8">
            <w:pPr>
              <w:snapToGrid w:val="0"/>
              <w:spacing w:line="400" w:lineRule="exact"/>
              <w:jc w:val="center"/>
              <w:rPr>
                <w:rFonts w:hint="eastAsia" w:ascii="Times New Roman" w:hAnsi="Times New Roman" w:eastAsia="仿宋" w:cs="Times New Roman"/>
                <w:color w:val="000000" w:themeColor="text1"/>
                <w:sz w:val="24"/>
                <w:lang w:eastAsia="zh-CN"/>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w:t>
            </w:r>
          </w:p>
        </w:tc>
      </w:tr>
      <w:tr w14:paraId="14362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 w:hRule="atLeast"/>
          <w:jc w:val="center"/>
        </w:trPr>
        <w:tc>
          <w:tcPr>
            <w:tcW w:w="1448" w:type="dxa"/>
            <w:vMerge w:val="continue"/>
            <w:tcMar>
              <w:top w:w="60" w:type="dxa"/>
              <w:left w:w="120" w:type="dxa"/>
              <w:bottom w:w="30" w:type="dxa"/>
              <w:right w:w="120" w:type="dxa"/>
            </w:tcMar>
            <w:vAlign w:val="center"/>
          </w:tcPr>
          <w:p w14:paraId="66B01477">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p>
        </w:tc>
        <w:tc>
          <w:tcPr>
            <w:tcW w:w="2516" w:type="dxa"/>
            <w:tcMar>
              <w:top w:w="60" w:type="dxa"/>
              <w:left w:w="120" w:type="dxa"/>
              <w:bottom w:w="30" w:type="dxa"/>
              <w:right w:w="120" w:type="dxa"/>
            </w:tcMar>
            <w:vAlign w:val="center"/>
          </w:tcPr>
          <w:p w14:paraId="508F06B9">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1</w:t>
            </w:r>
            <w:r>
              <w:rPr>
                <w:rFonts w:ascii="Times New Roman" w:hAnsi="Times New Roman" w:eastAsia="仿宋" w:cs="Times New Roman"/>
                <w:color w:val="000000" w:themeColor="text1"/>
                <w:sz w:val="24"/>
                <w:szCs w:val="24"/>
                <w14:textFill>
                  <w14:solidFill>
                    <w14:schemeClr w14:val="tx1"/>
                  </w14:solidFill>
                </w14:textFill>
              </w:rPr>
              <w:t>-3小时</w:t>
            </w:r>
          </w:p>
          <w:p w14:paraId="0C0E140B">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（含3小时）</w:t>
            </w:r>
          </w:p>
        </w:tc>
        <w:tc>
          <w:tcPr>
            <w:tcW w:w="1984" w:type="dxa"/>
            <w:tcMar>
              <w:top w:w="60" w:type="dxa"/>
              <w:left w:w="120" w:type="dxa"/>
              <w:bottom w:w="30" w:type="dxa"/>
              <w:right w:w="120" w:type="dxa"/>
            </w:tcMar>
            <w:vAlign w:val="center"/>
          </w:tcPr>
          <w:p w14:paraId="13239250">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3</w:t>
            </w:r>
            <w:r>
              <w:rPr>
                <w:rFonts w:hint="eastAsia" w:ascii="Times New Roman" w:hAnsi="Times New Roman" w:eastAsia="仿宋" w:cs="Times New Roman"/>
                <w:color w:val="000000" w:themeColor="text1"/>
                <w:sz w:val="24"/>
                <w:szCs w:val="24"/>
                <w14:textFill>
                  <w14:solidFill>
                    <w14:schemeClr w14:val="tx1"/>
                  </w14:solidFill>
                </w14:textFill>
              </w:rPr>
              <w:t>元/半小时</w:t>
            </w:r>
          </w:p>
        </w:tc>
        <w:tc>
          <w:tcPr>
            <w:tcW w:w="1985" w:type="dxa"/>
            <w:tcMar>
              <w:top w:w="60" w:type="dxa"/>
              <w:left w:w="120" w:type="dxa"/>
              <w:bottom w:w="30" w:type="dxa"/>
              <w:right w:w="120" w:type="dxa"/>
            </w:tcMar>
            <w:vAlign w:val="center"/>
          </w:tcPr>
          <w:p w14:paraId="56B0AFE6">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1.5元/15分钟</w:t>
            </w:r>
          </w:p>
        </w:tc>
        <w:tc>
          <w:tcPr>
            <w:tcW w:w="1701" w:type="dxa"/>
            <w:vAlign w:val="center"/>
          </w:tcPr>
          <w:p w14:paraId="5358E42B">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w:t>
            </w:r>
          </w:p>
        </w:tc>
      </w:tr>
      <w:tr w14:paraId="2053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77" w:hRule="atLeast"/>
          <w:jc w:val="center"/>
        </w:trPr>
        <w:tc>
          <w:tcPr>
            <w:tcW w:w="1448" w:type="dxa"/>
            <w:vMerge w:val="continue"/>
            <w:tcMar>
              <w:top w:w="60" w:type="dxa"/>
              <w:left w:w="120" w:type="dxa"/>
              <w:bottom w:w="30" w:type="dxa"/>
              <w:right w:w="120" w:type="dxa"/>
            </w:tcMar>
            <w:vAlign w:val="center"/>
          </w:tcPr>
          <w:p w14:paraId="7CC63380">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p>
        </w:tc>
        <w:tc>
          <w:tcPr>
            <w:tcW w:w="2516" w:type="dxa"/>
            <w:tcMar>
              <w:top w:w="60" w:type="dxa"/>
              <w:left w:w="120" w:type="dxa"/>
              <w:bottom w:w="30" w:type="dxa"/>
              <w:right w:w="120" w:type="dxa"/>
            </w:tcMar>
            <w:vAlign w:val="center"/>
          </w:tcPr>
          <w:p w14:paraId="5AB2A8F7">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3小时以上</w:t>
            </w:r>
          </w:p>
        </w:tc>
        <w:tc>
          <w:tcPr>
            <w:tcW w:w="1984" w:type="dxa"/>
            <w:tcMar>
              <w:top w:w="60" w:type="dxa"/>
              <w:left w:w="120" w:type="dxa"/>
              <w:bottom w:w="30" w:type="dxa"/>
              <w:right w:w="120" w:type="dxa"/>
            </w:tcMar>
            <w:vAlign w:val="center"/>
          </w:tcPr>
          <w:p w14:paraId="1308E220">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4</w:t>
            </w:r>
            <w:r>
              <w:rPr>
                <w:rFonts w:hint="eastAsia" w:ascii="Times New Roman" w:hAnsi="Times New Roman" w:eastAsia="仿宋" w:cs="Times New Roman"/>
                <w:color w:val="000000" w:themeColor="text1"/>
                <w:sz w:val="24"/>
                <w:szCs w:val="24"/>
                <w14:textFill>
                  <w14:solidFill>
                    <w14:schemeClr w14:val="tx1"/>
                  </w14:solidFill>
                </w14:textFill>
              </w:rPr>
              <w:t>元/半小时</w:t>
            </w:r>
          </w:p>
        </w:tc>
        <w:tc>
          <w:tcPr>
            <w:tcW w:w="1985" w:type="dxa"/>
            <w:tcMar>
              <w:top w:w="60" w:type="dxa"/>
              <w:left w:w="120" w:type="dxa"/>
              <w:bottom w:w="30" w:type="dxa"/>
              <w:right w:w="120" w:type="dxa"/>
            </w:tcMar>
            <w:vAlign w:val="center"/>
          </w:tcPr>
          <w:p w14:paraId="56D7A9A9">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2元/15分钟</w:t>
            </w:r>
          </w:p>
        </w:tc>
        <w:tc>
          <w:tcPr>
            <w:tcW w:w="1701" w:type="dxa"/>
            <w:vAlign w:val="center"/>
          </w:tcPr>
          <w:p w14:paraId="2A948F8A">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w:t>
            </w:r>
          </w:p>
        </w:tc>
      </w:tr>
      <w:tr w14:paraId="5D0C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 w:hRule="atLeast"/>
          <w:jc w:val="center"/>
        </w:trPr>
        <w:tc>
          <w:tcPr>
            <w:tcW w:w="1448" w:type="dxa"/>
            <w:vMerge w:val="continue"/>
            <w:tcMar>
              <w:top w:w="60" w:type="dxa"/>
              <w:left w:w="120" w:type="dxa"/>
              <w:bottom w:w="30" w:type="dxa"/>
              <w:right w:w="120" w:type="dxa"/>
            </w:tcMar>
            <w:vAlign w:val="center"/>
          </w:tcPr>
          <w:p w14:paraId="394EC5EC">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p>
        </w:tc>
        <w:tc>
          <w:tcPr>
            <w:tcW w:w="2516" w:type="dxa"/>
            <w:tcMar>
              <w:top w:w="60" w:type="dxa"/>
              <w:left w:w="120" w:type="dxa"/>
              <w:bottom w:w="30" w:type="dxa"/>
              <w:right w:w="120" w:type="dxa"/>
            </w:tcMar>
            <w:vAlign w:val="center"/>
          </w:tcPr>
          <w:p w14:paraId="1E0BAF7A">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每日收费时段内单次连续停放最高限价</w:t>
            </w:r>
          </w:p>
        </w:tc>
        <w:tc>
          <w:tcPr>
            <w:tcW w:w="1984" w:type="dxa"/>
            <w:tcMar>
              <w:top w:w="60" w:type="dxa"/>
              <w:left w:w="120" w:type="dxa"/>
              <w:bottom w:w="30" w:type="dxa"/>
              <w:right w:w="120" w:type="dxa"/>
            </w:tcMar>
            <w:vAlign w:val="center"/>
          </w:tcPr>
          <w:p w14:paraId="41578C66">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ascii="Times New Roman" w:hAnsi="Times New Roman" w:eastAsia="仿宋" w:cs="Times New Roman"/>
                <w:color w:val="000000" w:themeColor="text1"/>
                <w:sz w:val="24"/>
                <w:szCs w:val="24"/>
                <w14:textFill>
                  <w14:solidFill>
                    <w14:schemeClr w14:val="tx1"/>
                  </w14:solidFill>
                </w14:textFill>
              </w:rPr>
              <w:t>24</w:t>
            </w:r>
            <w:r>
              <w:rPr>
                <w:rFonts w:hint="eastAsia" w:ascii="Times New Roman" w:hAnsi="Times New Roman" w:eastAsia="仿宋" w:cs="Times New Roman"/>
                <w:color w:val="000000" w:themeColor="text1"/>
                <w:sz w:val="24"/>
                <w:szCs w:val="24"/>
                <w14:textFill>
                  <w14:solidFill>
                    <w14:schemeClr w14:val="tx1"/>
                  </w14:solidFill>
                </w14:textFill>
              </w:rPr>
              <w:t>元</w:t>
            </w:r>
          </w:p>
        </w:tc>
        <w:tc>
          <w:tcPr>
            <w:tcW w:w="1985" w:type="dxa"/>
            <w:tcMar>
              <w:top w:w="60" w:type="dxa"/>
              <w:left w:w="120" w:type="dxa"/>
              <w:bottom w:w="30" w:type="dxa"/>
              <w:right w:w="120" w:type="dxa"/>
            </w:tcMar>
            <w:vAlign w:val="center"/>
          </w:tcPr>
          <w:p w14:paraId="56B1FDEB">
            <w:pPr>
              <w:snapToGrid w:val="0"/>
              <w:spacing w:line="400" w:lineRule="exact"/>
              <w:jc w:val="center"/>
              <w:rPr>
                <w:rFonts w:ascii="Times New Roman" w:hAnsi="Times New Roman" w:eastAsia="仿宋" w:cs="Times New Roman"/>
                <w:color w:val="000000" w:themeColor="text1"/>
                <w:sz w:val="24"/>
                <w:szCs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24元</w:t>
            </w:r>
          </w:p>
        </w:tc>
        <w:tc>
          <w:tcPr>
            <w:tcW w:w="1701" w:type="dxa"/>
            <w:vAlign w:val="center"/>
          </w:tcPr>
          <w:p w14:paraId="05670A8C">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lang w:val="en-US" w:eastAsia="zh-CN"/>
                <w14:textFill>
                  <w14:solidFill>
                    <w14:schemeClr w14:val="tx1"/>
                  </w14:solidFill>
                </w14:textFill>
              </w:rPr>
              <w:t>\</w:t>
            </w:r>
          </w:p>
        </w:tc>
      </w:tr>
      <w:tr w14:paraId="27913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40" w:hRule="atLeast"/>
          <w:jc w:val="center"/>
        </w:trPr>
        <w:tc>
          <w:tcPr>
            <w:tcW w:w="1448" w:type="dxa"/>
            <w:tcMar>
              <w:top w:w="60" w:type="dxa"/>
              <w:left w:w="120" w:type="dxa"/>
              <w:bottom w:w="30" w:type="dxa"/>
              <w:right w:w="120" w:type="dxa"/>
            </w:tcMar>
            <w:vAlign w:val="center"/>
          </w:tcPr>
          <w:p w14:paraId="3EA90B70">
            <w:pPr>
              <w:snapToGrid w:val="0"/>
              <w:spacing w:line="400" w:lineRule="exact"/>
              <w:jc w:val="center"/>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备注</w:t>
            </w:r>
          </w:p>
        </w:tc>
        <w:tc>
          <w:tcPr>
            <w:tcW w:w="8186" w:type="dxa"/>
            <w:gridSpan w:val="4"/>
            <w:vAlign w:val="center"/>
          </w:tcPr>
          <w:p w14:paraId="6B3A3AAC">
            <w:pPr>
              <w:snapToGrid w:val="0"/>
              <w:spacing w:line="400" w:lineRule="exact"/>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1.收费时段：工作日（7:30</w:t>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w:t>
            </w:r>
            <w:r>
              <w:rPr>
                <w:rFonts w:hint="eastAsia" w:ascii="Times New Roman" w:hAnsi="Times New Roman" w:eastAsia="仿宋" w:cs="Times New Roman"/>
                <w:color w:val="000000" w:themeColor="text1"/>
                <w:sz w:val="24"/>
                <w:szCs w:val="24"/>
                <w14:textFill>
                  <w14:solidFill>
                    <w14:schemeClr w14:val="tx1"/>
                  </w14:solidFill>
                </w14:textFill>
              </w:rPr>
              <w:t>21:30）、非工作日（10:00</w:t>
            </w:r>
            <w:r>
              <w:rPr>
                <w:rFonts w:hint="eastAsia" w:ascii="Times New Roman" w:hAnsi="Times New Roman" w:eastAsia="仿宋" w:cs="Times New Roman"/>
                <w:color w:val="000000" w:themeColor="text1"/>
                <w:sz w:val="24"/>
                <w:szCs w:val="24"/>
                <w:lang w:val="en-US" w:eastAsia="zh-CN"/>
                <w14:textFill>
                  <w14:solidFill>
                    <w14:schemeClr w14:val="tx1"/>
                  </w14:solidFill>
                </w14:textFill>
              </w:rPr>
              <w:t>-</w:t>
            </w:r>
            <w:r>
              <w:rPr>
                <w:rFonts w:hint="eastAsia" w:ascii="Times New Roman" w:hAnsi="Times New Roman" w:eastAsia="仿宋" w:cs="Times New Roman"/>
                <w:color w:val="000000" w:themeColor="text1"/>
                <w:sz w:val="24"/>
                <w:szCs w:val="24"/>
                <w14:textFill>
                  <w14:solidFill>
                    <w14:schemeClr w14:val="tx1"/>
                  </w14:solidFill>
                </w14:textFill>
              </w:rPr>
              <w:t>21:30）；</w:t>
            </w:r>
          </w:p>
          <w:p w14:paraId="33E9D910">
            <w:pPr>
              <w:snapToGrid w:val="0"/>
              <w:spacing w:line="400" w:lineRule="exact"/>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2.收费时段外停车免费；</w:t>
            </w:r>
          </w:p>
          <w:p w14:paraId="2D3908F7">
            <w:pPr>
              <w:snapToGrid w:val="0"/>
              <w:spacing w:line="400" w:lineRule="exact"/>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3.停车15分钟内不收费；</w:t>
            </w:r>
          </w:p>
          <w:p w14:paraId="7495880C">
            <w:pPr>
              <w:snapToGrid w:val="0"/>
              <w:spacing w:line="400" w:lineRule="exact"/>
              <w:rPr>
                <w:rFonts w:ascii="Times New Roman" w:hAnsi="Times New Roman" w:eastAsia="仿宋" w:cs="Times New Roman"/>
                <w:color w:val="000000" w:themeColor="text1"/>
                <w:sz w:val="24"/>
                <w14:textFill>
                  <w14:solidFill>
                    <w14:schemeClr w14:val="tx1"/>
                  </w14:solidFill>
                </w14:textFill>
              </w:rPr>
            </w:pPr>
            <w:r>
              <w:rPr>
                <w:rFonts w:hint="eastAsia" w:ascii="Times New Roman" w:hAnsi="Times New Roman" w:eastAsia="仿宋" w:cs="Times New Roman"/>
                <w:color w:val="000000" w:themeColor="text1"/>
                <w:sz w:val="24"/>
                <w:szCs w:val="24"/>
                <w14:textFill>
                  <w14:solidFill>
                    <w14:schemeClr w14:val="tx1"/>
                  </w14:solidFill>
                </w14:textFill>
              </w:rPr>
              <w:t>4.计时收费单位：元/15分钟。</w:t>
            </w:r>
          </w:p>
        </w:tc>
      </w:tr>
      <w:bookmarkEnd w:id="8"/>
    </w:tbl>
    <w:p w14:paraId="01ECE820">
      <w:pPr>
        <w:spacing w:line="600" w:lineRule="exact"/>
        <w:ind w:firstLine="640" w:firstLineChars="200"/>
        <w:outlineLvl w:val="0"/>
        <w:rPr>
          <w:rFonts w:hint="eastAsia" w:ascii="黑体" w:hAnsi="黑体" w:eastAsia="黑体" w:cs="黑体"/>
          <w:color w:val="000000" w:themeColor="text1"/>
          <w:sz w:val="32"/>
          <w:szCs w:val="36"/>
          <w14:textFill>
            <w14:solidFill>
              <w14:schemeClr w14:val="tx1"/>
            </w14:solidFill>
          </w14:textFill>
        </w:rPr>
      </w:pPr>
      <w:r>
        <w:rPr>
          <w:rFonts w:hint="eastAsia" w:ascii="黑体" w:hAnsi="黑体" w:eastAsia="黑体" w:cs="黑体"/>
          <w:color w:val="000000" w:themeColor="text1"/>
          <w:sz w:val="32"/>
          <w:szCs w:val="36"/>
          <w:lang w:val="en-US" w:eastAsia="zh-CN"/>
          <w14:textFill>
            <w14:solidFill>
              <w14:schemeClr w14:val="tx1"/>
            </w14:solidFill>
          </w14:textFill>
        </w:rPr>
        <w:t>四</w:t>
      </w:r>
      <w:r>
        <w:rPr>
          <w:rFonts w:hint="eastAsia" w:ascii="黑体" w:hAnsi="黑体" w:eastAsia="黑体" w:cs="黑体"/>
          <w:color w:val="000000" w:themeColor="text1"/>
          <w:sz w:val="32"/>
          <w:szCs w:val="36"/>
          <w14:textFill>
            <w14:solidFill>
              <w14:schemeClr w14:val="tx1"/>
            </w14:solidFill>
          </w14:textFill>
        </w:rPr>
        <w:t>、优化方案影响分析</w:t>
      </w:r>
    </w:p>
    <w:p w14:paraId="4595ED9A">
      <w:pPr>
        <w:ind w:firstLine="640" w:firstLineChars="200"/>
        <w:rPr>
          <w:rFonts w:hint="eastAsia" w:ascii="仿宋" w:hAnsi="仿宋" w:eastAsia="仿宋" w:cs="仿宋_GB2312"/>
          <w:color w:val="000000" w:themeColor="text1"/>
          <w:sz w:val="32"/>
          <w:szCs w:val="36"/>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6"/>
          <w14:textFill>
            <w14:solidFill>
              <w14:schemeClr w14:val="tx1"/>
            </w14:solidFill>
          </w14:textFill>
        </w:rPr>
        <w:t>（</w:t>
      </w:r>
      <w:r>
        <w:rPr>
          <w:rFonts w:hint="eastAsia" w:ascii="楷体_GB2312" w:hAnsi="楷体_GB2312" w:eastAsia="楷体_GB2312" w:cs="楷体_GB2312"/>
          <w:color w:val="000000" w:themeColor="text1"/>
          <w:sz w:val="32"/>
          <w:szCs w:val="36"/>
          <w:lang w:val="en-US" w:eastAsia="zh-CN"/>
          <w14:textFill>
            <w14:solidFill>
              <w14:schemeClr w14:val="tx1"/>
            </w14:solidFill>
          </w14:textFill>
        </w:rPr>
        <w:t>一</w:t>
      </w:r>
      <w:r>
        <w:rPr>
          <w:rFonts w:hint="eastAsia" w:ascii="楷体_GB2312" w:hAnsi="楷体_GB2312" w:eastAsia="楷体_GB2312" w:cs="楷体_GB2312"/>
          <w:color w:val="000000" w:themeColor="text1"/>
          <w:sz w:val="32"/>
          <w:szCs w:val="36"/>
          <w14:textFill>
            <w14:solidFill>
              <w14:schemeClr w14:val="tx1"/>
            </w14:solidFill>
          </w14:textFill>
        </w:rPr>
        <w:t>）</w:t>
      </w:r>
      <w:r>
        <w:rPr>
          <w:rFonts w:hint="eastAsia" w:ascii="楷体_GB2312" w:hAnsi="楷体_GB2312" w:eastAsia="楷体_GB2312" w:cs="楷体_GB2312"/>
          <w:color w:val="000000" w:themeColor="text1"/>
          <w:sz w:val="32"/>
          <w:szCs w:val="36"/>
          <w:lang w:val="en-US" w:eastAsia="zh-CN"/>
          <w14:textFill>
            <w14:solidFill>
              <w14:schemeClr w14:val="tx1"/>
            </w14:solidFill>
          </w14:textFill>
        </w:rPr>
        <w:t>对泊位使用者的影响</w:t>
      </w:r>
    </w:p>
    <w:p w14:paraId="68F93410">
      <w:pPr>
        <w:ind w:firstLine="640" w:firstLineChars="200"/>
        <w:rPr>
          <w:rFonts w:hint="eastAsia" w:ascii="仿宋" w:hAnsi="仿宋" w:eastAsia="仿宋" w:cs="仿宋_GB2312"/>
          <w:color w:val="000000" w:themeColor="text1"/>
          <w:sz w:val="32"/>
          <w:szCs w:val="36"/>
          <w14:textFill>
            <w14:solidFill>
              <w14:schemeClr w14:val="tx1"/>
            </w14:solidFill>
          </w14:textFill>
        </w:rPr>
      </w:pPr>
      <w:r>
        <w:rPr>
          <w:rFonts w:hint="eastAsia" w:ascii="仿宋" w:hAnsi="仿宋" w:eastAsia="仿宋" w:cs="仿宋_GB2312"/>
          <w:color w:val="000000" w:themeColor="text1"/>
          <w:sz w:val="32"/>
          <w:szCs w:val="36"/>
          <w14:textFill>
            <w14:solidFill>
              <w14:schemeClr w14:val="tx1"/>
            </w14:solidFill>
          </w14:textFill>
        </w:rPr>
        <w:t>番禺区城市道路停车泊位使用费标准优化后，</w:t>
      </w:r>
      <w:r>
        <w:rPr>
          <w:rFonts w:hint="eastAsia" w:ascii="仿宋" w:hAnsi="仿宋" w:eastAsia="仿宋" w:cs="仿宋_GB2312"/>
          <w:color w:val="000000" w:themeColor="text1"/>
          <w:sz w:val="32"/>
          <w:szCs w:val="36"/>
          <w:lang w:val="en-US" w:eastAsia="zh-CN"/>
          <w14:textFill>
            <w14:solidFill>
              <w14:schemeClr w14:val="tx1"/>
            </w14:solidFill>
          </w14:textFill>
        </w:rPr>
        <w:t>计费单位更加精准、公平，</w:t>
      </w:r>
      <w:r>
        <w:rPr>
          <w:rFonts w:hint="eastAsia" w:ascii="仿宋" w:hAnsi="仿宋" w:eastAsia="仿宋" w:cs="仿宋_GB2312"/>
          <w:color w:val="000000" w:themeColor="text1"/>
          <w:sz w:val="32"/>
          <w:szCs w:val="36"/>
          <w14:textFill>
            <w14:solidFill>
              <w14:schemeClr w14:val="tx1"/>
            </w14:solidFill>
          </w14:textFill>
        </w:rPr>
        <w:t>短时与长时</w:t>
      </w:r>
      <w:r>
        <w:rPr>
          <w:rFonts w:hint="eastAsia" w:ascii="仿宋" w:hAnsi="仿宋" w:eastAsia="仿宋" w:cs="仿宋_GB2312"/>
          <w:color w:val="000000" w:themeColor="text1"/>
          <w:sz w:val="32"/>
          <w:szCs w:val="36"/>
          <w:lang w:val="en-US" w:eastAsia="zh-CN"/>
          <w14:textFill>
            <w14:solidFill>
              <w14:schemeClr w14:val="tx1"/>
            </w14:solidFill>
          </w14:textFill>
        </w:rPr>
        <w:t>的道路停车泊位使用费</w:t>
      </w:r>
      <w:r>
        <w:rPr>
          <w:rFonts w:hint="eastAsia" w:ascii="仿宋" w:hAnsi="仿宋" w:eastAsia="仿宋" w:cs="仿宋_GB2312"/>
          <w:color w:val="000000" w:themeColor="text1"/>
          <w:sz w:val="32"/>
          <w:szCs w:val="36"/>
          <w14:textFill>
            <w14:solidFill>
              <w14:schemeClr w14:val="tx1"/>
            </w14:solidFill>
          </w14:textFill>
        </w:rPr>
        <w:t>均有不同程度降低</w:t>
      </w:r>
      <w:r>
        <w:rPr>
          <w:rFonts w:hint="eastAsia" w:ascii="仿宋" w:hAnsi="仿宋" w:eastAsia="仿宋" w:cs="仿宋_GB2312"/>
          <w:color w:val="000000" w:themeColor="text1"/>
          <w:sz w:val="32"/>
          <w:szCs w:val="36"/>
          <w:lang w:eastAsia="zh-CN"/>
          <w14:textFill>
            <w14:solidFill>
              <w14:schemeClr w14:val="tx1"/>
            </w14:solidFill>
          </w14:textFill>
        </w:rPr>
        <w:t>，</w:t>
      </w:r>
      <w:r>
        <w:rPr>
          <w:rFonts w:hint="eastAsia" w:ascii="仿宋" w:hAnsi="仿宋" w:eastAsia="仿宋" w:cs="仿宋_GB2312"/>
          <w:color w:val="000000" w:themeColor="text1"/>
          <w:sz w:val="32"/>
          <w:szCs w:val="36"/>
          <w14:textFill>
            <w14:solidFill>
              <w14:schemeClr w14:val="tx1"/>
            </w14:solidFill>
          </w14:textFill>
        </w:rPr>
        <w:t>临时办事、即停即走的</w:t>
      </w:r>
      <w:r>
        <w:rPr>
          <w:rFonts w:hint="eastAsia" w:ascii="仿宋" w:hAnsi="仿宋" w:eastAsia="仿宋" w:cs="仿宋_GB2312"/>
          <w:color w:val="000000" w:themeColor="text1"/>
          <w:sz w:val="32"/>
          <w:szCs w:val="36"/>
          <w:lang w:val="en-US" w:eastAsia="zh-CN"/>
          <w14:textFill>
            <w14:solidFill>
              <w14:schemeClr w14:val="tx1"/>
            </w14:solidFill>
          </w14:textFill>
        </w:rPr>
        <w:t>停车</w:t>
      </w:r>
      <w:r>
        <w:rPr>
          <w:rFonts w:hint="eastAsia" w:ascii="仿宋" w:hAnsi="仿宋" w:eastAsia="仿宋" w:cs="仿宋_GB2312"/>
          <w:color w:val="000000" w:themeColor="text1"/>
          <w:sz w:val="32"/>
          <w:szCs w:val="36"/>
          <w14:textFill>
            <w14:solidFill>
              <w14:schemeClr w14:val="tx1"/>
            </w14:solidFill>
          </w14:textFill>
        </w:rPr>
        <w:t>成本</w:t>
      </w:r>
      <w:r>
        <w:rPr>
          <w:rFonts w:hint="eastAsia" w:ascii="仿宋" w:hAnsi="仿宋" w:eastAsia="仿宋" w:cs="仿宋_GB2312"/>
          <w:color w:val="000000" w:themeColor="text1"/>
          <w:sz w:val="32"/>
          <w:szCs w:val="36"/>
          <w:lang w:val="en-US" w:eastAsia="zh-CN"/>
          <w14:textFill>
            <w14:solidFill>
              <w14:schemeClr w14:val="tx1"/>
            </w14:solidFill>
          </w14:textFill>
        </w:rPr>
        <w:t>有效</w:t>
      </w:r>
      <w:r>
        <w:rPr>
          <w:rFonts w:hint="eastAsia" w:ascii="仿宋" w:hAnsi="仿宋" w:eastAsia="仿宋" w:cs="仿宋_GB2312"/>
          <w:color w:val="000000" w:themeColor="text1"/>
          <w:sz w:val="32"/>
          <w:szCs w:val="36"/>
          <w14:textFill>
            <w14:solidFill>
              <w14:schemeClr w14:val="tx1"/>
            </w14:solidFill>
          </w14:textFill>
        </w:rPr>
        <w:t>下降</w:t>
      </w:r>
      <w:r>
        <w:rPr>
          <w:rFonts w:hint="eastAsia" w:ascii="仿宋" w:hAnsi="仿宋" w:eastAsia="仿宋" w:cs="仿宋_GB2312"/>
          <w:color w:val="000000" w:themeColor="text1"/>
          <w:sz w:val="32"/>
          <w:szCs w:val="36"/>
          <w:lang w:eastAsia="zh-CN"/>
          <w14:textFill>
            <w14:solidFill>
              <w14:schemeClr w14:val="tx1"/>
            </w14:solidFill>
          </w14:textFill>
        </w:rPr>
        <w:t>，长时停车的</w:t>
      </w:r>
      <w:r>
        <w:rPr>
          <w:rFonts w:hint="eastAsia" w:ascii="仿宋" w:hAnsi="仿宋" w:eastAsia="仿宋" w:cs="仿宋_GB2312"/>
          <w:color w:val="000000" w:themeColor="text1"/>
          <w:sz w:val="32"/>
          <w:szCs w:val="36"/>
          <w:lang w:val="en-US" w:eastAsia="zh-CN"/>
          <w14:textFill>
            <w14:solidFill>
              <w14:schemeClr w14:val="tx1"/>
            </w14:solidFill>
          </w14:textFill>
        </w:rPr>
        <w:t>费用</w:t>
      </w:r>
      <w:r>
        <w:rPr>
          <w:rFonts w:hint="eastAsia" w:ascii="仿宋" w:hAnsi="仿宋" w:eastAsia="仿宋" w:cs="仿宋_GB2312"/>
          <w:color w:val="000000" w:themeColor="text1"/>
          <w:sz w:val="32"/>
          <w:szCs w:val="36"/>
          <w:lang w:eastAsia="zh-CN"/>
          <w14:textFill>
            <w14:solidFill>
              <w14:schemeClr w14:val="tx1"/>
            </w14:solidFill>
          </w14:textFill>
        </w:rPr>
        <w:t>负担也有所减轻，</w:t>
      </w:r>
      <w:r>
        <w:rPr>
          <w:rFonts w:hint="eastAsia" w:ascii="仿宋" w:hAnsi="仿宋" w:eastAsia="仿宋" w:cs="仿宋_GB2312"/>
          <w:color w:val="000000" w:themeColor="text1"/>
          <w:sz w:val="32"/>
          <w:szCs w:val="36"/>
          <w:lang w:val="en-US" w:eastAsia="zh-CN"/>
          <w14:textFill>
            <w14:solidFill>
              <w14:schemeClr w14:val="tx1"/>
            </w14:solidFill>
          </w14:textFill>
        </w:rPr>
        <w:t>较好兼顾了市民不同场景下的停车需求。</w:t>
      </w:r>
    </w:p>
    <w:p w14:paraId="30C8FC49">
      <w:pPr>
        <w:ind w:firstLine="640" w:firstLineChars="200"/>
        <w:rPr>
          <w:rFonts w:hint="eastAsia" w:ascii="仿宋" w:hAnsi="仿宋" w:eastAsia="仿宋" w:cs="仿宋_GB2312"/>
          <w:color w:val="000000" w:themeColor="text1"/>
          <w:sz w:val="32"/>
          <w:szCs w:val="36"/>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6"/>
          <w:lang w:eastAsia="zh-CN"/>
          <w14:textFill>
            <w14:solidFill>
              <w14:schemeClr w14:val="tx1"/>
            </w14:solidFill>
          </w14:textFill>
        </w:rPr>
        <w:t>（</w:t>
      </w:r>
      <w:r>
        <w:rPr>
          <w:rFonts w:hint="eastAsia" w:ascii="楷体_GB2312" w:hAnsi="楷体_GB2312" w:eastAsia="楷体_GB2312" w:cs="楷体_GB2312"/>
          <w:color w:val="000000" w:themeColor="text1"/>
          <w:sz w:val="32"/>
          <w:szCs w:val="36"/>
          <w:lang w:val="en-US" w:eastAsia="zh-CN"/>
          <w14:textFill>
            <w14:solidFill>
              <w14:schemeClr w14:val="tx1"/>
            </w14:solidFill>
          </w14:textFill>
        </w:rPr>
        <w:t>二</w:t>
      </w:r>
      <w:r>
        <w:rPr>
          <w:rFonts w:hint="eastAsia" w:ascii="楷体_GB2312" w:hAnsi="楷体_GB2312" w:eastAsia="楷体_GB2312" w:cs="楷体_GB2312"/>
          <w:color w:val="000000" w:themeColor="text1"/>
          <w:sz w:val="32"/>
          <w:szCs w:val="36"/>
          <w:lang w:eastAsia="zh-CN"/>
          <w14:textFill>
            <w14:solidFill>
              <w14:schemeClr w14:val="tx1"/>
            </w14:solidFill>
          </w14:textFill>
        </w:rPr>
        <w:t>）</w:t>
      </w:r>
      <w:r>
        <w:rPr>
          <w:rFonts w:hint="eastAsia" w:ascii="楷体_GB2312" w:hAnsi="楷体_GB2312" w:eastAsia="楷体_GB2312" w:cs="楷体_GB2312"/>
          <w:color w:val="000000" w:themeColor="text1"/>
          <w:sz w:val="32"/>
          <w:szCs w:val="36"/>
          <w:lang w:val="en-US" w:eastAsia="zh-CN"/>
          <w14:textFill>
            <w14:solidFill>
              <w14:schemeClr w14:val="tx1"/>
            </w14:solidFill>
          </w14:textFill>
        </w:rPr>
        <w:t>对泊位运营者的影响</w:t>
      </w:r>
    </w:p>
    <w:p w14:paraId="289EF8FC">
      <w:pPr>
        <w:ind w:firstLine="640" w:firstLineChars="200"/>
        <w:rPr>
          <w:rFonts w:hint="default" w:ascii="仿宋" w:hAnsi="仿宋" w:eastAsia="仿宋" w:cs="仿宋_GB2312"/>
          <w:color w:val="000000" w:themeColor="text1"/>
          <w:sz w:val="32"/>
          <w:szCs w:val="36"/>
          <w:lang w:val="en-US" w:eastAsia="zh-CN"/>
          <w14:textFill>
            <w14:solidFill>
              <w14:schemeClr w14:val="tx1"/>
            </w14:solidFill>
          </w14:textFill>
        </w:rPr>
      </w:pPr>
      <w:r>
        <w:rPr>
          <w:rFonts w:hint="default" w:ascii="仿宋" w:hAnsi="仿宋" w:eastAsia="仿宋" w:cs="仿宋_GB2312"/>
          <w:color w:val="000000" w:themeColor="text1"/>
          <w:sz w:val="32"/>
          <w:szCs w:val="36"/>
          <w:lang w:val="en-US" w:eastAsia="zh-CN"/>
          <w14:textFill>
            <w14:solidFill>
              <w14:schemeClr w14:val="tx1"/>
            </w14:solidFill>
          </w14:textFill>
        </w:rPr>
        <w:t>收费标准的</w:t>
      </w:r>
      <w:r>
        <w:rPr>
          <w:rFonts w:hint="eastAsia" w:ascii="仿宋" w:hAnsi="仿宋" w:eastAsia="仿宋" w:cs="仿宋_GB2312"/>
          <w:color w:val="000000" w:themeColor="text1"/>
          <w:sz w:val="32"/>
          <w:szCs w:val="36"/>
          <w:lang w:val="en-US" w:eastAsia="zh-CN"/>
          <w14:textFill>
            <w14:solidFill>
              <w14:schemeClr w14:val="tx1"/>
            </w14:solidFill>
          </w14:textFill>
        </w:rPr>
        <w:t>适当下调</w:t>
      </w:r>
      <w:r>
        <w:rPr>
          <w:rFonts w:hint="default" w:ascii="仿宋" w:hAnsi="仿宋" w:eastAsia="仿宋" w:cs="仿宋_GB2312"/>
          <w:color w:val="000000" w:themeColor="text1"/>
          <w:sz w:val="32"/>
          <w:szCs w:val="36"/>
          <w:lang w:val="en-US" w:eastAsia="zh-CN"/>
          <w14:textFill>
            <w14:solidFill>
              <w14:schemeClr w14:val="tx1"/>
            </w14:solidFill>
          </w14:textFill>
        </w:rPr>
        <w:t>，短期内可能对泊位运营收入带来一定压力，但</w:t>
      </w:r>
      <w:r>
        <w:rPr>
          <w:rFonts w:hint="eastAsia" w:ascii="仿宋" w:hAnsi="仿宋" w:eastAsia="仿宋" w:cs="仿宋_GB2312"/>
          <w:color w:val="000000" w:themeColor="text1"/>
          <w:sz w:val="32"/>
          <w:szCs w:val="36"/>
          <w:lang w:val="en-US" w:eastAsia="zh-CN"/>
          <w14:textFill>
            <w14:solidFill>
              <w14:schemeClr w14:val="tx1"/>
            </w14:solidFill>
          </w14:textFill>
        </w:rPr>
        <w:t>长期看</w:t>
      </w:r>
      <w:r>
        <w:rPr>
          <w:rFonts w:hint="default" w:ascii="仿宋" w:hAnsi="仿宋" w:eastAsia="仿宋" w:cs="仿宋_GB2312"/>
          <w:color w:val="000000" w:themeColor="text1"/>
          <w:sz w:val="32"/>
          <w:szCs w:val="36"/>
          <w:lang w:val="en-US" w:eastAsia="zh-CN"/>
          <w14:textFill>
            <w14:solidFill>
              <w14:schemeClr w14:val="tx1"/>
            </w14:solidFill>
          </w14:textFill>
        </w:rPr>
        <w:t>有助于提升泊位使用效率。通过“以价换量”的杠杆效应，可吸引更多车辆规范停放，在稳定客流的基础上推动运营模式向精细化管理转变，促进公共停车资源的均衡有效利用。</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E0581">
    <w:pPr>
      <w:pStyle w:val="12"/>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CCEFE9">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CCEFE9">
                    <w:pPr>
                      <w:pStyle w:val="1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70B6"/>
    <w:rsid w:val="00005528"/>
    <w:rsid w:val="000121C5"/>
    <w:rsid w:val="000268EE"/>
    <w:rsid w:val="00031F37"/>
    <w:rsid w:val="00061620"/>
    <w:rsid w:val="000F6326"/>
    <w:rsid w:val="001145C5"/>
    <w:rsid w:val="001448F9"/>
    <w:rsid w:val="00162058"/>
    <w:rsid w:val="00165698"/>
    <w:rsid w:val="00165B58"/>
    <w:rsid w:val="0016770A"/>
    <w:rsid w:val="001C35EC"/>
    <w:rsid w:val="002017E5"/>
    <w:rsid w:val="00221139"/>
    <w:rsid w:val="00294C2B"/>
    <w:rsid w:val="002A028B"/>
    <w:rsid w:val="002D12A2"/>
    <w:rsid w:val="002E4B52"/>
    <w:rsid w:val="002E5212"/>
    <w:rsid w:val="0030125E"/>
    <w:rsid w:val="0034563C"/>
    <w:rsid w:val="00357A55"/>
    <w:rsid w:val="00374BCB"/>
    <w:rsid w:val="003B4056"/>
    <w:rsid w:val="003C4A0D"/>
    <w:rsid w:val="003E204C"/>
    <w:rsid w:val="0041139C"/>
    <w:rsid w:val="00432C8A"/>
    <w:rsid w:val="00440CCC"/>
    <w:rsid w:val="004433B4"/>
    <w:rsid w:val="00446B20"/>
    <w:rsid w:val="004475AA"/>
    <w:rsid w:val="004666AC"/>
    <w:rsid w:val="004740DA"/>
    <w:rsid w:val="00480461"/>
    <w:rsid w:val="004A758C"/>
    <w:rsid w:val="004B3B3C"/>
    <w:rsid w:val="004E49A2"/>
    <w:rsid w:val="0051241D"/>
    <w:rsid w:val="00542013"/>
    <w:rsid w:val="005572B1"/>
    <w:rsid w:val="00566CB7"/>
    <w:rsid w:val="00586546"/>
    <w:rsid w:val="005A670E"/>
    <w:rsid w:val="005F57B3"/>
    <w:rsid w:val="00632E14"/>
    <w:rsid w:val="0064556E"/>
    <w:rsid w:val="00645621"/>
    <w:rsid w:val="00693C00"/>
    <w:rsid w:val="00696842"/>
    <w:rsid w:val="006A3B71"/>
    <w:rsid w:val="00717446"/>
    <w:rsid w:val="00723D84"/>
    <w:rsid w:val="007473BF"/>
    <w:rsid w:val="007514C9"/>
    <w:rsid w:val="00773FFE"/>
    <w:rsid w:val="007D346C"/>
    <w:rsid w:val="00822EF3"/>
    <w:rsid w:val="00832A70"/>
    <w:rsid w:val="00847D5B"/>
    <w:rsid w:val="00852AE7"/>
    <w:rsid w:val="008921BC"/>
    <w:rsid w:val="009356B4"/>
    <w:rsid w:val="009420BD"/>
    <w:rsid w:val="009459FB"/>
    <w:rsid w:val="00956CF1"/>
    <w:rsid w:val="00992ED1"/>
    <w:rsid w:val="009D51A6"/>
    <w:rsid w:val="00A046B0"/>
    <w:rsid w:val="00A1519E"/>
    <w:rsid w:val="00A36E5A"/>
    <w:rsid w:val="00B0753F"/>
    <w:rsid w:val="00B10F8C"/>
    <w:rsid w:val="00B371C1"/>
    <w:rsid w:val="00B41B64"/>
    <w:rsid w:val="00BA78DE"/>
    <w:rsid w:val="00BA7E37"/>
    <w:rsid w:val="00BE70B6"/>
    <w:rsid w:val="00C1427F"/>
    <w:rsid w:val="00C47759"/>
    <w:rsid w:val="00C64152"/>
    <w:rsid w:val="00C6577B"/>
    <w:rsid w:val="00C7670A"/>
    <w:rsid w:val="00C96963"/>
    <w:rsid w:val="00CA29C8"/>
    <w:rsid w:val="00CB3F0E"/>
    <w:rsid w:val="00CE7C04"/>
    <w:rsid w:val="00CF4C4F"/>
    <w:rsid w:val="00D2777B"/>
    <w:rsid w:val="00DA3C79"/>
    <w:rsid w:val="00DD6F94"/>
    <w:rsid w:val="00E176DB"/>
    <w:rsid w:val="00E4286F"/>
    <w:rsid w:val="00E46EAD"/>
    <w:rsid w:val="00E548BC"/>
    <w:rsid w:val="00E953B9"/>
    <w:rsid w:val="00EA1401"/>
    <w:rsid w:val="00EB1A6A"/>
    <w:rsid w:val="00ED45A6"/>
    <w:rsid w:val="00EF2217"/>
    <w:rsid w:val="00F91EA5"/>
    <w:rsid w:val="00FC1961"/>
    <w:rsid w:val="00FD5F7D"/>
    <w:rsid w:val="01CF70C1"/>
    <w:rsid w:val="08595C3E"/>
    <w:rsid w:val="09247995"/>
    <w:rsid w:val="0B603AF0"/>
    <w:rsid w:val="0C283211"/>
    <w:rsid w:val="11EB391C"/>
    <w:rsid w:val="147717D8"/>
    <w:rsid w:val="15E440F6"/>
    <w:rsid w:val="17583154"/>
    <w:rsid w:val="1D036175"/>
    <w:rsid w:val="1E2458FF"/>
    <w:rsid w:val="227540FE"/>
    <w:rsid w:val="25656D31"/>
    <w:rsid w:val="30092211"/>
    <w:rsid w:val="34C47825"/>
    <w:rsid w:val="36316A75"/>
    <w:rsid w:val="3FE90322"/>
    <w:rsid w:val="45434A79"/>
    <w:rsid w:val="45717111"/>
    <w:rsid w:val="46F224F1"/>
    <w:rsid w:val="496D6014"/>
    <w:rsid w:val="4DEC7454"/>
    <w:rsid w:val="54E95ADA"/>
    <w:rsid w:val="55E35CC0"/>
    <w:rsid w:val="594A4D8A"/>
    <w:rsid w:val="6E6B2034"/>
    <w:rsid w:val="740D3381"/>
    <w:rsid w:val="75282313"/>
    <w:rsid w:val="78D764C9"/>
    <w:rsid w:val="7BC5528E"/>
    <w:rsid w:val="7E383B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9"/>
    <w:semiHidden/>
    <w:unhideWhenUsed/>
    <w:qFormat/>
    <w:uiPriority w:val="99"/>
    <w:pPr>
      <w:spacing w:after="160" w:line="278" w:lineRule="auto"/>
      <w:jc w:val="left"/>
    </w:pPr>
    <w:rPr>
      <w:sz w:val="22"/>
      <w:szCs w:val="24"/>
      <w14:ligatures w14:val="standardContextual"/>
    </w:r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Strong"/>
    <w:basedOn w:val="17"/>
    <w:qFormat/>
    <w:uiPriority w:val="22"/>
    <w:rPr>
      <w:b/>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 w:type="character" w:customStyle="1" w:styleId="39">
    <w:name w:val="批注文字 字符"/>
    <w:basedOn w:val="17"/>
    <w:link w:val="11"/>
    <w:semiHidden/>
    <w:qFormat/>
    <w:uiPriority w:val="99"/>
    <w:rPr>
      <w:sz w:val="22"/>
      <w:szCs w:val="24"/>
      <w14:ligatures w14:val="standardContextual"/>
    </w:rPr>
  </w:style>
  <w:style w:type="paragraph" w:customStyle="1" w:styleId="40">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1354</Words>
  <Characters>1423</Characters>
  <Lines>109</Lines>
  <Paragraphs>111</Paragraphs>
  <TotalTime>20</TotalTime>
  <ScaleCrop>false</ScaleCrop>
  <LinksUpToDate>false</LinksUpToDate>
  <CharactersWithSpaces>2666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2026-01-08T06:09:00Z</dcterms:created>
  <dc:creator>GDQD3358</dc:creator>
  <cp:lastModifiedBy>dell</cp:lastModifiedBy>
  <cp:lastPrinted>2026-03-30T02:50:00Z</cp:lastPrinted>
  <dcterms:modified xsi:type="dcterms:W3CDTF">2026-04-10T02:16:03Z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105E4AAFB6AB481BB2D1E11A59049692_12</vt:lpwstr>
  </property>
</Properties>
</file>