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A7B21">
      <w:pPr>
        <w:keepNext w:val="0"/>
        <w:keepLines w:val="0"/>
        <w:widowControl w:val="0"/>
        <w:suppressLineNumbers w:val="0"/>
        <w:spacing w:line="590" w:lineRule="exact"/>
        <w:jc w:val="right"/>
        <w:rPr>
          <w:rFonts w:ascii="Times New Roman" w:hAnsi="Times New Roman" w:eastAsia="仿宋_GB2312" w:cs="Times New Roman"/>
          <w:b w:val="0"/>
          <w:bCs w:val="0"/>
          <w:sz w:val="32"/>
          <w:szCs w:val="32"/>
        </w:rPr>
      </w:pP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穗环管影</w:t>
      </w:r>
      <w:r>
        <w:rPr>
          <w:rFonts w:hint="eastAsia" w:eastAsia="仿宋_GB2312" w:cs="Times New Roman"/>
          <w:b w:val="0"/>
          <w:bCs w:val="0"/>
          <w:i w:val="0"/>
          <w:iCs w:val="0"/>
          <w:caps w:val="0"/>
          <w:spacing w:val="0"/>
          <w:kern w:val="2"/>
          <w:sz w:val="32"/>
          <w:szCs w:val="32"/>
          <w:shd w:val="clear" w:color="auto" w:fill="auto"/>
          <w:lang w:val="en-US" w:eastAsia="zh-CN" w:bidi="ar"/>
        </w:rPr>
        <w:t>（番）</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〔202</w:t>
      </w:r>
      <w:r>
        <w:rPr>
          <w:rFonts w:hint="eastAsia" w:eastAsia="仿宋_GB2312" w:cs="Times New Roman"/>
          <w:b w:val="0"/>
          <w:bCs w:val="0"/>
          <w:i w:val="0"/>
          <w:iCs w:val="0"/>
          <w:caps w:val="0"/>
          <w:spacing w:val="0"/>
          <w:kern w:val="2"/>
          <w:sz w:val="32"/>
          <w:szCs w:val="32"/>
          <w:shd w:val="clear" w:color="auto" w:fill="auto"/>
          <w:lang w:val="en-US" w:eastAsia="zh-CN" w:bidi="ar"/>
        </w:rPr>
        <w:t>6</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spacing w:val="0"/>
          <w:kern w:val="2"/>
          <w:sz w:val="32"/>
          <w:szCs w:val="32"/>
          <w:shd w:val="clear" w:color="auto" w:fill="auto"/>
          <w:lang w:val="en-US" w:eastAsia="zh-CN" w:bidi="ar"/>
        </w:rPr>
        <w:t>12</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号</w:t>
      </w:r>
    </w:p>
    <w:p w14:paraId="6C10564A">
      <w:pPr>
        <w:spacing w:line="590" w:lineRule="exact"/>
        <w:jc w:val="both"/>
        <w:outlineLvl w:val="0"/>
        <w:rPr>
          <w:rFonts w:hint="eastAsia" w:ascii="方正小标宋简体" w:hAnsi="方正小标宋简体" w:eastAsia="方正小标宋简体" w:cs="方正小标宋简体"/>
          <w:b w:val="0"/>
          <w:bCs w:val="0"/>
          <w:sz w:val="44"/>
          <w:szCs w:val="44"/>
        </w:rPr>
      </w:pPr>
    </w:p>
    <w:p w14:paraId="12205206">
      <w:pPr>
        <w:spacing w:line="59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广州市生态环境局关于南方英特空调有限公司广州分公司年产散热器10万套、</w:t>
      </w:r>
    </w:p>
    <w:p w14:paraId="2C88805E">
      <w:pPr>
        <w:spacing w:line="59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空调箱总成40万套建设项目</w:t>
      </w:r>
    </w:p>
    <w:p w14:paraId="76E6AE9A">
      <w:pPr>
        <w:spacing w:line="590" w:lineRule="exact"/>
        <w:jc w:val="center"/>
        <w:rPr>
          <w:rFonts w:hint="eastAsia"/>
          <w:lang w:eastAsia="zh-CN"/>
        </w:rPr>
      </w:pPr>
      <w:r>
        <w:rPr>
          <w:rFonts w:hint="eastAsia" w:ascii="方正小标宋简体" w:hAnsi="方正小标宋简体" w:eastAsia="方正小标宋简体" w:cs="方正小标宋简体"/>
          <w:b w:val="0"/>
          <w:bCs w:val="0"/>
          <w:sz w:val="44"/>
          <w:szCs w:val="44"/>
        </w:rPr>
        <w:t>环境影响报告表的批复</w:t>
      </w:r>
    </w:p>
    <w:p w14:paraId="0F4FE54C">
      <w:pPr>
        <w:keepNext w:val="0"/>
        <w:keepLines w:val="0"/>
        <w:pageBreakBefore w:val="0"/>
        <w:widowControl w:val="0"/>
        <w:kinsoku/>
        <w:wordWrap/>
        <w:overflowPunct/>
        <w:topLinePunct w:val="0"/>
        <w:bidi w:val="0"/>
        <w:snapToGrid w:val="0"/>
        <w:spacing w:line="560" w:lineRule="exact"/>
        <w:jc w:val="left"/>
        <w:textAlignment w:val="auto"/>
        <w:rPr>
          <w:rFonts w:hint="default" w:ascii="Times New Roman" w:hAnsi="Times New Roman" w:eastAsia="仿宋_GB2312" w:cs="Times New Roman"/>
          <w:b w:val="0"/>
          <w:bCs w:val="0"/>
          <w:sz w:val="32"/>
          <w:szCs w:val="32"/>
          <w:lang w:val="en-US" w:eastAsia="zh-CN"/>
        </w:rPr>
      </w:pPr>
    </w:p>
    <w:p w14:paraId="4D947783">
      <w:pPr>
        <w:keepNext w:val="0"/>
        <w:keepLines w:val="0"/>
        <w:pageBreakBefore w:val="0"/>
        <w:widowControl w:val="0"/>
        <w:kinsoku/>
        <w:wordWrap/>
        <w:overflowPunct/>
        <w:topLinePunct w:val="0"/>
        <w:bidi w:val="0"/>
        <w:snapToGrid w:val="0"/>
        <w:spacing w:line="560" w:lineRule="exact"/>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南方英特空调有限公司广州分公司</w:t>
      </w:r>
      <w:r>
        <w:rPr>
          <w:rFonts w:hint="eastAsia" w:eastAsia="仿宋_GB2312" w:cs="Times New Roman"/>
          <w:b w:val="0"/>
          <w:bCs w:val="0"/>
          <w:color w:val="auto"/>
          <w:sz w:val="32"/>
          <w:szCs w:val="32"/>
          <w:lang w:val="en-US" w:eastAsia="zh-CN"/>
        </w:rPr>
        <w:t>：</w:t>
      </w:r>
    </w:p>
    <w:p w14:paraId="06F9824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你单位报送的《南方英特空调有限公司广州分公司年产散热器10万套、空调箱总成40万套建设项目</w:t>
      </w:r>
      <w:r>
        <w:rPr>
          <w:rFonts w:hint="default" w:eastAsia="仿宋_GB2312"/>
          <w:color w:val="auto"/>
          <w:sz w:val="32"/>
          <w:szCs w:val="32"/>
        </w:rPr>
        <w:t>环境影响报告表</w:t>
      </w:r>
      <w:r>
        <w:rPr>
          <w:rFonts w:hint="default" w:ascii="Times New Roman" w:hAnsi="Times New Roman" w:eastAsia="仿宋_GB2312" w:cs="Times New Roman"/>
          <w:color w:val="auto"/>
          <w:sz w:val="32"/>
          <w:szCs w:val="32"/>
        </w:rPr>
        <w:t>》（以下简称《报告表》）及</w:t>
      </w:r>
      <w:r>
        <w:rPr>
          <w:rFonts w:hint="eastAsia" w:ascii="Times New Roman" w:hAnsi="Times New Roman" w:eastAsia="仿宋_GB2312" w:cs="Times New Roman"/>
          <w:color w:val="auto"/>
          <w:sz w:val="32"/>
          <w:szCs w:val="32"/>
          <w:lang w:val="en-US" w:eastAsia="zh-CN"/>
        </w:rPr>
        <w:t>相关</w:t>
      </w:r>
      <w:r>
        <w:rPr>
          <w:rFonts w:hint="default" w:ascii="Times New Roman" w:hAnsi="Times New Roman" w:eastAsia="仿宋_GB2312" w:cs="Times New Roman"/>
          <w:color w:val="auto"/>
          <w:sz w:val="32"/>
          <w:szCs w:val="32"/>
        </w:rPr>
        <w:t>资料收悉。经研究，批复如下：</w:t>
      </w:r>
    </w:p>
    <w:p w14:paraId="6234E81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sz w:val="32"/>
          <w:szCs w:val="32"/>
        </w:rPr>
        <w:t>一、南方英特空调有限公司广州分公司年产散热器10万套、空调箱总成40万套建设项目</w:t>
      </w:r>
      <w:r>
        <w:rPr>
          <w:rFonts w:hint="default" w:ascii="Times New Roman" w:hAnsi="Times New Roman" w:eastAsia="仿宋_GB2312" w:cs="Times New Roman"/>
          <w:color w:val="auto"/>
          <w:kern w:val="2"/>
          <w:sz w:val="32"/>
          <w:szCs w:val="21"/>
          <w:lang w:val="en-US" w:eastAsia="zh-CN" w:bidi="ar-SA"/>
        </w:rPr>
        <w:t>（以下简称“该项目”）位于广东省广州市番禺区石楼镇浮莲路128号内厂房5、6、7栋</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kern w:val="2"/>
          <w:sz w:val="32"/>
          <w:szCs w:val="32"/>
          <w:shd w:val="clear" w:color="auto" w:fill="auto"/>
          <w:lang w:val="en-US" w:eastAsia="zh-CN" w:bidi="ar"/>
        </w:rPr>
        <w:t>占地面积7201.9</w:t>
      </w:r>
      <w:r>
        <w:rPr>
          <w:rFonts w:hint="default" w:ascii="Times New Roman" w:hAnsi="Times New Roman" w:eastAsia="仿宋_GB2312" w:cs="Times New Roman"/>
          <w:color w:val="auto"/>
          <w:spacing w:val="0"/>
          <w:kern w:val="2"/>
          <w:sz w:val="32"/>
          <w:szCs w:val="32"/>
          <w:shd w:val="clear" w:color="auto" w:fill="auto"/>
          <w:lang w:val="en-US" w:eastAsia="zh-CN" w:bidi="ar"/>
        </w:rPr>
        <w:t>平方米</w:t>
      </w:r>
      <w:r>
        <w:rPr>
          <w:rFonts w:hint="default" w:ascii="Times New Roman" w:hAnsi="Times New Roman" w:eastAsia="仿宋_GB2312" w:cs="Times New Roman"/>
          <w:color w:val="auto"/>
          <w:kern w:val="2"/>
          <w:sz w:val="32"/>
          <w:szCs w:val="32"/>
          <w:shd w:val="clear" w:color="auto" w:fill="auto"/>
          <w:lang w:val="en-US" w:eastAsia="zh-CN" w:bidi="ar"/>
        </w:rPr>
        <w:t>，</w:t>
      </w:r>
      <w:r>
        <w:rPr>
          <w:rFonts w:hint="default" w:ascii="Times New Roman" w:hAnsi="Times New Roman" w:eastAsia="仿宋_GB2312" w:cs="Times New Roman"/>
          <w:color w:val="auto"/>
          <w:sz w:val="32"/>
          <w:szCs w:val="32"/>
        </w:rPr>
        <w:t>建筑面积</w:t>
      </w:r>
      <w:r>
        <w:rPr>
          <w:rFonts w:hint="default" w:ascii="Times New Roman" w:hAnsi="Times New Roman" w:eastAsia="仿宋_GB2312" w:cs="Times New Roman"/>
          <w:color w:val="auto"/>
          <w:kern w:val="2"/>
          <w:sz w:val="32"/>
          <w:szCs w:val="32"/>
          <w:shd w:val="clear" w:color="auto" w:fill="auto"/>
          <w:lang w:val="en-US" w:eastAsia="zh-CN" w:bidi="ar"/>
        </w:rPr>
        <w:t>7201.9</w:t>
      </w:r>
      <w:r>
        <w:rPr>
          <w:rFonts w:hint="default" w:ascii="Times New Roman" w:hAnsi="Times New Roman" w:eastAsia="仿宋_GB2312" w:cs="Times New Roman"/>
          <w:color w:val="auto"/>
          <w:sz w:val="32"/>
          <w:szCs w:val="32"/>
        </w:rPr>
        <w:t>平方米</w:t>
      </w:r>
      <w:r>
        <w:rPr>
          <w:rFonts w:hint="eastAsia" w:eastAsia="仿宋_GB2312" w:cs="Times New Roman"/>
          <w:color w:val="auto"/>
          <w:sz w:val="32"/>
          <w:szCs w:val="32"/>
          <w:lang w:eastAsia="zh-CN"/>
        </w:rPr>
        <w:t>。</w:t>
      </w:r>
      <w:r>
        <w:rPr>
          <w:rFonts w:hint="eastAsia" w:eastAsia="仿宋_GB2312" w:cs="Times New Roman"/>
          <w:color w:val="auto"/>
          <w:sz w:val="32"/>
          <w:szCs w:val="32"/>
          <w:lang w:val="en-US" w:eastAsia="zh-CN"/>
        </w:rPr>
        <w:t>项目</w:t>
      </w:r>
      <w:r>
        <w:rPr>
          <w:rFonts w:hint="default" w:ascii="Times New Roman" w:hAnsi="Times New Roman" w:eastAsia="仿宋_GB2312" w:cs="Times New Roman"/>
          <w:color w:val="auto"/>
          <w:kern w:val="2"/>
          <w:sz w:val="32"/>
          <w:szCs w:val="21"/>
          <w:lang w:val="en-US" w:eastAsia="zh-CN" w:bidi="ar-SA"/>
        </w:rPr>
        <w:t>主要从事</w:t>
      </w:r>
      <w:r>
        <w:rPr>
          <w:rFonts w:hint="default" w:ascii="Times New Roman" w:hAnsi="Times New Roman" w:eastAsia="仿宋_GB2312" w:cs="Times New Roman"/>
          <w:color w:val="auto"/>
          <w:kern w:val="2"/>
          <w:sz w:val="32"/>
          <w:szCs w:val="32"/>
          <w:shd w:val="clear" w:color="auto" w:fill="FFFFFF"/>
          <w:lang w:val="en-US" w:eastAsia="zh-CN" w:bidi="ar"/>
        </w:rPr>
        <w:t>空调箱总成、散热器的生产制造，预计年产空调箱总成40万套、散热器10万</w:t>
      </w:r>
      <w:r>
        <w:rPr>
          <w:rFonts w:hint="eastAsia" w:eastAsia="仿宋_GB2312" w:cs="Times New Roman"/>
          <w:color w:val="auto"/>
          <w:kern w:val="2"/>
          <w:sz w:val="32"/>
          <w:szCs w:val="32"/>
          <w:shd w:val="clear" w:color="auto" w:fill="FFFFFF"/>
          <w:lang w:val="en-US" w:eastAsia="zh-CN" w:bidi="ar"/>
        </w:rPr>
        <w:t>套，项目不涉及电镀和喷漆工艺。</w:t>
      </w:r>
    </w:p>
    <w:p w14:paraId="6583F509">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》评价结论认为，在全面落实《</w:t>
      </w:r>
      <w:r>
        <w:rPr>
          <w:rFonts w:hint="default" w:ascii="Times New Roman" w:hAnsi="Times New Roman"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》提出的各项</w:t>
      </w:r>
      <w:r>
        <w:rPr>
          <w:rFonts w:hint="default" w:ascii="Times New Roman" w:hAnsi="Times New Roman" w:eastAsia="仿宋_GB2312" w:cs="Times New Roman"/>
          <w:b w:val="0"/>
          <w:bCs w:val="0"/>
          <w:color w:val="auto"/>
          <w:sz w:val="32"/>
          <w:szCs w:val="32"/>
          <w:lang w:eastAsia="zh-CN"/>
        </w:rPr>
        <w:t>生态</w:t>
      </w:r>
      <w:r>
        <w:rPr>
          <w:rFonts w:hint="default" w:ascii="Times New Roman" w:hAnsi="Times New Roman" w:eastAsia="仿宋_GB2312" w:cs="Times New Roman"/>
          <w:b w:val="0"/>
          <w:bCs w:val="0"/>
          <w:color w:val="auto"/>
          <w:sz w:val="32"/>
          <w:szCs w:val="32"/>
        </w:rPr>
        <w:t>环境保护措施和环境风险防范措施的前提下，该项目建设和运行过程中产生的不良环境影响能够得到有效控制，从环境保护角度，项目建设可行。经审查，我局同意《</w:t>
      </w:r>
      <w:r>
        <w:rPr>
          <w:rFonts w:hint="default" w:ascii="Times New Roman" w:hAnsi="Times New Roman"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》的评价结论。</w:t>
      </w:r>
    </w:p>
    <w:p w14:paraId="22EC7990">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sectPr>
          <w:pgSz w:w="11906" w:h="16838"/>
          <w:pgMar w:top="1440" w:right="1800" w:bottom="1440" w:left="1800" w:header="851" w:footer="992" w:gutter="0"/>
          <w:pgNumType w:fmt="decimal" w:start="2"/>
          <w:cols w:space="425" w:num="1"/>
          <w:docGrid w:type="lines" w:linePitch="312" w:charSpace="0"/>
        </w:sectPr>
      </w:pPr>
    </w:p>
    <w:p w14:paraId="73967166">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二、在项目建设和运营过程中，应认真落实《</w:t>
      </w:r>
      <w:r>
        <w:rPr>
          <w:rFonts w:hint="default" w:ascii="Times New Roman" w:hAnsi="Times New Roman"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》提出的各项环境保护对策措施，重点做好以下工作：</w:t>
      </w:r>
    </w:p>
    <w:p w14:paraId="55FAA6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一</w:t>
      </w:r>
      <w:r>
        <w:rPr>
          <w:rFonts w:hint="default" w:ascii="Times New Roman" w:hAnsi="Times New Roman" w:eastAsia="仿宋_GB2312" w:cs="Times New Roman"/>
          <w:color w:val="auto"/>
          <w:sz w:val="32"/>
          <w:szCs w:val="32"/>
        </w:rPr>
        <w:t>）</w:t>
      </w:r>
      <w:r>
        <w:rPr>
          <w:rFonts w:hint="eastAsia" w:eastAsia="仿宋_GB2312" w:cs="Times New Roman"/>
          <w:b w:val="0"/>
          <w:bCs w:val="0"/>
          <w:color w:val="auto"/>
          <w:sz w:val="32"/>
          <w:szCs w:val="32"/>
          <w:lang w:val="en-US" w:eastAsia="zh-CN"/>
        </w:rPr>
        <w:t>焊接废气</w:t>
      </w:r>
      <w:r>
        <w:rPr>
          <w:rFonts w:hint="eastAsia" w:ascii="Times New Roman" w:hAnsi="Times New Roman" w:eastAsia="仿宋_GB2312" w:cs="Times New Roman"/>
          <w:b w:val="0"/>
          <w:bCs w:val="0"/>
          <w:color w:val="auto"/>
          <w:sz w:val="32"/>
          <w:szCs w:val="32"/>
          <w:lang w:val="en-US" w:eastAsia="zh-CN"/>
        </w:rPr>
        <w:t>排放</w:t>
      </w:r>
      <w:r>
        <w:rPr>
          <w:rFonts w:hint="eastAsia" w:ascii="Times New Roman" w:hAnsi="Times New Roman" w:eastAsia="仿宋_GB2312" w:cs="Times New Roman"/>
          <w:color w:val="auto"/>
          <w:sz w:val="32"/>
          <w:szCs w:val="32"/>
          <w:lang w:val="en-US" w:eastAsia="zh-CN"/>
        </w:rPr>
        <w:t>执行</w:t>
      </w:r>
      <w:r>
        <w:rPr>
          <w:rFonts w:hint="default" w:ascii="Times New Roman" w:hAnsi="Times New Roman" w:eastAsia="仿宋_GB2312" w:cs="Times New Roman"/>
          <w:color w:val="auto"/>
          <w:sz w:val="32"/>
          <w:szCs w:val="32"/>
          <w:lang w:val="en-US" w:eastAsia="zh-CN"/>
        </w:rPr>
        <w:t>广东省《大气污染物排放限值》（DB44/27-2001）第二时段二级标准排放限值</w:t>
      </w:r>
      <w:r>
        <w:rPr>
          <w:rFonts w:hint="eastAsia"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lang w:val="en-US" w:eastAsia="zh-CN"/>
        </w:rPr>
        <w:t>第二时段无组织排放监控浓度限值</w:t>
      </w:r>
      <w:r>
        <w:rPr>
          <w:rFonts w:hint="eastAsia" w:ascii="Times New Roman" w:hAnsi="Times New Roman" w:eastAsia="仿宋_GB2312" w:cs="Times New Roman"/>
          <w:color w:val="auto"/>
          <w:sz w:val="32"/>
          <w:szCs w:val="32"/>
          <w:lang w:val="en-US" w:eastAsia="zh-CN"/>
        </w:rPr>
        <w:t>。</w:t>
      </w:r>
    </w:p>
    <w:p w14:paraId="31709345">
      <w:pPr>
        <w:keepNext w:val="0"/>
        <w:keepLines w:val="0"/>
        <w:pageBreakBefore w:val="0"/>
        <w:widowControl/>
        <w:suppressLineNumbers w:val="0"/>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lang w:val="en-US" w:eastAsia="zh-CN"/>
        </w:rPr>
      </w:pPr>
      <w:r>
        <w:rPr>
          <w:rFonts w:hint="eastAsia" w:eastAsia="仿宋_GB2312" w:cs="Times New Roman"/>
          <w:b w:val="0"/>
          <w:bCs w:val="0"/>
          <w:color w:val="auto"/>
          <w:sz w:val="32"/>
          <w:szCs w:val="32"/>
          <w:lang w:val="en-US" w:eastAsia="zh-CN"/>
        </w:rPr>
        <w:t>焊接</w:t>
      </w:r>
      <w:r>
        <w:rPr>
          <w:rFonts w:hint="eastAsia" w:ascii="Times New Roman" w:hAnsi="Times New Roman" w:eastAsia="仿宋_GB2312" w:cs="Times New Roman"/>
          <w:b w:val="0"/>
          <w:bCs w:val="0"/>
          <w:color w:val="auto"/>
          <w:sz w:val="32"/>
          <w:szCs w:val="32"/>
          <w:lang w:val="en-US" w:eastAsia="zh-CN"/>
        </w:rPr>
        <w:t>工序</w:t>
      </w:r>
      <w:r>
        <w:rPr>
          <w:rFonts w:hint="eastAsia" w:eastAsia="仿宋_GB2312" w:cs="Times New Roman"/>
          <w:b w:val="0"/>
          <w:bCs w:val="0"/>
          <w:color w:val="auto"/>
          <w:sz w:val="32"/>
          <w:szCs w:val="32"/>
          <w:lang w:val="en-US" w:eastAsia="zh-CN"/>
        </w:rPr>
        <w:t>产生的废气收集</w:t>
      </w:r>
      <w:r>
        <w:rPr>
          <w:rFonts w:hint="eastAsia" w:ascii="Times New Roman" w:hAnsi="Times New Roman" w:eastAsia="仿宋_GB2312" w:cs="Times New Roman"/>
          <w:b w:val="0"/>
          <w:bCs w:val="0"/>
          <w:color w:val="auto"/>
          <w:sz w:val="32"/>
          <w:szCs w:val="32"/>
          <w:lang w:val="en-US" w:eastAsia="zh-CN"/>
        </w:rPr>
        <w:t>后经</w:t>
      </w:r>
      <w:r>
        <w:rPr>
          <w:rFonts w:hint="default" w:ascii="Times New Roman" w:hAnsi="Times New Roman" w:eastAsia="仿宋_GB2312" w:cs="Times New Roman"/>
          <w:b w:val="0"/>
          <w:bCs w:val="0"/>
          <w:color w:val="auto"/>
          <w:sz w:val="32"/>
          <w:szCs w:val="32"/>
          <w:lang w:val="en-US" w:eastAsia="zh-CN"/>
        </w:rPr>
        <w:t>“过滤网+静电除尘器+活性炭吸附装置”</w:t>
      </w:r>
      <w:r>
        <w:rPr>
          <w:rFonts w:hint="eastAsia" w:ascii="Times New Roman" w:hAnsi="Times New Roman" w:eastAsia="仿宋_GB2312" w:cs="Times New Roman"/>
          <w:b w:val="0"/>
          <w:bCs w:val="0"/>
          <w:color w:val="auto"/>
          <w:sz w:val="32"/>
          <w:szCs w:val="32"/>
          <w:lang w:val="en-US" w:eastAsia="zh-CN"/>
        </w:rPr>
        <w:t>处理达标后，经不低于15米</w:t>
      </w:r>
      <w:r>
        <w:rPr>
          <w:rFonts w:hint="eastAsia" w:eastAsia="仿宋_GB2312" w:cs="Times New Roman"/>
          <w:b w:val="0"/>
          <w:bCs w:val="0"/>
          <w:color w:val="auto"/>
          <w:sz w:val="32"/>
          <w:szCs w:val="32"/>
          <w:lang w:val="en-US" w:eastAsia="zh-CN"/>
        </w:rPr>
        <w:t>高</w:t>
      </w:r>
      <w:r>
        <w:rPr>
          <w:rFonts w:hint="eastAsia" w:ascii="Times New Roman" w:hAnsi="Times New Roman" w:eastAsia="仿宋_GB2312" w:cs="Times New Roman"/>
          <w:b w:val="0"/>
          <w:bCs w:val="0"/>
          <w:color w:val="auto"/>
          <w:sz w:val="32"/>
          <w:szCs w:val="32"/>
          <w:lang w:val="en-US" w:eastAsia="zh-CN"/>
        </w:rPr>
        <w:t>的排气筒排放</w:t>
      </w:r>
      <w:r>
        <w:rPr>
          <w:rFonts w:hint="eastAsia"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项目设置废气排放口</w:t>
      </w:r>
      <w:r>
        <w:rPr>
          <w:rFonts w:hint="eastAsia" w:eastAsia="仿宋_GB2312" w:cs="Times New Roman"/>
          <w:b w:val="0"/>
          <w:bCs w:val="0"/>
          <w:color w:val="auto"/>
          <w:sz w:val="32"/>
          <w:szCs w:val="32"/>
          <w:lang w:val="en-US" w:eastAsia="zh-CN"/>
        </w:rPr>
        <w:t>1</w:t>
      </w:r>
      <w:r>
        <w:rPr>
          <w:rFonts w:hint="eastAsia" w:ascii="Times New Roman" w:hAnsi="Times New Roman" w:eastAsia="仿宋_GB2312" w:cs="Times New Roman"/>
          <w:b w:val="0"/>
          <w:bCs w:val="0"/>
          <w:color w:val="auto"/>
          <w:sz w:val="32"/>
          <w:szCs w:val="32"/>
          <w:lang w:val="en-US" w:eastAsia="zh-CN"/>
        </w:rPr>
        <w:t>个。</w:t>
      </w:r>
      <w:r>
        <w:rPr>
          <w:rFonts w:hint="default" w:ascii="Times New Roman" w:hAnsi="Times New Roman" w:eastAsia="仿宋_GB2312" w:cs="Times New Roman"/>
          <w:b w:val="0"/>
          <w:bCs w:val="0"/>
          <w:color w:val="auto"/>
          <w:sz w:val="32"/>
          <w:szCs w:val="32"/>
          <w:lang w:val="en-US" w:eastAsia="zh-CN"/>
        </w:rPr>
        <w:t>加强项目边界无组织排放废气的监控，确保项目边界无组织排放监控点的废气达到相应标准限值的要求，监测超标时应加强对无组织排放废气进行收集、净化处理。</w:t>
      </w:r>
    </w:p>
    <w:p w14:paraId="6DABBEA2">
      <w:pPr>
        <w:keepNext w:val="0"/>
        <w:keepLines w:val="0"/>
        <w:pageBreakBefore w:val="0"/>
        <w:widowControl w:val="0"/>
        <w:numPr>
          <w:ilvl w:val="0"/>
          <w:numId w:val="1"/>
        </w:numPr>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仿宋_GB2312"/>
          <w:b w:val="0"/>
          <w:bCs w:val="0"/>
          <w:color w:val="auto"/>
          <w:sz w:val="32"/>
          <w:szCs w:val="32"/>
          <w:lang w:val="en-US" w:eastAsia="zh-CN"/>
        </w:rPr>
        <w:t>排</w:t>
      </w:r>
      <w:r>
        <w:rPr>
          <w:rFonts w:hint="eastAsia" w:ascii="Times New Roman" w:hAnsi="Times New Roman" w:eastAsia="仿宋_GB2312" w:cs="Times New Roman"/>
          <w:b w:val="0"/>
          <w:bCs w:val="0"/>
          <w:strike w:val="0"/>
          <w:dstrike w:val="0"/>
          <w:color w:val="auto"/>
          <w:sz w:val="32"/>
          <w:szCs w:val="32"/>
          <w:lang w:val="en-US" w:eastAsia="zh-CN"/>
        </w:rPr>
        <w:t>水系统采用雨污分流。生活污水经</w:t>
      </w:r>
      <w:r>
        <w:rPr>
          <w:rFonts w:hint="default" w:ascii="Times New Roman" w:hAnsi="Times New Roman" w:eastAsia="仿宋_GB2312" w:cs="Times New Roman"/>
          <w:b w:val="0"/>
          <w:bCs w:val="0"/>
          <w:strike w:val="0"/>
          <w:dstrike w:val="0"/>
          <w:color w:val="auto"/>
          <w:sz w:val="32"/>
          <w:szCs w:val="32"/>
          <w:lang w:val="en-US" w:eastAsia="zh-CN"/>
        </w:rPr>
        <w:t>三</w:t>
      </w:r>
      <w:r>
        <w:rPr>
          <w:rFonts w:hint="default" w:ascii="仿宋_GB2312" w:hAnsi="仿宋_GB2312" w:eastAsia="仿宋_GB2312" w:cs="仿宋_GB2312"/>
          <w:b w:val="0"/>
          <w:bCs w:val="0"/>
          <w:color w:val="auto"/>
          <w:sz w:val="32"/>
          <w:szCs w:val="32"/>
          <w:lang w:val="en-US" w:eastAsia="zh-CN"/>
        </w:rPr>
        <w:t>级化粪</w:t>
      </w:r>
      <w:r>
        <w:rPr>
          <w:rFonts w:hint="default" w:ascii="Times New Roman" w:hAnsi="Times New Roman" w:eastAsia="仿宋_GB2312" w:cs="Times New Roman"/>
          <w:b w:val="0"/>
          <w:bCs w:val="0"/>
          <w:color w:val="auto"/>
          <w:sz w:val="32"/>
          <w:szCs w:val="32"/>
        </w:rPr>
        <w:t>池预处理后</w:t>
      </w:r>
      <w:r>
        <w:rPr>
          <w:rFonts w:hint="eastAsia" w:eastAsia="仿宋_GB2312" w:cs="Times New Roman"/>
          <w:b w:val="0"/>
          <w:bCs w:val="0"/>
          <w:color w:val="auto"/>
          <w:sz w:val="32"/>
          <w:szCs w:val="32"/>
          <w:lang w:val="en-US" w:eastAsia="zh-CN"/>
        </w:rPr>
        <w:t>通过市政管网</w:t>
      </w:r>
      <w:r>
        <w:rPr>
          <w:rFonts w:hint="default" w:ascii="Times New Roman" w:hAnsi="Times New Roman" w:eastAsia="仿宋_GB2312" w:cs="Times New Roman"/>
          <w:b w:val="0"/>
          <w:bCs w:val="0"/>
          <w:color w:val="auto"/>
          <w:sz w:val="32"/>
          <w:szCs w:val="32"/>
        </w:rPr>
        <w:t>送</w:t>
      </w:r>
      <w:r>
        <w:rPr>
          <w:rFonts w:hint="eastAsia" w:eastAsia="仿宋_GB2312" w:cs="Times New Roman"/>
          <w:b w:val="0"/>
          <w:bCs w:val="0"/>
          <w:color w:val="auto"/>
          <w:sz w:val="32"/>
          <w:szCs w:val="32"/>
          <w:lang w:val="en-US" w:eastAsia="zh-CN"/>
        </w:rPr>
        <w:t>前锋</w:t>
      </w:r>
      <w:r>
        <w:rPr>
          <w:rFonts w:hint="default" w:ascii="Times New Roman" w:hAnsi="Times New Roman" w:eastAsia="仿宋_GB2312" w:cs="Times New Roman"/>
          <w:b w:val="0"/>
          <w:bCs w:val="0"/>
          <w:color w:val="auto"/>
          <w:sz w:val="32"/>
          <w:szCs w:val="32"/>
          <w:lang w:val="en-US" w:eastAsia="zh-CN"/>
        </w:rPr>
        <w:t>净水厂</w:t>
      </w:r>
      <w:r>
        <w:rPr>
          <w:rFonts w:hint="default" w:ascii="Times New Roman" w:hAnsi="Times New Roman" w:eastAsia="仿宋_GB2312" w:cs="Times New Roman"/>
          <w:b w:val="0"/>
          <w:bCs w:val="0"/>
          <w:color w:val="auto"/>
          <w:sz w:val="32"/>
          <w:szCs w:val="32"/>
        </w:rPr>
        <w:t>处理。</w:t>
      </w:r>
      <w:r>
        <w:rPr>
          <w:rFonts w:hint="default" w:ascii="Times New Roman" w:hAnsi="Times New Roman" w:eastAsia="仿宋_GB2312" w:cs="Times New Roman"/>
          <w:b w:val="0"/>
          <w:bCs w:val="0"/>
          <w:strike w:val="0"/>
          <w:dstrike w:val="0"/>
          <w:color w:val="auto"/>
          <w:sz w:val="32"/>
          <w:szCs w:val="32"/>
        </w:rPr>
        <w:t>项目设置</w:t>
      </w:r>
      <w:r>
        <w:rPr>
          <w:rFonts w:hint="eastAsia" w:eastAsia="仿宋_GB2312" w:cs="Times New Roman"/>
          <w:b w:val="0"/>
          <w:bCs w:val="0"/>
          <w:strike w:val="0"/>
          <w:dstrike w:val="0"/>
          <w:color w:val="auto"/>
          <w:sz w:val="32"/>
          <w:szCs w:val="32"/>
          <w:lang w:val="en-US" w:eastAsia="zh-CN"/>
        </w:rPr>
        <w:t>生活污水</w:t>
      </w:r>
      <w:r>
        <w:rPr>
          <w:rFonts w:hint="default" w:ascii="Times New Roman" w:hAnsi="Times New Roman" w:eastAsia="仿宋_GB2312" w:cs="Times New Roman"/>
          <w:b w:val="0"/>
          <w:bCs w:val="0"/>
          <w:strike w:val="0"/>
          <w:dstrike w:val="0"/>
          <w:color w:val="auto"/>
          <w:sz w:val="32"/>
          <w:szCs w:val="32"/>
        </w:rPr>
        <w:t>排放口1个。</w:t>
      </w:r>
      <w:r>
        <w:rPr>
          <w:rFonts w:hint="default" w:ascii="Times New Roman" w:hAnsi="Times New Roman" w:eastAsia="仿宋_GB2312" w:cs="Times New Roman"/>
          <w:b w:val="0"/>
          <w:bCs w:val="0"/>
          <w:color w:val="auto"/>
          <w:sz w:val="32"/>
          <w:szCs w:val="32"/>
        </w:rPr>
        <w:t>水污染物排放执行广东省《水污染物排放限值》（DB44/26-2001）第二时段三级标准。生活污水排放量不超过</w:t>
      </w:r>
      <w:r>
        <w:rPr>
          <w:rFonts w:hint="eastAsia" w:eastAsia="仿宋_GB2312" w:cs="Times New Roman"/>
          <w:b w:val="0"/>
          <w:bCs w:val="0"/>
          <w:color w:val="auto"/>
          <w:sz w:val="32"/>
          <w:szCs w:val="32"/>
          <w:lang w:val="en-US" w:eastAsia="zh-CN"/>
        </w:rPr>
        <w:t>450</w:t>
      </w:r>
      <w:r>
        <w:rPr>
          <w:rFonts w:hint="default" w:ascii="Times New Roman" w:hAnsi="Times New Roman" w:eastAsia="仿宋_GB2312" w:cs="Times New Roman"/>
          <w:b w:val="0"/>
          <w:bCs w:val="0"/>
          <w:color w:val="auto"/>
          <w:sz w:val="32"/>
          <w:szCs w:val="32"/>
        </w:rPr>
        <w:t>吨/年</w:t>
      </w:r>
      <w:r>
        <w:rPr>
          <w:rFonts w:hint="default" w:ascii="Times New Roman" w:hAnsi="Times New Roman" w:eastAsia="仿宋_GB2312" w:cs="Times New Roman"/>
          <w:b w:val="0"/>
          <w:bCs w:val="0"/>
          <w:color w:val="auto"/>
          <w:sz w:val="32"/>
          <w:szCs w:val="32"/>
          <w:lang w:val="en-US" w:eastAsia="zh-CN"/>
        </w:rPr>
        <w:t>。</w:t>
      </w:r>
    </w:p>
    <w:p w14:paraId="089C39E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b w:val="0"/>
          <w:bCs w:val="0"/>
          <w:color w:val="auto"/>
          <w:sz w:val="32"/>
          <w:szCs w:val="32"/>
        </w:rPr>
        <w:t>项目</w:t>
      </w:r>
      <w:r>
        <w:rPr>
          <w:rFonts w:hint="eastAsia" w:eastAsia="仿宋_GB2312" w:cs="Times New Roman"/>
          <w:b w:val="0"/>
          <w:bCs w:val="0"/>
          <w:color w:val="auto"/>
          <w:sz w:val="32"/>
          <w:szCs w:val="32"/>
          <w:lang w:val="en-US" w:eastAsia="zh-CN"/>
        </w:rPr>
        <w:t>边界</w:t>
      </w:r>
      <w:r>
        <w:rPr>
          <w:rFonts w:hint="default" w:ascii="Times New Roman" w:hAnsi="Times New Roman" w:eastAsia="仿宋_GB2312" w:cs="Times New Roman"/>
          <w:b w:val="0"/>
          <w:bCs w:val="0"/>
          <w:color w:val="auto"/>
          <w:sz w:val="32"/>
          <w:szCs w:val="32"/>
        </w:rPr>
        <w:t>噪声排放执行《工业企业厂界环境噪声排放标准》（GB12348-2008）</w:t>
      </w:r>
      <w:r>
        <w:rPr>
          <w:rFonts w:hint="eastAsia"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lang w:val="en-US" w:eastAsia="zh-CN"/>
        </w:rPr>
        <w:t>类标准</w:t>
      </w:r>
      <w:r>
        <w:rPr>
          <w:rFonts w:hint="default" w:ascii="Times New Roman" w:hAnsi="Times New Roman" w:eastAsia="仿宋_GB2312" w:cs="Times New Roman"/>
          <w:b w:val="0"/>
          <w:bCs w:val="0"/>
          <w:color w:val="auto"/>
          <w:sz w:val="32"/>
          <w:szCs w:val="32"/>
        </w:rPr>
        <w:t>。</w:t>
      </w:r>
    </w:p>
    <w:p w14:paraId="75D3641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w:t>
      </w:r>
      <w:bookmarkStart w:id="0" w:name="OLE_LINK16"/>
      <w:r>
        <w:rPr>
          <w:rFonts w:hint="default" w:ascii="Times New Roman" w:hAnsi="Times New Roman" w:eastAsia="仿宋_GB2312" w:cs="Times New Roman"/>
          <w:b w:val="0"/>
          <w:bCs w:val="0"/>
          <w:color w:val="auto"/>
          <w:sz w:val="32"/>
          <w:szCs w:val="32"/>
        </w:rPr>
        <w:t>各类固体废物实行分类收集、处置</w:t>
      </w:r>
      <w:bookmarkEnd w:id="0"/>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固体废物</w:t>
      </w:r>
      <w:r>
        <w:rPr>
          <w:rFonts w:hint="default" w:ascii="Times New Roman" w:hAnsi="Times New Roman" w:eastAsia="仿宋_GB2312" w:cs="Times New Roman"/>
          <w:b w:val="0"/>
          <w:bCs w:val="0"/>
          <w:color w:val="auto"/>
          <w:sz w:val="32"/>
          <w:szCs w:val="32"/>
          <w:lang w:eastAsia="zh-CN"/>
        </w:rPr>
        <w:t>的贮存、堆放应按</w:t>
      </w:r>
      <w:r>
        <w:rPr>
          <w:rFonts w:hint="default" w:ascii="Times New Roman" w:hAnsi="Times New Roman" w:eastAsia="仿宋_GB2312" w:cs="Times New Roman"/>
          <w:b w:val="0"/>
          <w:bCs w:val="0"/>
          <w:color w:val="auto"/>
          <w:sz w:val="32"/>
          <w:szCs w:val="32"/>
        </w:rPr>
        <w:t>《危险废物贮存污染控制标准》（GB18597-20</w:t>
      </w:r>
      <w:r>
        <w:rPr>
          <w:rFonts w:hint="default" w:ascii="Times New Roman" w:hAnsi="Times New Roman" w:eastAsia="仿宋_GB2312" w:cs="Times New Roman"/>
          <w:b w:val="0"/>
          <w:bCs w:val="0"/>
          <w:color w:val="auto"/>
          <w:sz w:val="32"/>
          <w:szCs w:val="32"/>
          <w:lang w:val="en-US" w:eastAsia="zh-CN"/>
        </w:rPr>
        <w:t>23</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《一般工业</w:t>
      </w:r>
      <w:bookmarkStart w:id="4" w:name="_GoBack"/>
      <w:bookmarkEnd w:id="4"/>
      <w:r>
        <w:rPr>
          <w:rFonts w:hint="default" w:ascii="Times New Roman" w:hAnsi="Times New Roman" w:eastAsia="仿宋_GB2312" w:cs="Times New Roman"/>
          <w:b w:val="0"/>
          <w:bCs w:val="0"/>
          <w:color w:val="auto"/>
          <w:sz w:val="32"/>
          <w:szCs w:val="32"/>
        </w:rPr>
        <w:t>固体废物贮存和填埋污染控制标准》(GB 18599-2020)</w:t>
      </w:r>
      <w:r>
        <w:rPr>
          <w:rFonts w:hint="default" w:ascii="Times New Roman" w:hAnsi="Times New Roman" w:eastAsia="仿宋_GB2312" w:cs="Times New Roman"/>
          <w:b w:val="0"/>
          <w:bCs w:val="0"/>
          <w:color w:val="auto"/>
          <w:sz w:val="32"/>
          <w:szCs w:val="32"/>
          <w:lang w:eastAsia="zh-CN"/>
        </w:rPr>
        <w:t>要求</w:t>
      </w:r>
      <w:r>
        <w:rPr>
          <w:rFonts w:hint="default" w:ascii="Times New Roman" w:hAnsi="Times New Roman" w:eastAsia="仿宋_GB2312" w:cs="Times New Roman"/>
          <w:b w:val="0"/>
          <w:bCs w:val="0"/>
          <w:color w:val="auto"/>
          <w:sz w:val="32"/>
          <w:szCs w:val="32"/>
        </w:rPr>
        <w:t>进行管理。</w:t>
      </w:r>
      <w:r>
        <w:rPr>
          <w:rFonts w:hint="default" w:ascii="Times New Roman" w:hAnsi="Times New Roman" w:eastAsia="仿宋_GB2312" w:cs="Times New Roman"/>
          <w:b w:val="0"/>
          <w:bCs w:val="0"/>
          <w:color w:val="auto"/>
          <w:sz w:val="32"/>
          <w:szCs w:val="32"/>
          <w:lang w:eastAsia="zh-CN"/>
        </w:rPr>
        <w:t>危险废物应委托有资质的单位处置。</w:t>
      </w:r>
    </w:p>
    <w:p w14:paraId="5E03C6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五</w:t>
      </w:r>
      <w:r>
        <w:rPr>
          <w:rFonts w:hint="default" w:ascii="Times New Roman" w:hAnsi="Times New Roman" w:eastAsia="仿宋_GB2312" w:cs="Times New Roman"/>
          <w:b w:val="0"/>
          <w:bCs w:val="0"/>
          <w:color w:val="auto"/>
          <w:sz w:val="32"/>
          <w:szCs w:val="32"/>
        </w:rPr>
        <w:t>）加强环境风险防范和应急工作</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建立健全环境事故应急体系，落实各项环境风险防范与应急措施，确保</w:t>
      </w:r>
      <w:r>
        <w:rPr>
          <w:rFonts w:hint="default" w:ascii="Times New Roman" w:hAnsi="Times New Roman" w:eastAsia="仿宋_GB2312" w:cs="Times New Roman"/>
          <w:b w:val="0"/>
          <w:bCs w:val="0"/>
          <w:color w:val="auto"/>
          <w:sz w:val="32"/>
          <w:szCs w:val="32"/>
          <w:lang w:eastAsia="zh-CN"/>
        </w:rPr>
        <w:t>生态</w:t>
      </w:r>
      <w:r>
        <w:rPr>
          <w:rFonts w:hint="default" w:ascii="Times New Roman" w:hAnsi="Times New Roman" w:eastAsia="仿宋_GB2312" w:cs="Times New Roman"/>
          <w:b w:val="0"/>
          <w:bCs w:val="0"/>
          <w:color w:val="auto"/>
          <w:sz w:val="32"/>
          <w:szCs w:val="32"/>
        </w:rPr>
        <w:t>环境安全。</w:t>
      </w:r>
    </w:p>
    <w:p w14:paraId="1087EC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（六）</w:t>
      </w:r>
      <w:r>
        <w:rPr>
          <w:rFonts w:hint="default" w:ascii="Times New Roman" w:hAnsi="Times New Roman" w:eastAsia="仿宋_GB2312" w:cs="Times New Roman"/>
          <w:b w:val="0"/>
          <w:bCs w:val="0"/>
          <w:color w:val="auto"/>
          <w:sz w:val="32"/>
          <w:szCs w:val="32"/>
        </w:rPr>
        <w:t>加强运营期</w:t>
      </w:r>
      <w:r>
        <w:rPr>
          <w:rFonts w:hint="default" w:ascii="Times New Roman" w:hAnsi="Times New Roman" w:eastAsia="仿宋_GB2312" w:cs="Times New Roman"/>
          <w:b w:val="0"/>
          <w:bCs w:val="0"/>
          <w:color w:val="auto"/>
          <w:sz w:val="32"/>
          <w:szCs w:val="32"/>
          <w:lang w:eastAsia="zh-CN"/>
        </w:rPr>
        <w:t>环境保护</w:t>
      </w:r>
      <w:r>
        <w:rPr>
          <w:rFonts w:hint="default" w:ascii="Times New Roman" w:hAnsi="Times New Roman" w:eastAsia="仿宋_GB2312" w:cs="Times New Roman"/>
          <w:b w:val="0"/>
          <w:bCs w:val="0"/>
          <w:color w:val="auto"/>
          <w:sz w:val="32"/>
          <w:szCs w:val="32"/>
        </w:rPr>
        <w:t>管理，</w:t>
      </w:r>
      <w:r>
        <w:rPr>
          <w:rFonts w:hint="default" w:ascii="Times New Roman" w:hAnsi="Times New Roman" w:eastAsia="仿宋_GB2312" w:cs="Times New Roman"/>
          <w:b w:val="0"/>
          <w:bCs w:val="0"/>
          <w:color w:val="auto"/>
          <w:sz w:val="32"/>
          <w:szCs w:val="32"/>
          <w:lang w:eastAsia="zh-CN"/>
        </w:rPr>
        <w:t>确保各项污染物稳定达标排放，并</w:t>
      </w:r>
      <w:bookmarkStart w:id="1" w:name="OLE_LINK15"/>
      <w:r>
        <w:rPr>
          <w:rFonts w:hint="default" w:ascii="Times New Roman" w:hAnsi="Times New Roman" w:eastAsia="仿宋_GB2312" w:cs="Times New Roman"/>
          <w:b w:val="0"/>
          <w:bCs w:val="0"/>
          <w:color w:val="auto"/>
          <w:sz w:val="32"/>
          <w:szCs w:val="32"/>
          <w:lang w:eastAsia="zh-CN"/>
        </w:rPr>
        <w:t>按规定</w:t>
      </w:r>
      <w:r>
        <w:rPr>
          <w:rFonts w:hint="default" w:ascii="Times New Roman" w:hAnsi="Times New Roman" w:eastAsia="仿宋_GB2312" w:cs="Times New Roman"/>
          <w:b w:val="0"/>
          <w:bCs w:val="0"/>
          <w:color w:val="auto"/>
          <w:sz w:val="32"/>
          <w:szCs w:val="32"/>
        </w:rPr>
        <w:t>做好污染物排放</w:t>
      </w:r>
      <w:r>
        <w:rPr>
          <w:rFonts w:hint="default" w:ascii="Times New Roman" w:hAnsi="Times New Roman" w:eastAsia="仿宋_GB2312" w:cs="Times New Roman"/>
          <w:b w:val="0"/>
          <w:bCs w:val="0"/>
          <w:color w:val="auto"/>
          <w:sz w:val="32"/>
          <w:szCs w:val="32"/>
          <w:lang w:eastAsia="zh-CN"/>
        </w:rPr>
        <w:t>的自行</w:t>
      </w:r>
      <w:r>
        <w:rPr>
          <w:rFonts w:hint="default" w:ascii="Times New Roman" w:hAnsi="Times New Roman" w:eastAsia="仿宋_GB2312" w:cs="Times New Roman"/>
          <w:b w:val="0"/>
          <w:bCs w:val="0"/>
          <w:color w:val="auto"/>
          <w:sz w:val="32"/>
          <w:szCs w:val="32"/>
        </w:rPr>
        <w:t>监测</w:t>
      </w:r>
      <w:r>
        <w:rPr>
          <w:rFonts w:hint="default" w:ascii="Times New Roman" w:hAnsi="Times New Roman" w:eastAsia="仿宋_GB2312" w:cs="Times New Roman"/>
          <w:b w:val="0"/>
          <w:bCs w:val="0"/>
          <w:color w:val="auto"/>
          <w:sz w:val="32"/>
          <w:szCs w:val="32"/>
          <w:lang w:eastAsia="zh-CN"/>
        </w:rPr>
        <w:t>及信息公开工作</w:t>
      </w:r>
      <w:bookmarkEnd w:id="1"/>
      <w:r>
        <w:rPr>
          <w:rFonts w:hint="default" w:ascii="Times New Roman" w:hAnsi="Times New Roman" w:eastAsia="仿宋_GB2312" w:cs="Times New Roman"/>
          <w:b w:val="0"/>
          <w:bCs w:val="0"/>
          <w:color w:val="auto"/>
          <w:sz w:val="32"/>
          <w:szCs w:val="32"/>
        </w:rPr>
        <w:t>。</w:t>
      </w:r>
    </w:p>
    <w:p w14:paraId="1E7F75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val="0"/>
          <w:color w:val="auto"/>
          <w:sz w:val="32"/>
          <w:szCs w:val="32"/>
        </w:rPr>
        <w:t>（</w:t>
      </w:r>
      <w:r>
        <w:rPr>
          <w:rFonts w:hint="eastAsia" w:eastAsia="仿宋_GB2312" w:cs="Times New Roman"/>
          <w:b w:val="0"/>
          <w:bCs w:val="0"/>
          <w:color w:val="auto"/>
          <w:sz w:val="32"/>
          <w:szCs w:val="32"/>
          <w:lang w:val="en-US" w:eastAsia="zh-CN"/>
        </w:rPr>
        <w:t>七</w:t>
      </w:r>
      <w:r>
        <w:rPr>
          <w:rFonts w:hint="default" w:ascii="Times New Roman" w:hAnsi="Times New Roman" w:eastAsia="仿宋_GB2312" w:cs="Times New Roman"/>
          <w:b w:val="0"/>
          <w:bCs w:val="0"/>
          <w:color w:val="auto"/>
          <w:sz w:val="32"/>
          <w:szCs w:val="32"/>
        </w:rPr>
        <w:t>）</w:t>
      </w:r>
      <w:bookmarkStart w:id="2" w:name="OLE_LINK21"/>
      <w:r>
        <w:rPr>
          <w:rFonts w:hint="default" w:ascii="Times New Roman" w:hAnsi="Times New Roman" w:eastAsia="仿宋_GB2312" w:cs="Times New Roman"/>
          <w:b w:val="0"/>
          <w:bCs w:val="0"/>
          <w:color w:val="auto"/>
          <w:sz w:val="32"/>
          <w:szCs w:val="32"/>
        </w:rPr>
        <w:t>项目建设</w:t>
      </w:r>
      <w:r>
        <w:rPr>
          <w:rFonts w:hint="default" w:ascii="Times New Roman" w:hAnsi="Times New Roman" w:eastAsia="仿宋_GB2312" w:cs="Times New Roman"/>
          <w:b w:val="0"/>
          <w:bCs w:val="0"/>
          <w:color w:val="auto"/>
          <w:sz w:val="32"/>
          <w:szCs w:val="32"/>
          <w:lang w:eastAsia="zh-CN"/>
        </w:rPr>
        <w:t>应</w:t>
      </w:r>
      <w:r>
        <w:rPr>
          <w:rFonts w:hint="default" w:ascii="Times New Roman" w:hAnsi="Times New Roman" w:eastAsia="仿宋_GB2312" w:cs="Times New Roman"/>
          <w:b w:val="0"/>
          <w:bCs w:val="0"/>
          <w:color w:val="auto"/>
          <w:sz w:val="32"/>
          <w:szCs w:val="32"/>
        </w:rPr>
        <w:t>符合法律、法规等要求，如涉及规划、</w:t>
      </w:r>
      <w:r>
        <w:rPr>
          <w:rFonts w:hint="default" w:ascii="Times New Roman" w:hAnsi="Times New Roman" w:eastAsia="仿宋_GB2312" w:cs="Times New Roman"/>
          <w:color w:val="auto"/>
          <w:sz w:val="32"/>
          <w:szCs w:val="32"/>
          <w:highlight w:val="none"/>
        </w:rPr>
        <w:t>水务、消防等</w:t>
      </w:r>
      <w:r>
        <w:rPr>
          <w:rFonts w:hint="default" w:ascii="Times New Roman" w:hAnsi="Times New Roman" w:eastAsia="仿宋_GB2312" w:cs="Times New Roman"/>
          <w:color w:val="auto"/>
          <w:sz w:val="32"/>
          <w:szCs w:val="32"/>
          <w:highlight w:val="none"/>
          <w:lang w:eastAsia="zh-CN"/>
        </w:rPr>
        <w:t>其他部门许可事项的</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须依法办理相关手续</w:t>
      </w:r>
      <w:r>
        <w:rPr>
          <w:rFonts w:hint="default" w:ascii="Times New Roman" w:hAnsi="Times New Roman" w:eastAsia="仿宋_GB2312" w:cs="Times New Roman"/>
          <w:color w:val="auto"/>
          <w:sz w:val="32"/>
          <w:szCs w:val="32"/>
          <w:highlight w:val="none"/>
        </w:rPr>
        <w:t>。</w:t>
      </w:r>
      <w:bookmarkEnd w:id="2"/>
    </w:p>
    <w:p w14:paraId="314ECB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八</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b w:val="0"/>
          <w:bCs w:val="0"/>
          <w:color w:val="auto"/>
          <w:sz w:val="32"/>
          <w:szCs w:val="32"/>
        </w:rPr>
        <w:t>自本批复批准之日起，原批复文件</w:t>
      </w:r>
      <w:r>
        <w:rPr>
          <w:rFonts w:hint="default" w:ascii="Times New Roman" w:hAnsi="Times New Roman" w:eastAsia="仿宋_GB2312" w:cs="Times New Roman"/>
          <w:b w:val="0"/>
          <w:bCs w:val="0"/>
          <w:color w:val="auto"/>
          <w:sz w:val="32"/>
          <w:szCs w:val="32"/>
          <w:lang w:val="en-US" w:eastAsia="zh-CN"/>
        </w:rPr>
        <w:t>穗环管影（番）</w:t>
      </w:r>
      <w:r>
        <w:rPr>
          <w:rFonts w:hint="default" w:ascii="Times New Roman" w:hAnsi="Times New Roman" w:eastAsia="仿宋_GB2312" w:cs="Times New Roman"/>
          <w:b w:val="0"/>
          <w:bCs w:val="0"/>
          <w:color w:val="auto"/>
          <w:sz w:val="32"/>
          <w:szCs w:val="32"/>
        </w:rPr>
        <w:t>〔202</w:t>
      </w:r>
      <w:r>
        <w:rPr>
          <w:rFonts w:hint="eastAsia"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val="en-US" w:eastAsia="zh-CN"/>
        </w:rPr>
        <w:t>98</w:t>
      </w:r>
      <w:r>
        <w:rPr>
          <w:rFonts w:hint="default" w:ascii="Times New Roman" w:hAnsi="Times New Roman" w:eastAsia="仿宋_GB2312" w:cs="Times New Roman"/>
          <w:b w:val="0"/>
          <w:bCs w:val="0"/>
          <w:color w:val="auto"/>
          <w:sz w:val="32"/>
          <w:szCs w:val="32"/>
        </w:rPr>
        <w:t>号同时废止。</w:t>
      </w:r>
    </w:p>
    <w:p w14:paraId="6B29C814">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2AA19E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r>
        <w:rPr>
          <w:rFonts w:hint="default" w:ascii="Times New Roman" w:hAnsi="Times New Roman" w:eastAsia="仿宋_GB2312" w:cs="Times New Roman"/>
          <w:color w:val="auto"/>
          <w:sz w:val="32"/>
          <w:szCs w:val="32"/>
        </w:rPr>
        <w:t>。</w:t>
      </w:r>
    </w:p>
    <w:p w14:paraId="79354C6C">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p>
    <w:p w14:paraId="43BB040C">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p>
    <w:p w14:paraId="5865BDE4">
      <w:pPr>
        <w:keepNext w:val="0"/>
        <w:keepLines w:val="0"/>
        <w:pageBreakBefore w:val="0"/>
        <w:widowControl w:val="0"/>
        <w:kinsoku/>
        <w:wordWrap/>
        <w:overflowPunct/>
        <w:topLinePunct w:val="0"/>
        <w:bidi w:val="0"/>
        <w:spacing w:line="560" w:lineRule="exact"/>
        <w:jc w:val="center"/>
        <w:textAlignment w:val="auto"/>
        <w:outlineLvl w:val="0"/>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 xml:space="preserve">               </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rPr>
        <w:t xml:space="preserve">        广州市生态环境局</w:t>
      </w:r>
    </w:p>
    <w:p w14:paraId="0C6844A4">
      <w:pPr>
        <w:keepNext w:val="0"/>
        <w:keepLines w:val="0"/>
        <w:pageBreakBefore w:val="0"/>
        <w:widowControl w:val="0"/>
        <w:kinsoku/>
        <w:wordWrap/>
        <w:overflowPunct/>
        <w:topLinePunct w:val="0"/>
        <w:bidi w:val="0"/>
        <w:spacing w:line="56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202</w:t>
      </w:r>
      <w:r>
        <w:rPr>
          <w:rFonts w:hint="eastAsia" w:eastAsia="仿宋_GB2312" w:cs="Times New Roman"/>
          <w:b w:val="0"/>
          <w:bCs w:val="0"/>
          <w:color w:val="auto"/>
          <w:sz w:val="32"/>
          <w:szCs w:val="32"/>
          <w:lang w:val="en-US" w:eastAsia="zh-CN"/>
        </w:rPr>
        <w:t>6</w:t>
      </w:r>
      <w:r>
        <w:rPr>
          <w:rFonts w:hint="default" w:ascii="Times New Roman" w:hAnsi="Times New Roman" w:eastAsia="仿宋_GB2312" w:cs="Times New Roman"/>
          <w:b w:val="0"/>
          <w:bCs w:val="0"/>
          <w:color w:val="auto"/>
          <w:sz w:val="32"/>
          <w:szCs w:val="32"/>
        </w:rPr>
        <w:t>年</w:t>
      </w:r>
      <w:r>
        <w:rPr>
          <w:rFonts w:hint="eastAsia"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rPr>
        <w:t>月</w:t>
      </w:r>
      <w:r>
        <w:rPr>
          <w:rFonts w:hint="eastAsia" w:eastAsia="仿宋_GB2312" w:cs="Times New Roman"/>
          <w:b w:val="0"/>
          <w:bCs w:val="0"/>
          <w:color w:val="auto"/>
          <w:sz w:val="32"/>
          <w:szCs w:val="32"/>
          <w:lang w:val="en-US" w:eastAsia="zh-CN"/>
        </w:rPr>
        <w:t>23</w:t>
      </w:r>
      <w:r>
        <w:rPr>
          <w:rFonts w:hint="default" w:ascii="Times New Roman" w:hAnsi="Times New Roman" w:eastAsia="仿宋_GB2312" w:cs="Times New Roman"/>
          <w:b w:val="0"/>
          <w:bCs w:val="0"/>
          <w:color w:val="auto"/>
          <w:sz w:val="32"/>
          <w:szCs w:val="32"/>
        </w:rPr>
        <w:t>日</w:t>
      </w:r>
    </w:p>
    <w:p w14:paraId="3E2D096C">
      <w:pPr>
        <w:keepNext w:val="0"/>
        <w:keepLines w:val="0"/>
        <w:pageBreakBefore w:val="0"/>
        <w:widowControl w:val="0"/>
        <w:kinsoku/>
        <w:wordWrap/>
        <w:overflowPunct/>
        <w:topLinePunct w:val="0"/>
        <w:bidi w:val="0"/>
        <w:spacing w:line="56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sectPr>
          <w:footerReference r:id="rId3" w:type="default"/>
          <w:pgSz w:w="11906" w:h="16838"/>
          <w:pgMar w:top="1440" w:right="1800" w:bottom="1440" w:left="1800" w:header="851" w:footer="992" w:gutter="0"/>
          <w:pgNumType w:fmt="decimal" w:start="2"/>
          <w:cols w:space="425" w:num="1"/>
          <w:docGrid w:type="lines" w:linePitch="312" w:charSpace="0"/>
        </w:sectPr>
      </w:pPr>
    </w:p>
    <w:p w14:paraId="23EC2257">
      <w:pPr>
        <w:pStyle w:val="2"/>
        <w:rPr>
          <w:rFonts w:hint="default"/>
        </w:rPr>
      </w:pPr>
    </w:p>
    <w:p w14:paraId="06EB48A8">
      <w:pPr>
        <w:keepNext w:val="0"/>
        <w:keepLines w:val="0"/>
        <w:pageBreakBefore w:val="0"/>
        <w:widowControl w:val="0"/>
        <w:kinsoku/>
        <w:wordWrap/>
        <w:overflowPunct/>
        <w:topLinePunct w:val="0"/>
        <w:bidi w:val="0"/>
        <w:spacing w:line="56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p>
    <w:p w14:paraId="7B6B8247">
      <w:pPr>
        <w:keepNext w:val="0"/>
        <w:keepLines w:val="0"/>
        <w:pageBreakBefore w:val="0"/>
        <w:widowControl w:val="0"/>
        <w:kinsoku/>
        <w:wordWrap/>
        <w:overflowPunct/>
        <w:topLinePunct w:val="0"/>
        <w:bidi w:val="0"/>
        <w:spacing w:line="56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p>
    <w:p w14:paraId="76221968">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64613910">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2B70BD39">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5FA67CB5">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381697A5">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2C890D04">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0DBB4F1C">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2C3EED2A">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1256FD25">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6429EFBE">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6F335750">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1BD5C9D9">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7232A6E6">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079FB969">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default" w:ascii="Times New Roman" w:hAnsi="Times New Roman" w:eastAsia="仿宋_GB2312" w:cs="Times New Roman"/>
          <w:b w:val="0"/>
          <w:bCs w:val="0"/>
          <w:sz w:val="32"/>
          <w:szCs w:val="32"/>
        </w:rPr>
      </w:pPr>
      <w:r>
        <w:rPr>
          <w:rFonts w:hint="eastAsia" w:ascii="黑体" w:hAnsi="黑体" w:eastAsia="黑体" w:cs="黑体"/>
          <w:b w:val="0"/>
          <w:bCs w:val="0"/>
          <w:sz w:val="32"/>
          <w:szCs w:val="32"/>
        </w:rPr>
        <w:t>公开方式：</w:t>
      </w:r>
      <w:r>
        <w:rPr>
          <w:rFonts w:hint="default" w:ascii="Times New Roman" w:hAnsi="Times New Roman" w:eastAsia="仿宋_GB2312" w:cs="Times New Roman"/>
          <w:b w:val="0"/>
          <w:bCs w:val="0"/>
          <w:sz w:val="32"/>
          <w:szCs w:val="32"/>
        </w:rPr>
        <w:t>主动公开</w:t>
      </w:r>
    </w:p>
    <w:p w14:paraId="3B2FBB38">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default" w:ascii="Times New Roman" w:hAnsi="Times New Roman" w:eastAsia="仿宋_GB2312" w:cs="Times New Roman"/>
          <w:b w:val="0"/>
          <w:bCs w:val="0"/>
          <w:sz w:val="32"/>
          <w:szCs w:val="32"/>
        </w:rPr>
      </w:pPr>
    </w:p>
    <w:p w14:paraId="1CF67948">
      <w:pPr>
        <w:keepNext w:val="0"/>
        <w:keepLines w:val="0"/>
        <w:pageBreakBefore w:val="0"/>
        <w:widowControl w:val="0"/>
        <w:kinsoku/>
        <w:wordWrap/>
        <w:overflowPunct/>
        <w:topLinePunct w:val="0"/>
        <w:autoSpaceDE/>
        <w:autoSpaceDN/>
        <w:bidi w:val="0"/>
        <w:adjustRightInd/>
        <w:snapToGrid w:val="0"/>
        <w:spacing w:line="560" w:lineRule="exact"/>
        <w:ind w:left="1399" w:leftChars="266" w:hanging="840" w:hangingChars="300"/>
        <w:jc w:val="left"/>
        <w:textAlignment w:val="auto"/>
        <w:rPr>
          <w:rFonts w:hint="eastAsia"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rPr>
        <w:t>抄送：</w:t>
      </w:r>
      <w:bookmarkStart w:id="3" w:name="OLE_LINK13"/>
      <w:r>
        <w:rPr>
          <w:rFonts w:hint="eastAsia" w:eastAsia="仿宋_GB2312" w:cs="Times New Roman"/>
          <w:b w:val="0"/>
          <w:bCs w:val="0"/>
          <w:sz w:val="28"/>
          <w:szCs w:val="28"/>
          <w:lang w:eastAsia="zh-CN"/>
        </w:rPr>
        <w:t>广州市生态环境局番禺分局</w:t>
      </w:r>
      <w:r>
        <w:rPr>
          <w:rFonts w:hint="eastAsia" w:eastAsia="仿宋_GB2312" w:cs="Times New Roman"/>
          <w:b w:val="0"/>
          <w:bCs w:val="0"/>
          <w:sz w:val="28"/>
          <w:szCs w:val="28"/>
          <w:lang w:val="en-US" w:eastAsia="zh-CN"/>
        </w:rPr>
        <w:t>监管三科、</w:t>
      </w:r>
      <w:r>
        <w:rPr>
          <w:rFonts w:hint="eastAsia" w:eastAsia="仿宋_GB2312" w:cs="Times New Roman"/>
          <w:b w:val="0"/>
          <w:bCs w:val="0"/>
          <w:sz w:val="28"/>
          <w:szCs w:val="28"/>
          <w:lang w:eastAsia="zh-CN"/>
        </w:rPr>
        <w:t>执法</w:t>
      </w:r>
      <w:r>
        <w:rPr>
          <w:rFonts w:hint="eastAsia" w:eastAsia="仿宋_GB2312" w:cs="Times New Roman"/>
          <w:b w:val="0"/>
          <w:bCs w:val="0"/>
          <w:sz w:val="28"/>
          <w:szCs w:val="28"/>
          <w:lang w:val="en-US" w:eastAsia="zh-CN"/>
        </w:rPr>
        <w:t>二</w:t>
      </w:r>
      <w:r>
        <w:rPr>
          <w:rFonts w:hint="eastAsia" w:eastAsia="仿宋_GB2312" w:cs="Times New Roman"/>
          <w:b w:val="0"/>
          <w:bCs w:val="0"/>
          <w:sz w:val="28"/>
          <w:szCs w:val="28"/>
          <w:lang w:eastAsia="zh-CN"/>
        </w:rPr>
        <w:t>科；</w:t>
      </w:r>
      <w:r>
        <w:rPr>
          <w:rFonts w:hint="eastAsia" w:eastAsia="仿宋_GB2312" w:cs="Times New Roman"/>
          <w:b w:val="0"/>
          <w:bCs w:val="0"/>
          <w:sz w:val="28"/>
          <w:szCs w:val="28"/>
          <w:lang w:val="en-US" w:eastAsia="zh-CN"/>
        </w:rPr>
        <w:t>广州市</w:t>
      </w:r>
      <w:r>
        <w:rPr>
          <w:rFonts w:hint="eastAsia" w:eastAsia="仿宋_GB2312" w:cs="Times New Roman"/>
          <w:b w:val="0"/>
          <w:bCs w:val="0"/>
          <w:sz w:val="28"/>
          <w:szCs w:val="28"/>
          <w:lang w:eastAsia="zh-CN"/>
        </w:rPr>
        <w:t>生态环境局番禺第</w:t>
      </w:r>
      <w:r>
        <w:rPr>
          <w:rFonts w:hint="eastAsia" w:eastAsia="仿宋_GB2312" w:cs="Times New Roman"/>
          <w:b w:val="0"/>
          <w:bCs w:val="0"/>
          <w:sz w:val="28"/>
          <w:szCs w:val="28"/>
          <w:lang w:val="en-US" w:eastAsia="zh-CN"/>
        </w:rPr>
        <w:t>四</w:t>
      </w:r>
      <w:r>
        <w:rPr>
          <w:rFonts w:hint="eastAsia" w:eastAsia="仿宋_GB2312" w:cs="Times New Roman"/>
          <w:b w:val="0"/>
          <w:bCs w:val="0"/>
          <w:sz w:val="28"/>
          <w:szCs w:val="28"/>
          <w:lang w:eastAsia="zh-CN"/>
        </w:rPr>
        <w:t>环保所、</w:t>
      </w:r>
      <w:r>
        <w:rPr>
          <w:rFonts w:hint="eastAsia" w:eastAsia="仿宋_GB2312" w:cs="Times New Roman"/>
          <w:b w:val="0"/>
          <w:bCs w:val="0"/>
          <w:sz w:val="28"/>
          <w:szCs w:val="28"/>
          <w:lang w:val="en-US" w:eastAsia="zh-CN"/>
        </w:rPr>
        <w:t>番禺技术中心；广州市中扬环保工程有限公司</w:t>
      </w:r>
      <w:r>
        <w:rPr>
          <w:rFonts w:hint="default" w:ascii="Times New Roman" w:hAnsi="Times New Roman" w:eastAsia="仿宋_GB2312" w:cs="Times New Roman"/>
          <w:b w:val="0"/>
          <w:bCs w:val="0"/>
          <w:sz w:val="28"/>
          <w:szCs w:val="28"/>
        </w:rPr>
        <w:t>。</w:t>
      </w:r>
      <w:bookmarkEnd w:id="3"/>
    </w:p>
    <w:p w14:paraId="75F29A23">
      <w:pPr>
        <w:keepNext w:val="0"/>
        <w:keepLines w:val="0"/>
        <w:pageBreakBefore w:val="0"/>
        <w:widowControl w:val="0"/>
        <w:kinsoku/>
        <w:wordWrap/>
        <w:overflowPunct/>
        <w:topLinePunct w:val="0"/>
        <w:bidi w:val="0"/>
        <w:spacing w:line="56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p>
    <w:p w14:paraId="1728936C">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0801D011"/>
    <w:sectPr>
      <w:footerReference r:id="rId4" w:type="default"/>
      <w:pgSz w:w="11906" w:h="16838"/>
      <w:pgMar w:top="1440" w:right="1800" w:bottom="1440" w:left="180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type Corsiva">
    <w:altName w:val="DejaVu Math TeX Gyre"/>
    <w:panose1 w:val="03010101010201010101"/>
    <w:charset w:val="00"/>
    <w:family w:val="script"/>
    <w:pitch w:val="default"/>
    <w:sig w:usb0="00000000" w:usb1="00000000" w:usb2="00000000" w:usb3="00000000" w:csb0="2000009F" w:csb1="DFD70000"/>
  </w:font>
  <w:font w:name="DejaVu Math TeX Gyre">
    <w:panose1 w:val="02000503000000000000"/>
    <w:charset w:val="00"/>
    <w:family w:val="auto"/>
    <w:pitch w:val="default"/>
    <w:sig w:usb0="A10000EF" w:usb1="4201F9EE" w:usb2="02000000" w:usb3="00000000" w:csb0="60000193" w:csb1="0DD4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E57F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354B2">
                          <w:pPr>
                            <w:pStyle w:val="3"/>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7354B2">
                    <w:pPr>
                      <w:pStyle w:val="3"/>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BFF68">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B9ED47"/>
    <w:multiLevelType w:val="singleLevel"/>
    <w:tmpl w:val="22B9ED4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8236BB"/>
    <w:rsid w:val="04AF6493"/>
    <w:rsid w:val="05FE53DF"/>
    <w:rsid w:val="128E3DD2"/>
    <w:rsid w:val="17C626B2"/>
    <w:rsid w:val="24CF3406"/>
    <w:rsid w:val="280A485B"/>
    <w:rsid w:val="2A994353"/>
    <w:rsid w:val="32153862"/>
    <w:rsid w:val="32916516"/>
    <w:rsid w:val="398236BB"/>
    <w:rsid w:val="3A352472"/>
    <w:rsid w:val="41204925"/>
    <w:rsid w:val="438306A6"/>
    <w:rsid w:val="47526554"/>
    <w:rsid w:val="4A9D1272"/>
    <w:rsid w:val="541461D8"/>
    <w:rsid w:val="5A691FFC"/>
    <w:rsid w:val="5F167459"/>
    <w:rsid w:val="60386795"/>
    <w:rsid w:val="6662297B"/>
    <w:rsid w:val="6692737A"/>
    <w:rsid w:val="6773253A"/>
    <w:rsid w:val="69556AAB"/>
    <w:rsid w:val="6C0F7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rFonts w:ascii="Monotype Corsiva" w:hAnsi="Monotype Corsiva"/>
      <w:sz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styleId="8">
    <w:name w:val="annotation reference"/>
    <w:basedOn w:val="6"/>
    <w:semiHidden/>
    <w:unhideWhenUsed/>
    <w:qFormat/>
    <w:uiPriority w:val="0"/>
    <w:rPr>
      <w:sz w:val="21"/>
      <w:szCs w:val="21"/>
    </w:rPr>
  </w:style>
  <w:style w:type="paragraph" w:customStyle="1" w:styleId="9">
    <w:name w:val="Default"/>
    <w:basedOn w:val="10"/>
    <w:next w:val="11"/>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10">
    <w:name w:val="纯文本1"/>
    <w:basedOn w:val="1"/>
    <w:next w:val="1"/>
    <w:qFormat/>
    <w:uiPriority w:val="0"/>
    <w:pPr>
      <w:adjustRightInd w:val="0"/>
      <w:textAlignment w:val="baseline"/>
    </w:pPr>
    <w:rPr>
      <w:rFonts w:ascii="宋体" w:hAnsi="Courier New"/>
      <w:szCs w:val="20"/>
    </w:rPr>
  </w:style>
  <w:style w:type="paragraph" w:customStyle="1" w:styleId="11">
    <w:name w:val="正文文字 6"/>
    <w:basedOn w:val="12"/>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12">
    <w:name w:val="TT标题"/>
    <w:basedOn w:val="1"/>
    <w:qFormat/>
    <w:uiPriority w:val="0"/>
    <w:pPr>
      <w:jc w:val="center"/>
    </w:pPr>
    <w:rPr>
      <w:rFonts w:cs="宋体"/>
      <w:b/>
      <w:szCs w:val="20"/>
    </w:rPr>
  </w:style>
  <w:style w:type="paragraph" w:customStyle="1" w:styleId="13">
    <w:name w:val="Char"/>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1444</Words>
  <Characters>1549</Characters>
  <Lines>0</Lines>
  <Paragraphs>0</Paragraphs>
  <TotalTime>1</TotalTime>
  <ScaleCrop>false</ScaleCrop>
  <LinksUpToDate>false</LinksUpToDate>
  <CharactersWithSpaces>1579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2025-12-05T02:15:00Z</dcterms:created>
  <dc:creator>1</dc:creator>
  <cp:lastModifiedBy>单单单</cp:lastModifiedBy>
  <cp:lastPrinted>2025-12-29T07:57:00Z</cp:lastPrinted>
  <dcterms:modified xsi:type="dcterms:W3CDTF">2026-01-23T01:57:47Z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5786E29B9C0B4F50B980882795AF4FA2_11</vt:lpwstr>
  </property>
  <property fmtid="{D5CDD505-2E9C-101B-9397-08002B2CF9AE}" pid="4" name="KSOTemplateDocerSaveRecord">
    <vt:lpwstr>eyJoZGlkIjoiNWFmNGIxYjgxM2FlZWMwMGZmNjdiOWYxY2IwNGQ4MTUiLCJ1c2VySWQiOiI3NjIxNDQwMTIifQ==</vt:lpwstr>
  </property>
</Properties>
</file>