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A7B21">
      <w:pPr>
        <w:keepNext w:val="0"/>
        <w:keepLines w:val="0"/>
        <w:widowControl w:val="0"/>
        <w:suppressLineNumbers w:val="0"/>
        <w:spacing w:line="590" w:lineRule="exact"/>
        <w:jc w:val="right"/>
        <w:rPr>
          <w:rFonts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穗环管影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（番）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〔202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6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〕</w:t>
      </w:r>
      <w:r>
        <w:rPr>
          <w:rFonts w:hint="eastAsia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5</w:t>
      </w:r>
      <w:r>
        <w:rPr>
          <w:rFonts w:ascii="Times New Roman" w:hAnsi="Times New Roman" w:eastAsia="仿宋_GB2312" w:cs="Times New Roman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号</w:t>
      </w:r>
    </w:p>
    <w:p w14:paraId="6C10564A">
      <w:pPr>
        <w:spacing w:line="590" w:lineRule="exact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688E31E7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广州市生态环境局关于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广州市番禺区恒塑塑料有限公司迁建项目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环境影响报告</w:t>
      </w:r>
      <w:bookmarkStart w:id="0" w:name="OLE_LINK17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表</w:t>
      </w:r>
      <w:bookmarkEnd w:id="0"/>
    </w:p>
    <w:p w14:paraId="4107394B">
      <w:pPr>
        <w:spacing w:line="59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的批复</w:t>
      </w:r>
    </w:p>
    <w:p w14:paraId="6A3CD8B6">
      <w:pPr>
        <w:spacing w:line="590" w:lineRule="exact"/>
        <w:ind w:firstLine="643" w:firstLineChars="200"/>
        <w:jc w:val="center"/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4D94778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广州市番禺区恒塑塑料有限公司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</w:p>
    <w:p w14:paraId="06F98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你单位报送的《广州市番禺区恒塑塑料有限公司迁建项目环境影响报告表》（以下简称《报告表》）及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资料收悉。经研究，批复如下：</w:t>
      </w:r>
    </w:p>
    <w:p w14:paraId="6234E8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一、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广州市番禺区恒塑塑料有限公司迁建项目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（以下简称“该项目”）位于广州市番禺区石楼镇清流村天六工业路5号101房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auto"/>
          <w:lang w:val="en-US" w:eastAsia="zh-CN" w:bidi="ar"/>
        </w:rPr>
        <w:t>占地面积13</w:t>
      </w:r>
      <w:r>
        <w:rPr>
          <w:rFonts w:hint="default" w:ascii="Times New Roman" w:hAnsi="Times New Roman" w:cs="Times New Roman"/>
          <w:color w:val="111111"/>
          <w:kern w:val="2"/>
          <w:sz w:val="32"/>
          <w:szCs w:val="32"/>
          <w:shd w:val="clear" w:color="auto" w:fill="auto"/>
          <w:lang w:val="en-US" w:eastAsia="zh-CN" w:bidi="ar"/>
        </w:rPr>
        <w:t>02</w:t>
      </w:r>
      <w:r>
        <w:rPr>
          <w:rFonts w:hint="default" w:ascii="Times New Roman" w:hAnsi="Times New Roman" w:eastAsia="仿宋_GB2312" w:cs="Times New Roman"/>
          <w:color w:val="111111"/>
          <w:spacing w:val="0"/>
          <w:kern w:val="2"/>
          <w:sz w:val="32"/>
          <w:szCs w:val="32"/>
          <w:shd w:val="clear" w:color="auto" w:fill="auto"/>
          <w:lang w:val="en-US" w:eastAsia="zh-CN" w:bidi="ar"/>
        </w:rPr>
        <w:t>平方米</w:t>
      </w:r>
      <w:r>
        <w:rPr>
          <w:rFonts w:hint="default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auto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建筑面积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1220.6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平方米</w:t>
      </w:r>
      <w:r>
        <w:rPr>
          <w:rFonts w:hint="eastAsia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主要从事</w:t>
      </w:r>
      <w:r>
        <w:rPr>
          <w:rFonts w:hint="default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FFFFFF"/>
          <w:lang w:val="en-US" w:eastAsia="zh-CN" w:bidi="ar"/>
        </w:rPr>
        <w:t>塑料片材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生产，</w:t>
      </w:r>
      <w:r>
        <w:rPr>
          <w:rFonts w:hint="default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FFFFFF"/>
          <w:lang w:val="en-US" w:eastAsia="zh-CN" w:bidi="ar"/>
        </w:rPr>
        <w:t>年产塑料片材1000吨。</w:t>
      </w:r>
      <w:r>
        <w:rPr>
          <w:rFonts w:hint="eastAsia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FFFFFF"/>
          <w:lang w:val="en-US" w:eastAsia="zh-CN" w:bidi="ar"/>
        </w:rPr>
        <w:t>该项目注塑工序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只使用PP、PE塑料粒</w:t>
      </w:r>
      <w:r>
        <w:rPr>
          <w:rFonts w:hint="eastAsia" w:ascii="Times New Roman" w:hAnsi="Times New Roman" w:eastAsia="仿宋_GB2312" w:cs="Times New Roman"/>
          <w:color w:val="111111"/>
          <w:kern w:val="2"/>
          <w:sz w:val="32"/>
          <w:szCs w:val="32"/>
          <w:shd w:val="clear" w:color="auto" w:fill="FFFFFF"/>
          <w:lang w:val="en-US" w:eastAsia="zh-CN" w:bidi="ar"/>
        </w:rPr>
        <w:t>，不使用再生塑料作为原料。</w:t>
      </w:r>
    </w:p>
    <w:p w14:paraId="6583F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》评价结论认为，在全面落实《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环境保护措施和环境风险防范措施的前提下，该项目建设和运行过程中产生的不良环境影响能够得到有效控制，从环境保护角度，项目建设可行。经审查，我局同意《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》的评价结论。 </w:t>
      </w:r>
    </w:p>
    <w:p w14:paraId="7396716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二、在项目建设和运营过程中，应认真落实《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报告表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》提出的各项环境保护对策措施，重点做好以下工作：</w:t>
      </w:r>
    </w:p>
    <w:p w14:paraId="55FAA6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非甲烷总烃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执行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《合成树脂工业污染物排放标准》(GB 31572-2015及2024年修改单)表5大气污染物特别排放限值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《挥发性有机物无组织排放控制标准》（GB37822-2019）表A.1厂区内VOCs无组织排放限值中的特别排放限值。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臭气浓度排放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执行《恶臭污染物排放标准》（GB14554-93）表2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恶臭污染物排放标准值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和表1</w:t>
      </w:r>
      <w:r>
        <w:rPr>
          <w:rFonts w:hint="eastAsia" w:eastAsia="仿宋_GB2312" w:cs="Times New Roman"/>
          <w:color w:val="auto"/>
          <w:kern w:val="2"/>
          <w:sz w:val="32"/>
          <w:szCs w:val="21"/>
          <w:lang w:val="en-US" w:eastAsia="zh-CN" w:bidi="ar-SA"/>
        </w:rPr>
        <w:t>中的恶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臭污染物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21"/>
          <w:lang w:val="en-US" w:eastAsia="zh-CN" w:bidi="ar-SA"/>
        </w:rPr>
        <w:t>厂界标准值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二级新扩改建标准值。颗粒物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排放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《大气污染物排放限值》（DB44/27-2001）第二时段无组织排放监控浓度限值。</w:t>
      </w:r>
    </w:p>
    <w:p w14:paraId="3170934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挤出、压延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等工序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产生的废气经局部密闭负压收集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后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经“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二级活性炭吸附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”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处理达标后，经不低于15米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高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的排气筒排放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项目设置废气排放口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加强项目边界无组织排放废气的监控，确保项目边界无组织排放监控点的废气达到相应标准限值的要求，监测超标时应加强对无组织排放废气进行收集、净化处理。</w:t>
      </w:r>
    </w:p>
    <w:p w14:paraId="6DABBE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排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水系统采用雨污分流。冷却工段采用间接冷却方式，车间降温湿帘墙用水不与生产材料及产品进行接触；生活污水经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级化粪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池预处理后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和</w:t>
      </w:r>
      <w:r>
        <w:rPr>
          <w:rFonts w:hint="eastAsia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冷却废水、车间降温湿帘墙用水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排入市政管网送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前锋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净水厂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处理。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项目设置</w:t>
      </w:r>
      <w:r>
        <w:rPr>
          <w:rFonts w:hint="eastAsia" w:eastAsia="仿宋_GB2312" w:cs="Times New Roman"/>
          <w:b w:val="0"/>
          <w:bCs w:val="0"/>
          <w:strike w:val="0"/>
          <w:dstrike w:val="0"/>
          <w:color w:val="auto"/>
          <w:sz w:val="32"/>
          <w:szCs w:val="32"/>
          <w:lang w:val="en-US" w:eastAsia="zh-CN"/>
        </w:rPr>
        <w:t>废水</w:t>
      </w:r>
      <w:r>
        <w:rPr>
          <w:rFonts w:hint="default" w:ascii="Times New Roman" w:hAnsi="Times New Roman" w:eastAsia="仿宋_GB2312" w:cs="Times New Roman"/>
          <w:b w:val="0"/>
          <w:bCs w:val="0"/>
          <w:strike w:val="0"/>
          <w:dstrike w:val="0"/>
          <w:color w:val="auto"/>
          <w:sz w:val="32"/>
          <w:szCs w:val="32"/>
        </w:rPr>
        <w:t>排放口1个。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水污染物排放执行广东省《水污染物排放限值》（DB44/26-2001）第二时段三级标准。生活污水排放量不超过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90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</w:rPr>
        <w:t>吨/年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冷却废水和车间降温</w:t>
      </w:r>
      <w:r>
        <w:rPr>
          <w:rFonts w:hint="eastAsia" w:eastAsia="仿宋_GB2312"/>
          <w:color w:val="auto"/>
          <w:sz w:val="32"/>
          <w:szCs w:val="32"/>
        </w:rPr>
        <w:t>湿帘墙用水</w:t>
      </w:r>
      <w:r>
        <w:rPr>
          <w:rFonts w:hint="eastAsia" w:eastAsia="仿宋_GB2312"/>
          <w:color w:val="auto"/>
          <w:sz w:val="32"/>
          <w:szCs w:val="32"/>
          <w:lang w:val="en-US" w:eastAsia="zh-CN"/>
        </w:rPr>
        <w:t>更换废水排放量为69.6吨/年。</w:t>
      </w:r>
    </w:p>
    <w:p w14:paraId="089C39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边界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噪声排放执行《工业企业厂界环境噪声排放标准》（GB12348-2008）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类标准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75D3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（四）</w:t>
      </w:r>
      <w:bookmarkStart w:id="1" w:name="OLE_LINK16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各类固体废物实行分类收集、处置</w:t>
      </w:r>
      <w:bookmarkEnd w:id="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固体废物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的贮存、堆放应按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《危险废物贮存污染控制标准》（GB18597-20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《一般工业固体废物贮存和填埋污染控制标准》(GB 18599-2020)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要求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进行管理。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危险废物应委托有资质的单位处置。</w:t>
      </w:r>
    </w:p>
    <w:p w14:paraId="5E03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）加强环境风险防范和应急工作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建立健全环境事故应急体系，落实各项环境风险防范与应急措施，确保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生态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环境安全。</w:t>
      </w:r>
    </w:p>
    <w:p w14:paraId="1087EC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（六）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加强运营期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环境保护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管理，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确保各项污染物稳定达标排放，并</w:t>
      </w:r>
      <w:bookmarkStart w:id="2" w:name="OLE_LINK15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按规定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做好污染物排放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的自行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监测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及信息公开工作</w:t>
      </w:r>
      <w:bookmarkEnd w:id="2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。</w:t>
      </w:r>
    </w:p>
    <w:p w14:paraId="1E7F7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）</w:t>
      </w:r>
      <w:bookmarkStart w:id="3" w:name="OLE_LINK21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项目建设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应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符合法律、法规等要求，如涉及规划、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水务、消防等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其他部门许可事项的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须依法办理相关手续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。</w:t>
      </w:r>
      <w:bookmarkEnd w:id="3"/>
    </w:p>
    <w:p w14:paraId="314EC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（</w:t>
      </w:r>
      <w:r>
        <w:rPr>
          <w:rFonts w:hint="eastAsia" w:eastAsia="仿宋_GB2312" w:cs="Times New Roman"/>
          <w:color w:val="auto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）自本批复批准之日起，原批复文件穗（番）环管影〔2021〕84号同时废止。</w:t>
      </w:r>
    </w:p>
    <w:p w14:paraId="6B29C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三、根据《建设项目环境保护管理条例》有关规定，建设项目需要配套建设的环境保护设施，必须与主体工程同时设计、同时施工、同时投产使用。项目竣工后，你公司应当按照国家和地方规定的标准和程序，对配套建设的环境保护设施进行验收，经验收合格后方可投入使用。</w:t>
      </w:r>
    </w:p>
    <w:p w14:paraId="43BB0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四、如不服上述行政许可决定，可以在收到文书之日起60日内向广州市人民政府行政复议机构（地址：广州市越秀区小北路183号金和大厦2楼市政府行政复议办公室窗口，电话：020-83555988）申请行政复议；或者在收到文书之日起6个月内直接向广州铁路运输法院提起行政诉讼。申请行政复议或提起行政诉讼的，不停止本决定的执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0493A38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 xml:space="preserve">        </w:t>
      </w:r>
    </w:p>
    <w:p w14:paraId="5865BDE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广州市生态环境局</w:t>
      </w:r>
    </w:p>
    <w:p w14:paraId="162BF77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838" w:rightChars="399" w:firstLine="640" w:firstLineChars="200"/>
        <w:jc w:val="right"/>
        <w:textAlignment w:val="auto"/>
        <w:rPr>
          <w:rFonts w:hint="default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202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年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月</w:t>
      </w:r>
      <w:r>
        <w:rPr>
          <w:rFonts w:hint="eastAsia" w:eastAsia="仿宋_GB2312" w:cs="Times New Roman"/>
          <w:b w:val="0"/>
          <w:bCs w:val="0"/>
          <w:sz w:val="32"/>
          <w:szCs w:val="32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日</w:t>
      </w:r>
    </w:p>
    <w:p w14:paraId="4F485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7D88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3932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564D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8960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67196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57F72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9910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4A7B8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5270F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0C970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285D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ECB0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790C6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15AE7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5532BA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20B6F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 w14:paraId="3B2FBB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outlineLvl w:val="0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bookmarkStart w:id="5" w:name="_GoBack"/>
      <w:bookmarkEnd w:id="5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公开方式：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主动公开</w:t>
      </w:r>
    </w:p>
    <w:p w14:paraId="79752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399" w:leftChars="266" w:hanging="84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</w:pPr>
    </w:p>
    <w:p w14:paraId="17607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1399" w:leftChars="266" w:hanging="840" w:hangingChars="300"/>
        <w:jc w:val="left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抄送：</w:t>
      </w:r>
      <w:bookmarkStart w:id="4" w:name="OLE_LINK13"/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广州市生态环境局番禺分局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监管三科、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执法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二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科；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广州市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生态环境局番禺第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四</w:t>
      </w:r>
      <w:r>
        <w:rPr>
          <w:rFonts w:hint="eastAsia" w:eastAsia="仿宋_GB2312" w:cs="Times New Roman"/>
          <w:b w:val="0"/>
          <w:bCs w:val="0"/>
          <w:sz w:val="28"/>
          <w:szCs w:val="28"/>
          <w:lang w:eastAsia="zh-CN"/>
        </w:rPr>
        <w:t>环保所、</w:t>
      </w:r>
      <w:r>
        <w:rPr>
          <w:rFonts w:hint="eastAsia" w:eastAsia="仿宋_GB2312" w:cs="Times New Roman"/>
          <w:b w:val="0"/>
          <w:bCs w:val="0"/>
          <w:sz w:val="28"/>
          <w:szCs w:val="28"/>
          <w:lang w:val="en-US" w:eastAsia="zh-CN"/>
        </w:rPr>
        <w:t>番禺技术中心；绿匠智慧（广东）生态环境科技有限公司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。</w:t>
      </w:r>
      <w:bookmarkEnd w:id="4"/>
    </w:p>
    <w:sectPr>
      <w:headerReference r:id="rId3" w:type="default"/>
      <w:footerReference r:id="rId4" w:type="default"/>
      <w:footerReference r:id="rId5" w:type="even"/>
      <w:pgSz w:w="11906" w:h="16838"/>
      <w:pgMar w:top="1701" w:right="1417" w:bottom="1417" w:left="1417" w:header="1134" w:footer="1503" w:gutter="0"/>
      <w:cols w:space="720" w:num="1"/>
      <w:titlePg/>
      <w:docGrid w:type="lines" w:linePitch="312" w:charSpace="8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D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altName w:val="DejaVu Math TeX Gyre"/>
    <w:panose1 w:val="03010101010201010101"/>
    <w:charset w:val="00"/>
    <w:family w:val="script"/>
    <w:pitch w:val="default"/>
    <w:sig w:usb0="00000000" w:usb1="00000000" w:usb2="00000000" w:usb3="00000000" w:csb0="2000009F" w:csb1="DFD7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鼎简书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7CDAA">
    <w:pPr>
      <w:pStyle w:val="10"/>
      <w:framePr w:wrap="around" w:vAnchor="text" w:hAnchor="margin" w:xAlign="outside" w:y="1"/>
      <w:rPr>
        <w:rStyle w:val="18"/>
        <w:rFonts w:hint="eastAsia"/>
        <w:sz w:val="28"/>
      </w:rPr>
    </w:pPr>
    <w:r>
      <w:rPr>
        <w:rStyle w:val="18"/>
        <w:rFonts w:hint="eastAsia" w:ascii="宋体" w:hAnsi="宋体"/>
        <w:sz w:val="28"/>
      </w:rPr>
      <w:t>―</w:t>
    </w:r>
    <w:r>
      <w:rPr>
        <w:rStyle w:val="18"/>
        <w:rFonts w:hint="eastAsia"/>
        <w:sz w:val="28"/>
      </w:rPr>
      <w:t xml:space="preserve"> </w:t>
    </w:r>
    <w:r>
      <w:rPr>
        <w:rStyle w:val="18"/>
        <w:sz w:val="28"/>
      </w:rPr>
      <w:fldChar w:fldCharType="begin"/>
    </w:r>
    <w:r>
      <w:rPr>
        <w:rStyle w:val="18"/>
        <w:sz w:val="28"/>
      </w:rPr>
      <w:instrText xml:space="preserve">PAGE  </w:instrText>
    </w:r>
    <w:r>
      <w:rPr>
        <w:rStyle w:val="18"/>
        <w:sz w:val="28"/>
      </w:rPr>
      <w:fldChar w:fldCharType="separate"/>
    </w:r>
    <w:r>
      <w:rPr>
        <w:rStyle w:val="18"/>
        <w:sz w:val="28"/>
      </w:rPr>
      <w:t>2</w:t>
    </w:r>
    <w:r>
      <w:rPr>
        <w:rStyle w:val="18"/>
        <w:sz w:val="28"/>
      </w:rPr>
      <w:fldChar w:fldCharType="end"/>
    </w:r>
    <w:r>
      <w:rPr>
        <w:rStyle w:val="18"/>
        <w:rFonts w:hint="eastAsia"/>
        <w:sz w:val="28"/>
      </w:rPr>
      <w:t xml:space="preserve"> </w:t>
    </w:r>
    <w:r>
      <w:rPr>
        <w:rStyle w:val="18"/>
        <w:rFonts w:hint="eastAsia" w:ascii="宋体" w:hAnsi="宋体"/>
        <w:sz w:val="28"/>
      </w:rPr>
      <w:t>―</w:t>
    </w:r>
  </w:p>
  <w:p w14:paraId="49AACD7A">
    <w:pPr>
      <w:pStyle w:val="10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7B7FE">
    <w:pPr>
      <w:pStyle w:val="10"/>
      <w:framePr w:wrap="around" w:vAnchor="text" w:hAnchor="margin" w:xAlign="outside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end"/>
    </w:r>
  </w:p>
  <w:p w14:paraId="673603A7">
    <w:pPr>
      <w:pStyle w:val="10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F3143C"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B9ED47"/>
    <w:multiLevelType w:val="singleLevel"/>
    <w:tmpl w:val="22B9ED47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96"/>
    <w:rsid w:val="000001CF"/>
    <w:rsid w:val="00026628"/>
    <w:rsid w:val="00041246"/>
    <w:rsid w:val="000C0CFE"/>
    <w:rsid w:val="000D348E"/>
    <w:rsid w:val="00126DCF"/>
    <w:rsid w:val="00192134"/>
    <w:rsid w:val="001A7002"/>
    <w:rsid w:val="001A7E25"/>
    <w:rsid w:val="001C13B6"/>
    <w:rsid w:val="00270B56"/>
    <w:rsid w:val="003B41D3"/>
    <w:rsid w:val="003D2929"/>
    <w:rsid w:val="003F52EE"/>
    <w:rsid w:val="00487AF2"/>
    <w:rsid w:val="00491F01"/>
    <w:rsid w:val="004D452A"/>
    <w:rsid w:val="004F2B80"/>
    <w:rsid w:val="00554313"/>
    <w:rsid w:val="00562512"/>
    <w:rsid w:val="00567C32"/>
    <w:rsid w:val="00595D18"/>
    <w:rsid w:val="005D2912"/>
    <w:rsid w:val="005F112D"/>
    <w:rsid w:val="006344D0"/>
    <w:rsid w:val="0063597A"/>
    <w:rsid w:val="0066536E"/>
    <w:rsid w:val="00667561"/>
    <w:rsid w:val="00677A86"/>
    <w:rsid w:val="006C0566"/>
    <w:rsid w:val="00735456"/>
    <w:rsid w:val="007953FD"/>
    <w:rsid w:val="007E3C40"/>
    <w:rsid w:val="00831320"/>
    <w:rsid w:val="00846DB3"/>
    <w:rsid w:val="009330B6"/>
    <w:rsid w:val="0097541C"/>
    <w:rsid w:val="00994641"/>
    <w:rsid w:val="009D6C7F"/>
    <w:rsid w:val="00A40126"/>
    <w:rsid w:val="00AA5976"/>
    <w:rsid w:val="00AF591F"/>
    <w:rsid w:val="00B5082A"/>
    <w:rsid w:val="00B51081"/>
    <w:rsid w:val="00B72159"/>
    <w:rsid w:val="00B84328"/>
    <w:rsid w:val="00BB3F36"/>
    <w:rsid w:val="00BD5E65"/>
    <w:rsid w:val="00BF67C2"/>
    <w:rsid w:val="00C062D9"/>
    <w:rsid w:val="00CE520B"/>
    <w:rsid w:val="00D14896"/>
    <w:rsid w:val="00D42C38"/>
    <w:rsid w:val="00D961F1"/>
    <w:rsid w:val="00DE27FA"/>
    <w:rsid w:val="00DE2C98"/>
    <w:rsid w:val="00E505ED"/>
    <w:rsid w:val="00E85BE3"/>
    <w:rsid w:val="00EC342A"/>
    <w:rsid w:val="00F161F5"/>
    <w:rsid w:val="00F970DF"/>
    <w:rsid w:val="0726573F"/>
    <w:rsid w:val="09CA1181"/>
    <w:rsid w:val="0D4F2AE5"/>
    <w:rsid w:val="0DEB5A37"/>
    <w:rsid w:val="0E640050"/>
    <w:rsid w:val="0F52122C"/>
    <w:rsid w:val="0F6F1094"/>
    <w:rsid w:val="128379F6"/>
    <w:rsid w:val="12856FF3"/>
    <w:rsid w:val="13C979FA"/>
    <w:rsid w:val="16153CF4"/>
    <w:rsid w:val="17D84309"/>
    <w:rsid w:val="19FE60C7"/>
    <w:rsid w:val="1A1914F5"/>
    <w:rsid w:val="1B176524"/>
    <w:rsid w:val="1BED373D"/>
    <w:rsid w:val="1C663D97"/>
    <w:rsid w:val="1E765922"/>
    <w:rsid w:val="1F0D7671"/>
    <w:rsid w:val="1FDE71AF"/>
    <w:rsid w:val="20BA50E3"/>
    <w:rsid w:val="220E557A"/>
    <w:rsid w:val="232609F0"/>
    <w:rsid w:val="252D1EE5"/>
    <w:rsid w:val="260A4701"/>
    <w:rsid w:val="269D7E97"/>
    <w:rsid w:val="27CB7E09"/>
    <w:rsid w:val="284E34A5"/>
    <w:rsid w:val="291649F7"/>
    <w:rsid w:val="291B3F52"/>
    <w:rsid w:val="29FA00EA"/>
    <w:rsid w:val="2A7501F0"/>
    <w:rsid w:val="2BFC0D17"/>
    <w:rsid w:val="2D3E219F"/>
    <w:rsid w:val="2D9B4434"/>
    <w:rsid w:val="2FC737F6"/>
    <w:rsid w:val="30025200"/>
    <w:rsid w:val="30870396"/>
    <w:rsid w:val="30B40B7C"/>
    <w:rsid w:val="31B62063"/>
    <w:rsid w:val="339B5615"/>
    <w:rsid w:val="368707A0"/>
    <w:rsid w:val="36E8706D"/>
    <w:rsid w:val="37FF4F0E"/>
    <w:rsid w:val="38A97D85"/>
    <w:rsid w:val="3A282EC7"/>
    <w:rsid w:val="3A53380B"/>
    <w:rsid w:val="3D957DFF"/>
    <w:rsid w:val="3DFE29E0"/>
    <w:rsid w:val="402A1393"/>
    <w:rsid w:val="40EE14B1"/>
    <w:rsid w:val="41680404"/>
    <w:rsid w:val="42007882"/>
    <w:rsid w:val="42B875A4"/>
    <w:rsid w:val="438576C5"/>
    <w:rsid w:val="439F0BBE"/>
    <w:rsid w:val="461D3EE6"/>
    <w:rsid w:val="4732045C"/>
    <w:rsid w:val="476D05EC"/>
    <w:rsid w:val="48BC7A7A"/>
    <w:rsid w:val="4D037CA5"/>
    <w:rsid w:val="4D4D6CAD"/>
    <w:rsid w:val="4E100354"/>
    <w:rsid w:val="4E823E3F"/>
    <w:rsid w:val="4EE62FF9"/>
    <w:rsid w:val="50775E7B"/>
    <w:rsid w:val="51463C84"/>
    <w:rsid w:val="51EC39BC"/>
    <w:rsid w:val="526D1882"/>
    <w:rsid w:val="54535B9B"/>
    <w:rsid w:val="56D90809"/>
    <w:rsid w:val="575E5E0B"/>
    <w:rsid w:val="576C3EC8"/>
    <w:rsid w:val="58F4010C"/>
    <w:rsid w:val="599125D0"/>
    <w:rsid w:val="5D0C3D95"/>
    <w:rsid w:val="5E175DB4"/>
    <w:rsid w:val="5E3E7416"/>
    <w:rsid w:val="5F63425D"/>
    <w:rsid w:val="633A1D77"/>
    <w:rsid w:val="63C51FC3"/>
    <w:rsid w:val="6534300B"/>
    <w:rsid w:val="66013B47"/>
    <w:rsid w:val="670856A2"/>
    <w:rsid w:val="69271CDD"/>
    <w:rsid w:val="69FC3374"/>
    <w:rsid w:val="6ABE0F32"/>
    <w:rsid w:val="6B743DD4"/>
    <w:rsid w:val="6BB20BEF"/>
    <w:rsid w:val="6BFA5CBF"/>
    <w:rsid w:val="6CB93980"/>
    <w:rsid w:val="6E193FCD"/>
    <w:rsid w:val="6E273EB7"/>
    <w:rsid w:val="70177CBD"/>
    <w:rsid w:val="70EB61B4"/>
    <w:rsid w:val="719E1C2B"/>
    <w:rsid w:val="71F25EB7"/>
    <w:rsid w:val="721533D8"/>
    <w:rsid w:val="734F6D9E"/>
    <w:rsid w:val="75B46566"/>
    <w:rsid w:val="75B66322"/>
    <w:rsid w:val="77A3353E"/>
    <w:rsid w:val="784E3B62"/>
    <w:rsid w:val="793D1A06"/>
    <w:rsid w:val="79AE53C9"/>
    <w:rsid w:val="7A1811CF"/>
    <w:rsid w:val="7AE349E1"/>
    <w:rsid w:val="7B615D46"/>
    <w:rsid w:val="7BE0008B"/>
    <w:rsid w:val="7CBDF9E3"/>
    <w:rsid w:val="7D52649A"/>
    <w:rsid w:val="7D865D8F"/>
    <w:rsid w:val="7E6D6AA6"/>
    <w:rsid w:val="7EE201BD"/>
    <w:rsid w:val="7F195567"/>
    <w:rsid w:val="D98E85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rFonts w:ascii="Monotype Corsiva" w:hAnsi="Monotype Corsiva"/>
      <w:sz w:val="36"/>
    </w:rPr>
  </w:style>
  <w:style w:type="character" w:default="1" w:styleId="15">
    <w:name w:val="Default Paragraph Font"/>
    <w:link w:val="16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link w:val="30"/>
    <w:qFormat/>
    <w:uiPriority w:val="0"/>
    <w:pPr>
      <w:autoSpaceDE w:val="0"/>
      <w:autoSpaceDN w:val="0"/>
      <w:adjustRightInd w:val="0"/>
      <w:jc w:val="center"/>
    </w:pPr>
    <w:rPr>
      <w:rFonts w:ascii="方正小标宋简体" w:hAnsi="Times New Roman" w:eastAsia="方正小标宋简体" w:cs="方正小标宋简体"/>
      <w:sz w:val="44"/>
      <w:szCs w:val="44"/>
    </w:rPr>
  </w:style>
  <w:style w:type="paragraph" w:styleId="5">
    <w:name w:val="Body Text Indent"/>
    <w:basedOn w:val="1"/>
    <w:qFormat/>
    <w:uiPriority w:val="0"/>
    <w:pPr>
      <w:spacing w:line="560" w:lineRule="exact"/>
      <w:ind w:firstLine="600" w:firstLineChars="200"/>
      <w:outlineLvl w:val="0"/>
    </w:pPr>
    <w:rPr>
      <w:rFonts w:ascii="仿宋_GB2312" w:eastAsia="仿宋_GB2312"/>
      <w:sz w:val="30"/>
    </w:rPr>
  </w:style>
  <w:style w:type="paragraph" w:styleId="6">
    <w:name w:val="Plain Text"/>
    <w:basedOn w:val="1"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eastAsia="仿宋_GB2312"/>
      <w:w w:val="99"/>
      <w:sz w:val="32"/>
    </w:rPr>
  </w:style>
  <w:style w:type="paragraph" w:styleId="8">
    <w:name w:val="Body Text Indent 2"/>
    <w:basedOn w:val="1"/>
    <w:qFormat/>
    <w:uiPriority w:val="0"/>
    <w:pPr>
      <w:snapToGrid w:val="0"/>
      <w:spacing w:line="600" w:lineRule="exact"/>
      <w:ind w:firstLine="640" w:firstLineChars="200"/>
    </w:pPr>
    <w:rPr>
      <w:rFonts w:ascii="仿宋_GB2312" w:eastAsia="仿宋_GB2312"/>
      <w:color w:val="FF0000"/>
      <w:sz w:val="32"/>
      <w:szCs w:val="32"/>
    </w:rPr>
  </w:style>
  <w:style w:type="paragraph" w:styleId="9">
    <w:name w:val="Balloon Text"/>
    <w:basedOn w:val="1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Char"/>
    <w:basedOn w:val="1"/>
    <w:link w:val="15"/>
    <w:qFormat/>
    <w:uiPriority w:val="0"/>
  </w:style>
  <w:style w:type="character" w:styleId="17">
    <w:name w:val="Strong"/>
    <w:basedOn w:val="15"/>
    <w:qFormat/>
    <w:uiPriority w:val="22"/>
    <w:rPr>
      <w:rFonts w:ascii="Times New Roman" w:hAnsi="Times New Roman" w:eastAsia="宋体" w:cs="Times New Roman"/>
      <w:b/>
      <w:bCs/>
    </w:rPr>
  </w:style>
  <w:style w:type="character" w:styleId="18">
    <w:name w:val="page number"/>
    <w:basedOn w:val="15"/>
    <w:qFormat/>
    <w:uiPriority w:val="0"/>
  </w:style>
  <w:style w:type="character" w:styleId="19">
    <w:name w:val="Hyperlink"/>
    <w:basedOn w:val="15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paragraph" w:customStyle="1" w:styleId="20">
    <w:name w:val="Default"/>
    <w:basedOn w:val="21"/>
    <w:next w:val="22"/>
    <w:qFormat/>
    <w:uiPriority w:val="0"/>
    <w:pPr>
      <w:widowControl w:val="0"/>
      <w:autoSpaceDE w:val="0"/>
      <w:autoSpaceDN w:val="0"/>
    </w:pPr>
    <w:rPr>
      <w:rFonts w:hint="eastAsia" w:ascii="黑体" w:hAnsi="黑体" w:eastAsia="黑体"/>
      <w:color w:val="000000"/>
      <w:sz w:val="24"/>
      <w:lang w:val="en-US" w:eastAsia="zh-CN" w:bidi="ar-SA"/>
    </w:rPr>
  </w:style>
  <w:style w:type="paragraph" w:customStyle="1" w:styleId="21">
    <w:name w:val="纯文本1"/>
    <w:basedOn w:val="1"/>
    <w:next w:val="1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customStyle="1" w:styleId="22">
    <w:name w:val="正文文字 6"/>
    <w:basedOn w:val="23"/>
    <w:next w:val="1"/>
    <w:qFormat/>
    <w:uiPriority w:val="0"/>
    <w:pPr>
      <w:widowControl w:val="0"/>
      <w:ind w:left="240"/>
      <w:jc w:val="both"/>
    </w:pPr>
    <w:rPr>
      <w:rFonts w:ascii="宋体" w:hAnsi="Times New Roman" w:eastAsia="宋体" w:cs="Times New Roman"/>
      <w:bCs/>
      <w:kern w:val="2"/>
      <w:sz w:val="32"/>
      <w:szCs w:val="32"/>
      <w:lang w:val="en-US" w:eastAsia="zh-CN" w:bidi="ar-SA"/>
    </w:rPr>
  </w:style>
  <w:style w:type="paragraph" w:customStyle="1" w:styleId="23">
    <w:name w:val="TT标题"/>
    <w:basedOn w:val="1"/>
    <w:qFormat/>
    <w:uiPriority w:val="0"/>
    <w:pPr>
      <w:jc w:val="center"/>
    </w:pPr>
    <w:rPr>
      <w:rFonts w:cs="宋体"/>
      <w:b/>
      <w:szCs w:val="20"/>
    </w:rPr>
  </w:style>
  <w:style w:type="paragraph" w:customStyle="1" w:styleId="24">
    <w:name w:val="Q-正文"/>
    <w:basedOn w:val="1"/>
    <w:next w:val="1"/>
    <w:qFormat/>
    <w:uiPriority w:val="0"/>
    <w:pPr>
      <w:ind w:firstLine="200"/>
    </w:pPr>
    <w:rPr>
      <w:rFonts w:ascii="Times New Roman" w:hAnsi="Times New Roman" w:eastAsia="宋体" w:cs="Courier New"/>
      <w:sz w:val="21"/>
      <w:szCs w:val="22"/>
    </w:rPr>
  </w:style>
  <w:style w:type="paragraph" w:customStyle="1" w:styleId="25">
    <w:name w:val="A正文-lcc"/>
    <w:basedOn w:val="1"/>
    <w:link w:val="28"/>
    <w:qFormat/>
    <w:uiPriority w:val="0"/>
    <w:pPr>
      <w:widowControl/>
      <w:spacing w:line="360" w:lineRule="auto"/>
      <w:ind w:firstLine="200" w:firstLineChars="200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26">
    <w:name w:val="默认段落字体 Para Char"/>
    <w:basedOn w:val="1"/>
    <w:next w:val="1"/>
    <w:qFormat/>
    <w:uiPriority w:val="0"/>
    <w:pPr>
      <w:spacing w:line="360" w:lineRule="auto"/>
      <w:ind w:firstLine="200" w:firstLineChars="200"/>
    </w:pPr>
    <w:rPr>
      <w:rFonts w:ascii="宋体" w:hAnsi="宋体" w:eastAsia="汉鼎简书宋" w:cs="宋体"/>
      <w:sz w:val="24"/>
      <w:szCs w:val="24"/>
    </w:rPr>
  </w:style>
  <w:style w:type="paragraph" w:customStyle="1" w:styleId="27">
    <w:name w:val=" Char"/>
    <w:basedOn w:val="1"/>
    <w:qFormat/>
    <w:uiPriority w:val="0"/>
    <w:pPr>
      <w:spacing w:line="360" w:lineRule="auto"/>
    </w:pPr>
    <w:rPr>
      <w:rFonts w:ascii="Tahoma" w:hAnsi="Tahoma" w:eastAsia="宋体" w:cs="Times New Roman"/>
      <w:sz w:val="28"/>
      <w:szCs w:val="20"/>
    </w:rPr>
  </w:style>
  <w:style w:type="character" w:customStyle="1" w:styleId="28">
    <w:name w:val="A正文-lcc Char"/>
    <w:link w:val="25"/>
    <w:qFormat/>
    <w:uiPriority w:val="0"/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character" w:customStyle="1" w:styleId="29">
    <w:name w:val="content1"/>
    <w:basedOn w:val="15"/>
    <w:qFormat/>
    <w:uiPriority w:val="0"/>
    <w:rPr>
      <w:rFonts w:ascii="Times New Roman" w:hAnsi="Times New Roman" w:eastAsia="宋体" w:cs="Times New Roman"/>
      <w:sz w:val="21"/>
      <w:szCs w:val="21"/>
    </w:rPr>
  </w:style>
  <w:style w:type="character" w:customStyle="1" w:styleId="30">
    <w:name w:val="正文文本 Char"/>
    <w:basedOn w:val="15"/>
    <w:link w:val="4"/>
    <w:semiHidden/>
    <w:qFormat/>
    <w:locked/>
    <w:uiPriority w:val="0"/>
    <w:rPr>
      <w:rFonts w:ascii="方正小标宋简体" w:hAnsi="Times New Roman" w:eastAsia="方正小标宋简体" w:cs="方正小标宋简体"/>
      <w:sz w:val="44"/>
      <w:szCs w:val="44"/>
    </w:rPr>
  </w:style>
  <w:style w:type="character" w:customStyle="1" w:styleId="31">
    <w:name w:val="样式 楷体_GB2312 黑色"/>
    <w:qFormat/>
    <w:uiPriority w:val="0"/>
    <w:rPr>
      <w:rFonts w:ascii="楷体_GB2312" w:hAnsi="宋体" w:eastAsia="楷体_GB2312" w:cs="Times New Roman"/>
      <w:b/>
      <w:color w:val="00000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gzepb</Company>
  <Pages>4</Pages>
  <Words>1597</Words>
  <Characters>1737</Characters>
  <Lines>16</Lines>
  <Paragraphs>4</Paragraphs>
  <TotalTime>6</TotalTime>
  <ScaleCrop>false</ScaleCrop>
  <LinksUpToDate>false</LinksUpToDate>
  <CharactersWithSpaces>1903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2021-12-16T10:42:00Z</dcterms:created>
  <dc:creator>张春菊</dc:creator>
  <cp:lastModifiedBy>单单单</cp:lastModifiedBy>
  <cp:lastPrinted>2021-12-16T15:55:00Z</cp:lastPrinted>
  <dcterms:modified xsi:type="dcterms:W3CDTF">2026-01-13T01:19:24Z</dcterms:modified>
  <dc:title>                                   穗府办函〔2006〕号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80EEDB4B9A514F95B67CFCD2B528543A</vt:lpwstr>
  </property>
  <property fmtid="{D5CDD505-2E9C-101B-9397-08002B2CF9AE}" pid="4" name="KSOTemplateDocerSaveRecord">
    <vt:lpwstr>eyJoZGlkIjoiYjk5ODM0YmMxOWJiYWQyNDU4MGIzYWRmYTA0ZmI5NDciLCJ1c2VySWQiOiI3NjIxNDQwMTIifQ==</vt:lpwstr>
  </property>
</Properties>
</file>