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3A7B21">
      <w:pPr>
        <w:keepNext w:val="0"/>
        <w:keepLines w:val="0"/>
        <w:widowControl w:val="0"/>
        <w:suppressLineNumbers w:val="0"/>
        <w:spacing w:line="590" w:lineRule="exact"/>
        <w:jc w:val="right"/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穗环管影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（番）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〔202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5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〕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170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号</w:t>
      </w:r>
    </w:p>
    <w:p w14:paraId="7A6AE4BE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 w14:paraId="6C10564A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 w14:paraId="1234591E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广州市生态环境局关于广州市正鑫金属</w:t>
      </w:r>
    </w:p>
    <w:p w14:paraId="6BA5CE7E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制品有限公司建设项目环境影响</w:t>
      </w:r>
    </w:p>
    <w:p w14:paraId="4107394B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报告</w:t>
      </w:r>
      <w:bookmarkStart w:id="0" w:name="OLE_LINK17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表</w:t>
      </w:r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的批复</w:t>
      </w:r>
    </w:p>
    <w:p w14:paraId="6A3CD8B6">
      <w:pPr>
        <w:spacing w:line="590" w:lineRule="exact"/>
        <w:ind w:firstLine="643" w:firstLineChars="200"/>
        <w:jc w:val="center"/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</w:pPr>
      <w:bookmarkStart w:id="5" w:name="_GoBack"/>
      <w:bookmarkEnd w:id="5"/>
    </w:p>
    <w:p w14:paraId="4D94778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广州市正鑫金属制品有限公司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91440113MABT6RDB2P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：</w:t>
      </w:r>
    </w:p>
    <w:p w14:paraId="06F982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你单位报送的《广州市正鑫金属制品有限公司建设项目环境影响报告表》（以下简称《报告表》）及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相关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资料收悉。经研究，批复如下：</w:t>
      </w:r>
    </w:p>
    <w:p w14:paraId="6234E8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一、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广州市正鑫金属制品有限公司建设项目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1"/>
          <w:lang w:val="en-US" w:eastAsia="zh-CN" w:bidi="ar-SA"/>
        </w:rPr>
        <w:t>（以下简称“该项目”）位于广州市番禺区石楼镇黄河路204号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1"/>
          <w:lang w:val="en-US" w:eastAsia="zh-CN" w:bidi="ar-SA"/>
        </w:rPr>
        <w:t>主要从事印刷设备生产，年产印刷设备3万台。该项目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21"/>
          <w:lang w:val="en-US" w:eastAsia="zh-CN" w:bidi="ar-SA"/>
        </w:rPr>
        <w:t>总占地面积9036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1"/>
          <w:lang w:val="en-US" w:eastAsia="zh-CN" w:bidi="ar-SA"/>
        </w:rPr>
        <w:t>平方米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21"/>
          <w:lang w:val="en-US" w:eastAsia="zh-CN" w:bidi="ar-SA"/>
        </w:rPr>
        <w:t>，</w:t>
      </w:r>
      <w:r>
        <w:rPr>
          <w:rFonts w:hint="eastAsia" w:eastAsia="仿宋_GB2312" w:cs="Times New Roman"/>
          <w:color w:val="auto"/>
          <w:kern w:val="2"/>
          <w:sz w:val="32"/>
          <w:szCs w:val="21"/>
          <w:lang w:val="en-US" w:eastAsia="zh-CN" w:bidi="ar-SA"/>
        </w:rPr>
        <w:t>其中一栋一层的车间，一栋三层的研发楼，一栋三层的装配仓库，一栋一层的仓库，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1"/>
          <w:lang w:val="en-US" w:eastAsia="zh-CN" w:bidi="ar-SA"/>
        </w:rPr>
        <w:t>总建筑面积8590.5平方米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21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1"/>
          <w:lang w:val="en-US" w:eastAsia="zh-CN" w:bidi="ar-SA"/>
        </w:rPr>
        <w:t>主要设备有加工中心30台、数控车床4台、铣床4台、锯</w:t>
      </w:r>
      <w:r>
        <w:rPr>
          <w:rFonts w:hint="default" w:ascii="Times New Roman" w:hAnsi="Times New Roman" w:eastAsia="仿宋_GB2312" w:cs="Times New Roman"/>
          <w:bCs w:val="0"/>
          <w:color w:val="auto"/>
          <w:kern w:val="2"/>
          <w:sz w:val="32"/>
          <w:szCs w:val="21"/>
          <w:highlight w:val="none"/>
          <w:lang w:val="en-US" w:eastAsia="zh-CN" w:bidi="ar-SA"/>
        </w:rPr>
        <w:t>床2台、激光机3台、切管机1台、压铆机2台、冷冲床1台、螺母压焊机1台、攻牙机6台、折弯机6台、模具折弯机8套、角磨机8台、焊机15台、环保洁膜槽2个、纳米成膜槽1个、空槽1个、手工/自动喷粉房（配</w:t>
      </w:r>
      <w:r>
        <w:rPr>
          <w:rFonts w:hint="eastAsia" w:eastAsia="仿宋_GB2312" w:cs="Times New Roman"/>
          <w:bCs w:val="0"/>
          <w:color w:val="auto"/>
          <w:kern w:val="2"/>
          <w:sz w:val="32"/>
          <w:szCs w:val="21"/>
          <w:highlight w:val="none"/>
          <w:lang w:val="en-US" w:eastAsia="zh-CN" w:bidi="ar-SA"/>
        </w:rPr>
        <w:t>8</w:t>
      </w:r>
      <w:r>
        <w:rPr>
          <w:rFonts w:hint="default" w:ascii="Times New Roman" w:hAnsi="Times New Roman" w:eastAsia="仿宋_GB2312" w:cs="Times New Roman"/>
          <w:bCs w:val="0"/>
          <w:color w:val="auto"/>
          <w:kern w:val="2"/>
          <w:sz w:val="32"/>
          <w:szCs w:val="21"/>
          <w:highlight w:val="none"/>
          <w:lang w:val="en-US" w:eastAsia="zh-CN" w:bidi="ar-SA"/>
        </w:rPr>
        <w:t>把自动喷枪、2把手动喷枪）1个、手动喷粉柜（配2把手动喷枪）1个、隧道炉1条</w:t>
      </w:r>
      <w:r>
        <w:rPr>
          <w:rFonts w:hint="eastAsia" w:eastAsia="仿宋_GB2312" w:cs="Times New Roman"/>
          <w:bCs w:val="0"/>
          <w:color w:val="auto"/>
          <w:kern w:val="2"/>
          <w:sz w:val="32"/>
          <w:szCs w:val="21"/>
          <w:highlight w:val="none"/>
          <w:lang w:val="en-US" w:eastAsia="zh-CN" w:bidi="ar-SA"/>
        </w:rPr>
        <w:t>，空压机2台</w:t>
      </w:r>
      <w:r>
        <w:rPr>
          <w:rFonts w:hint="eastAsia" w:ascii="Times New Roman" w:hAnsi="Times New Roman" w:eastAsia="仿宋_GB2312" w:cs="Times New Roman"/>
          <w:bCs w:val="0"/>
          <w:color w:val="auto"/>
          <w:kern w:val="2"/>
          <w:sz w:val="32"/>
          <w:szCs w:val="21"/>
          <w:highlight w:val="none"/>
          <w:lang w:val="en-US" w:eastAsia="zh-CN" w:bidi="ar-SA"/>
        </w:rPr>
        <w:t>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；员工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40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名，内部不安排食宿。</w:t>
      </w:r>
    </w:p>
    <w:p w14:paraId="6583F50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》评价结论认为，在全面落实《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》提出的各项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生态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环境保护措施和环境风险防范措施的前提下，该项目建设和运行过程中产生的不良环境影响能够得到有效控制，从环境保护角度，项目建设可行。经审查，我局同意《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》的评价结论。 </w:t>
      </w:r>
    </w:p>
    <w:p w14:paraId="7396716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二、在项目建设和运营过程中，应认真落实《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》提出的各项环境保护对策措施，重点做好以下工作：</w:t>
      </w:r>
    </w:p>
    <w:p w14:paraId="478268B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固化工序产生的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有机废气有组织排放执行广东省《固定污染源挥发性有机物综合排放标准》（DB44/2367-2022）表1挥发性有机物排放限值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；臭气浓度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有组织排放执行《恶臭污染物排放标准》（GB14554-93）表2恶臭污染物排放标准值；燃烧废气根据《关于印发&lt;工业炉窑大气污染综合治理方案&gt;的通知》（环大气〔2019〕56号）和《关于贯彻落实&lt;工业炉窑大气污染物综合治理方案&gt;的实施意见》（粤环函〔2019〕1112号），有组织废气按照颗粒物、二氧化硫、氮氧化物排放限值分别不高于 30、200、300 毫克/立方米控制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喷粉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工序产生的颗粒物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有组织排放执行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广东省《大气污染物排放限值》（DB44/27-2001）第二时段二级标准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。</w:t>
      </w:r>
    </w:p>
    <w:p w14:paraId="3E780A8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有机废气无组织排放执行广东省《固定污染源挥发性有机物综合排放标准》（DB44/2367-2022）表3厂区内VOCs无组织排放限值。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臭气浓度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无组织排放执行《恶臭污染物排放标准》（GB14554-93）表1恶臭污染物厂界标准值二级新扩改建标准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。颗粒物、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二氧化硫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氮氧化物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无组织排放执行广东省《大气污染物排放限值》(DB44/27-2001)第二时段无组织排放监控浓度限值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。</w:t>
      </w:r>
    </w:p>
    <w:p w14:paraId="3170934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 xml:space="preserve">    项目焊接、打磨工序配套可移动式布袋除尘器，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喷粉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工序产生的废气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经密闭负压喷粉房收集后经“二级滤芯回收系统”处理，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烘干、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固化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工序产生的废气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经隧道式固化炉集气罩收集后经一套“水喷淋+除雾器+二级活性炭吸附装置”进行处理，经不低于15米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高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的排气筒排放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；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项目设置废气排放口2个。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加强项目边界无组织排放废气的监控，确保项目边界无组织排放监控点的废气达到相应标准限值的要求，监测超标时应加强对无组织排放废气进行收集、净化处理。</w:t>
      </w:r>
    </w:p>
    <w:p w14:paraId="6DABBEA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排水系统采用雨污分流。前处理废液、喷淋塔更换水纳入危废管理，均不外排。生活污水经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三级化粪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池预处理后排入市政集污管网，送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前锋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净水厂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处理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dstrike w:val="0"/>
          <w:color w:val="auto"/>
          <w:sz w:val="32"/>
          <w:szCs w:val="32"/>
        </w:rPr>
        <w:t>项目设置</w:t>
      </w:r>
      <w:r>
        <w:rPr>
          <w:rFonts w:hint="eastAsia" w:eastAsia="仿宋_GB2312" w:cs="Times New Roman"/>
          <w:b w:val="0"/>
          <w:bCs w:val="0"/>
          <w:strike w:val="0"/>
          <w:dstrike w:val="0"/>
          <w:color w:val="auto"/>
          <w:sz w:val="32"/>
          <w:szCs w:val="32"/>
          <w:lang w:val="en-US" w:eastAsia="zh-CN"/>
        </w:rPr>
        <w:t>生活污水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dstrike w:val="0"/>
          <w:color w:val="auto"/>
          <w:sz w:val="32"/>
          <w:szCs w:val="32"/>
        </w:rPr>
        <w:t>排放口1个</w:t>
      </w:r>
      <w:r>
        <w:rPr>
          <w:rFonts w:hint="eastAsia" w:eastAsia="仿宋_GB2312" w:cs="Times New Roman"/>
          <w:b w:val="0"/>
          <w:bCs w:val="0"/>
          <w:strike w:val="0"/>
          <w:dstrike w:val="0"/>
          <w:color w:val="auto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水污染物排放执行广东省《水污染物排放限值》（DB44/26-2001）第二时段三级标准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生活污水排放量不超过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360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吨/年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。</w:t>
      </w:r>
    </w:p>
    <w:p w14:paraId="089C39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（三）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项目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西北边界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噪声排放执行《工业企业厂界环境噪声排放标准》（GB12348-2008）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类标准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，其余边界执行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《工业企业厂界环境噪声排放标准》（GB12348-2008）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类标准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。</w:t>
      </w:r>
    </w:p>
    <w:p w14:paraId="75D36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（四）</w:t>
      </w:r>
      <w:bookmarkStart w:id="1" w:name="OLE_LINK16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各类固体废物实行分类收集、处置</w:t>
      </w:r>
      <w:bookmarkEnd w:id="1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固体废物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的贮存、堆放应按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《危险废物贮存污染控制标准》（GB18597-20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《一般工业固体废物贮存和填埋污染控制标准》(GB 18599-2020)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要求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进行管理。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危险废物应委托有资质的单位处置。</w:t>
      </w:r>
    </w:p>
    <w:p w14:paraId="5E03C6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）加强环境风险防范和应急工作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建立健全环境事故应急体系，落实各项环境风险防范与应急措施，确保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生态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环境安全。</w:t>
      </w:r>
    </w:p>
    <w:p w14:paraId="1087E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（六）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加强运营期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环境保护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管理，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确保各项污染物稳定达标排放，并</w:t>
      </w:r>
      <w:bookmarkStart w:id="2" w:name="OLE_LINK15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按规定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做好污染物排放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的自行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监测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及信息公开工作</w:t>
      </w:r>
      <w:bookmarkEnd w:id="2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。</w:t>
      </w:r>
    </w:p>
    <w:p w14:paraId="6D3C8F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（七）该项目应实施氮氧化物等量替代，所需替代指标氮氧化物0.298吨/年。项目建成后再根据实际排放及污染物总量控制要求予以核定。</w:t>
      </w:r>
    </w:p>
    <w:p w14:paraId="314EC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八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）</w:t>
      </w:r>
      <w:bookmarkStart w:id="3" w:name="OLE_LINK21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项目建设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应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符合法律、法规等要求，如涉及规划、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水务、消防等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其他部门许可事项的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须依法办理相关手续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</w:t>
      </w:r>
      <w:bookmarkEnd w:id="3"/>
    </w:p>
    <w:p w14:paraId="6B29C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三、根据《建设项目环境保护管理条例》有关规定，建设项目需要配套建设的环境保护设施，必须与主体工程同时设计、同时施工、同时投产使用。项目竣工后，你公司应当按照国家和地方规定的标准和程序，对配套建设的环境保护设施进行验收，经验收合格后方可投入使用。</w:t>
      </w:r>
    </w:p>
    <w:p w14:paraId="2AA19E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四、如不服上述行政许可决定，可以在收到文书之日起60日内向广州市人民政府行政复议机构（地址：广州市越秀区小北路183号金和大厦2楼市政府行政复议办公室窗口，电话：020-83555988）申请行政复议；或者在收到文书之日起6个月内直接向广州铁路运输法院提起行政诉讼。申请行政复议或提起行政诉讼的，不停止本决定的执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43BB0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5865BDE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            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       广州市生态环境局</w:t>
      </w:r>
    </w:p>
    <w:p w14:paraId="0C6844A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月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日</w:t>
      </w:r>
    </w:p>
    <w:p w14:paraId="3E2D096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06EB48A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7B6B824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2A3E8D5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363843A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0ACDCC9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5F1624B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151BA5C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1619F29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613561D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7F61691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5FAF725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6EFA0AF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838" w:rightChars="399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73344A3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2B77257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60C6CE7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10A86E8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079FB9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公开方式：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主动公开</w:t>
      </w:r>
    </w:p>
    <w:p w14:paraId="3B2FBB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1CF679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抄送：</w:t>
      </w:r>
      <w:bookmarkStart w:id="4" w:name="OLE_LINK13"/>
      <w:r>
        <w:rPr>
          <w:rFonts w:hint="eastAsia" w:eastAsia="仿宋_GB2312" w:cs="Times New Roman"/>
          <w:b w:val="0"/>
          <w:bCs w:val="0"/>
          <w:sz w:val="28"/>
          <w:szCs w:val="28"/>
          <w:lang w:eastAsia="zh-CN"/>
        </w:rPr>
        <w:t>广州市生态环境局番禺分局</w:t>
      </w:r>
      <w:r>
        <w:rPr>
          <w:rFonts w:hint="eastAsia" w:eastAsia="仿宋_GB2312" w:cs="Times New Roman"/>
          <w:b w:val="0"/>
          <w:bCs w:val="0"/>
          <w:sz w:val="28"/>
          <w:szCs w:val="28"/>
          <w:lang w:val="en-US" w:eastAsia="zh-CN"/>
        </w:rPr>
        <w:t>监管三科、</w:t>
      </w:r>
      <w:r>
        <w:rPr>
          <w:rFonts w:hint="eastAsia" w:eastAsia="仿宋_GB2312" w:cs="Times New Roman"/>
          <w:b w:val="0"/>
          <w:bCs w:val="0"/>
          <w:sz w:val="28"/>
          <w:szCs w:val="28"/>
          <w:lang w:eastAsia="zh-CN"/>
        </w:rPr>
        <w:t>执法</w:t>
      </w:r>
      <w:r>
        <w:rPr>
          <w:rFonts w:hint="eastAsia" w:eastAsia="仿宋_GB2312" w:cs="Times New Roman"/>
          <w:b w:val="0"/>
          <w:bCs w:val="0"/>
          <w:sz w:val="28"/>
          <w:szCs w:val="28"/>
          <w:lang w:val="en-US" w:eastAsia="zh-CN"/>
        </w:rPr>
        <w:t>二</w:t>
      </w:r>
      <w:r>
        <w:rPr>
          <w:rFonts w:hint="eastAsia" w:eastAsia="仿宋_GB2312" w:cs="Times New Roman"/>
          <w:b w:val="0"/>
          <w:bCs w:val="0"/>
          <w:sz w:val="28"/>
          <w:szCs w:val="28"/>
          <w:lang w:eastAsia="zh-CN"/>
        </w:rPr>
        <w:t>科；</w:t>
      </w:r>
      <w:r>
        <w:rPr>
          <w:rFonts w:hint="eastAsia" w:eastAsia="仿宋_GB2312" w:cs="Times New Roman"/>
          <w:b w:val="0"/>
          <w:bCs w:val="0"/>
          <w:sz w:val="28"/>
          <w:szCs w:val="28"/>
          <w:lang w:val="en-US" w:eastAsia="zh-CN"/>
        </w:rPr>
        <w:t>广州市</w:t>
      </w:r>
      <w:r>
        <w:rPr>
          <w:rFonts w:hint="eastAsia" w:eastAsia="仿宋_GB2312" w:cs="Times New Roman"/>
          <w:b w:val="0"/>
          <w:bCs w:val="0"/>
          <w:sz w:val="28"/>
          <w:szCs w:val="28"/>
          <w:lang w:eastAsia="zh-CN"/>
        </w:rPr>
        <w:t>生态环境局番禺第</w:t>
      </w:r>
      <w:r>
        <w:rPr>
          <w:rFonts w:hint="eastAsia" w:eastAsia="仿宋_GB2312" w:cs="Times New Roman"/>
          <w:b w:val="0"/>
          <w:bCs w:val="0"/>
          <w:sz w:val="28"/>
          <w:szCs w:val="28"/>
          <w:lang w:val="en-US" w:eastAsia="zh-CN"/>
        </w:rPr>
        <w:t>四</w:t>
      </w:r>
      <w:r>
        <w:rPr>
          <w:rFonts w:hint="eastAsia" w:eastAsia="仿宋_GB2312" w:cs="Times New Roman"/>
          <w:b w:val="0"/>
          <w:bCs w:val="0"/>
          <w:sz w:val="28"/>
          <w:szCs w:val="28"/>
          <w:lang w:eastAsia="zh-CN"/>
        </w:rPr>
        <w:t>环保所、</w:t>
      </w:r>
      <w:r>
        <w:rPr>
          <w:rFonts w:hint="eastAsia" w:eastAsia="仿宋_GB2312" w:cs="Times New Roman"/>
          <w:b w:val="0"/>
          <w:bCs w:val="0"/>
          <w:sz w:val="28"/>
          <w:szCs w:val="28"/>
          <w:lang w:val="en-US" w:eastAsia="zh-CN"/>
        </w:rPr>
        <w:t>番禺技术中心；广州泓扬环保科技有限公司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。</w:t>
      </w:r>
      <w:bookmarkEnd w:id="4"/>
    </w:p>
    <w:p w14:paraId="75F29A2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1728936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0801D01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8236BB"/>
    <w:rsid w:val="01BD30A6"/>
    <w:rsid w:val="128E3DD2"/>
    <w:rsid w:val="178800FF"/>
    <w:rsid w:val="181B6E70"/>
    <w:rsid w:val="199620E9"/>
    <w:rsid w:val="2F014C2F"/>
    <w:rsid w:val="398236BB"/>
    <w:rsid w:val="41204925"/>
    <w:rsid w:val="444B5ED8"/>
    <w:rsid w:val="4E90153C"/>
    <w:rsid w:val="60386795"/>
    <w:rsid w:val="6662297B"/>
    <w:rsid w:val="6773253A"/>
    <w:rsid w:val="69556AAB"/>
    <w:rsid w:val="6A2A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styleId="8">
    <w:name w:val="annotation reference"/>
    <w:basedOn w:val="6"/>
    <w:semiHidden/>
    <w:unhideWhenUsed/>
    <w:qFormat/>
    <w:uiPriority w:val="0"/>
    <w:rPr>
      <w:sz w:val="21"/>
      <w:szCs w:val="21"/>
    </w:rPr>
  </w:style>
  <w:style w:type="paragraph" w:customStyle="1" w:styleId="9">
    <w:name w:val="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2025-12-05T02:15:00Z</dcterms:created>
  <dc:creator>1</dc:creator>
  <cp:lastModifiedBy>1</cp:lastModifiedBy>
  <cp:lastPrinted>2025-12-05T02:16:00Z</cp:lastPrinted>
  <dcterms:modified xsi:type="dcterms:W3CDTF">2025-12-30T03:02:50Z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5786E29B9C0B4F50B980882795AF4FA2_11</vt:lpwstr>
  </property>
</Properties>
</file>