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FDE16">
      <w:pPr>
        <w:spacing w:line="580" w:lineRule="exact"/>
        <w:ind w:right="23" w:rightChars="11"/>
        <w:rPr>
          <w:rFonts w:hint="eastAsia" w:ascii="仿宋_GB2312" w:eastAsia="仿宋_GB2312"/>
          <w:color w:val="auto"/>
          <w:sz w:val="32"/>
        </w:rPr>
      </w:pPr>
      <w:r>
        <w:rPr>
          <w:rFonts w:hint="eastAsia" w:eastAsia="仿宋_GB2312"/>
          <w:color w:val="auto"/>
          <w:sz w:val="32"/>
        </w:rPr>
        <w:t xml:space="preserve">                                          </w:t>
      </w:r>
    </w:p>
    <w:p w14:paraId="18CDA06A">
      <w:pPr>
        <w:keepNext w:val="0"/>
        <w:keepLines w:val="0"/>
        <w:widowControl w:val="0"/>
        <w:suppressLineNumbers w:val="0"/>
        <w:spacing w:line="590" w:lineRule="exact"/>
        <w:jc w:val="right"/>
        <w:rPr>
          <w:rFonts w:ascii="Times New Roman" w:hAnsi="Times New Roman" w:eastAsia="仿宋_GB2312" w:cs="Times New Roman"/>
          <w:b w:val="0"/>
          <w:bCs w:val="0"/>
          <w:color w:val="auto"/>
          <w:sz w:val="32"/>
          <w:szCs w:val="32"/>
        </w:rPr>
      </w:pPr>
      <w:bookmarkStart w:id="0" w:name="Content"/>
      <w:r>
        <w:rPr>
          <w:rFonts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穗环管影</w:t>
      </w:r>
      <w:r>
        <w:rPr>
          <w:rFonts w:hint="eastAsia" w:eastAsia="仿宋_GB2312" w:cs="Times New Roman"/>
          <w:b w:val="0"/>
          <w:bCs w:val="0"/>
          <w:i w:val="0"/>
          <w:iCs w:val="0"/>
          <w:caps w:val="0"/>
          <w:color w:val="auto"/>
          <w:spacing w:val="0"/>
          <w:kern w:val="2"/>
          <w:sz w:val="32"/>
          <w:szCs w:val="32"/>
          <w:shd w:val="clear" w:color="auto" w:fill="auto"/>
          <w:lang w:val="en-US" w:eastAsia="zh-CN" w:bidi="ar"/>
        </w:rPr>
        <w:t>（番）</w:t>
      </w:r>
      <w:r>
        <w:rPr>
          <w:rFonts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〔202</w:t>
      </w:r>
      <w:r>
        <w:rPr>
          <w:rFonts w:hint="eastAsia" w:eastAsia="仿宋_GB2312" w:cs="Times New Roman"/>
          <w:b w:val="0"/>
          <w:bCs w:val="0"/>
          <w:i w:val="0"/>
          <w:iCs w:val="0"/>
          <w:caps w:val="0"/>
          <w:color w:val="auto"/>
          <w:spacing w:val="0"/>
          <w:kern w:val="2"/>
          <w:sz w:val="32"/>
          <w:szCs w:val="32"/>
          <w:shd w:val="clear" w:color="auto" w:fill="auto"/>
          <w:lang w:val="en-US" w:eastAsia="zh-CN" w:bidi="ar"/>
        </w:rPr>
        <w:t>5</w:t>
      </w:r>
      <w:r>
        <w:rPr>
          <w:rFonts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w:t>
      </w:r>
      <w:r>
        <w:rPr>
          <w:rFonts w:hint="eastAsia" w:eastAsia="仿宋_GB2312" w:cs="Times New Roman"/>
          <w:b w:val="0"/>
          <w:bCs w:val="0"/>
          <w:i w:val="0"/>
          <w:iCs w:val="0"/>
          <w:caps w:val="0"/>
          <w:color w:val="auto"/>
          <w:spacing w:val="0"/>
          <w:kern w:val="2"/>
          <w:sz w:val="32"/>
          <w:szCs w:val="32"/>
          <w:shd w:val="clear" w:color="auto" w:fill="auto"/>
          <w:lang w:val="en-US" w:eastAsia="zh-CN" w:bidi="ar"/>
        </w:rPr>
        <w:t>166</w:t>
      </w:r>
      <w:r>
        <w:rPr>
          <w:rFonts w:ascii="Times New Roman" w:hAnsi="Times New Roman" w:eastAsia="仿宋_GB2312" w:cs="Times New Roman"/>
          <w:b w:val="0"/>
          <w:bCs w:val="0"/>
          <w:i w:val="0"/>
          <w:iCs w:val="0"/>
          <w:caps w:val="0"/>
          <w:color w:val="auto"/>
          <w:spacing w:val="0"/>
          <w:kern w:val="2"/>
          <w:sz w:val="32"/>
          <w:szCs w:val="32"/>
          <w:shd w:val="clear" w:color="auto" w:fill="auto"/>
          <w:lang w:val="en-US" w:eastAsia="zh-CN" w:bidi="ar"/>
        </w:rPr>
        <w:t>号</w:t>
      </w:r>
    </w:p>
    <w:p w14:paraId="11CEDC0F">
      <w:pPr>
        <w:spacing w:line="590" w:lineRule="exact"/>
        <w:jc w:val="right"/>
        <w:rPr>
          <w:rFonts w:hint="default" w:ascii="Times New Roman" w:hAnsi="Times New Roman" w:eastAsia="仿宋_GB2312" w:cs="Times New Roman"/>
          <w:b/>
          <w:bCs/>
          <w:color w:val="auto"/>
          <w:sz w:val="32"/>
          <w:szCs w:val="32"/>
        </w:rPr>
      </w:pPr>
    </w:p>
    <w:p w14:paraId="0B7C17BF">
      <w:pPr>
        <w:spacing w:line="590" w:lineRule="exact"/>
        <w:jc w:val="right"/>
        <w:rPr>
          <w:rFonts w:hint="default" w:ascii="Times New Roman" w:hAnsi="Times New Roman" w:eastAsia="仿宋_GB2312" w:cs="Times New Roman"/>
          <w:b/>
          <w:bCs/>
          <w:color w:val="auto"/>
          <w:sz w:val="32"/>
          <w:szCs w:val="32"/>
        </w:rPr>
      </w:pPr>
    </w:p>
    <w:p w14:paraId="01B6AC57">
      <w:pPr>
        <w:spacing w:line="590" w:lineRule="exact"/>
        <w:jc w:val="center"/>
        <w:outlineLvl w:val="0"/>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广州市生态环境局关于广州白云山拜迪生物医药有限公司年产细胞培养基76.9万瓶扩建项目环境影响报告</w:t>
      </w:r>
      <w:bookmarkStart w:id="1" w:name="OLE_LINK17"/>
      <w:r>
        <w:rPr>
          <w:rFonts w:hint="eastAsia" w:ascii="方正小标宋简体" w:hAnsi="方正小标宋简体" w:eastAsia="方正小标宋简体" w:cs="方正小标宋简体"/>
          <w:b w:val="0"/>
          <w:bCs w:val="0"/>
          <w:color w:val="auto"/>
          <w:sz w:val="44"/>
          <w:szCs w:val="44"/>
          <w:lang w:val="en-US" w:eastAsia="zh-CN"/>
        </w:rPr>
        <w:t>表</w:t>
      </w:r>
      <w:bookmarkEnd w:id="1"/>
      <w:r>
        <w:rPr>
          <w:rFonts w:hint="eastAsia" w:ascii="方正小标宋简体" w:hAnsi="方正小标宋简体" w:eastAsia="方正小标宋简体" w:cs="方正小标宋简体"/>
          <w:b w:val="0"/>
          <w:bCs w:val="0"/>
          <w:color w:val="auto"/>
          <w:sz w:val="44"/>
          <w:szCs w:val="44"/>
        </w:rPr>
        <w:t>的批复</w:t>
      </w:r>
    </w:p>
    <w:p w14:paraId="4D33860A">
      <w:pPr>
        <w:spacing w:line="590" w:lineRule="exact"/>
        <w:ind w:firstLine="643" w:firstLineChars="200"/>
        <w:jc w:val="center"/>
        <w:rPr>
          <w:rFonts w:hint="eastAsia" w:ascii="Times New Roman" w:hAnsi="Times New Roman" w:eastAsia="仿宋_GB2312" w:cs="Times New Roman"/>
          <w:b/>
          <w:bCs/>
          <w:color w:val="auto"/>
          <w:sz w:val="32"/>
          <w:szCs w:val="32"/>
          <w:lang w:eastAsia="zh-CN"/>
        </w:rPr>
      </w:pPr>
    </w:p>
    <w:p w14:paraId="6D182BDD">
      <w:pPr>
        <w:keepNext w:val="0"/>
        <w:keepLines w:val="0"/>
        <w:pageBreakBefore w:val="0"/>
        <w:widowControl w:val="0"/>
        <w:kinsoku/>
        <w:wordWrap/>
        <w:overflowPunct/>
        <w:topLinePunct w:val="0"/>
        <w:bidi w:val="0"/>
        <w:snapToGrid w:val="0"/>
        <w:spacing w:line="560" w:lineRule="exact"/>
        <w:jc w:val="lef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广州白云山拜迪生物医药有限公司（91440101731547130M）</w:t>
      </w:r>
      <w:r>
        <w:rPr>
          <w:rFonts w:hint="default" w:ascii="Times New Roman" w:hAnsi="Times New Roman" w:eastAsia="仿宋_GB2312" w:cs="Times New Roman"/>
          <w:b w:val="0"/>
          <w:bCs w:val="0"/>
          <w:color w:val="auto"/>
          <w:sz w:val="32"/>
          <w:szCs w:val="32"/>
        </w:rPr>
        <w:t>：</w:t>
      </w:r>
    </w:p>
    <w:p w14:paraId="44A216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你公司报批的《广州白云山拜迪生物医药有限公司年产细胞培养基76.9万瓶扩建项目环境影响报告</w:t>
      </w:r>
      <w:bookmarkStart w:id="2" w:name="OLE_LINK18"/>
      <w:r>
        <w:rPr>
          <w:rFonts w:hint="default" w:ascii="Times New Roman" w:hAnsi="Times New Roman" w:eastAsia="仿宋_GB2312" w:cs="Times New Roman"/>
          <w:b w:val="0"/>
          <w:bCs w:val="0"/>
          <w:color w:val="auto"/>
          <w:sz w:val="32"/>
          <w:szCs w:val="32"/>
          <w:lang w:val="en-US" w:eastAsia="zh-CN"/>
        </w:rPr>
        <w:t>表</w:t>
      </w:r>
      <w:bookmarkEnd w:id="2"/>
      <w:r>
        <w:rPr>
          <w:rFonts w:hint="default" w:ascii="Times New Roman" w:hAnsi="Times New Roman" w:eastAsia="仿宋_GB2312" w:cs="Times New Roman"/>
          <w:b w:val="0"/>
          <w:bCs w:val="0"/>
          <w:color w:val="auto"/>
          <w:sz w:val="32"/>
          <w:szCs w:val="32"/>
        </w:rPr>
        <w:t>》（以下简称《报告</w:t>
      </w:r>
      <w:r>
        <w:rPr>
          <w:rFonts w:hint="default" w:ascii="Times New Roman" w:hAnsi="Times New Roman" w:eastAsia="仿宋_GB2312" w:cs="Times New Roman"/>
          <w:b w:val="0"/>
          <w:bCs w:val="0"/>
          <w:color w:val="auto"/>
          <w:sz w:val="32"/>
          <w:szCs w:val="32"/>
          <w:lang w:val="en-US" w:eastAsia="zh-CN"/>
        </w:rPr>
        <w:t>表</w:t>
      </w:r>
      <w:r>
        <w:rPr>
          <w:rFonts w:hint="default" w:ascii="Times New Roman" w:hAnsi="Times New Roman" w:eastAsia="仿宋_GB2312" w:cs="Times New Roman"/>
          <w:b w:val="0"/>
          <w:bCs w:val="0"/>
          <w:color w:val="auto"/>
          <w:sz w:val="32"/>
          <w:szCs w:val="32"/>
        </w:rPr>
        <w:t>》）及相关资料收悉。经研究，批复如下：</w:t>
      </w:r>
    </w:p>
    <w:p w14:paraId="37BE7279">
      <w:pPr>
        <w:keepNext w:val="0"/>
        <w:keepLines w:val="0"/>
        <w:pageBreakBefore w:val="0"/>
        <w:widowControl w:val="0"/>
        <w:kinsoku/>
        <w:wordWrap/>
        <w:overflowPunct/>
        <w:topLinePunct w:val="0"/>
        <w:bidi w:val="0"/>
        <w:spacing w:line="560" w:lineRule="exact"/>
        <w:ind w:firstLine="972" w:firstLineChars="304"/>
        <w:textAlignment w:val="auto"/>
        <w:rPr>
          <w:rFonts w:hint="default" w:ascii="Times New Roman" w:hAnsi="Times New Roman" w:eastAsia="仿宋_GB2312" w:cs="Times New Roman"/>
          <w:b w:val="0"/>
          <w:bCs w:val="0"/>
          <w:color w:val="auto"/>
          <w:kern w:val="0"/>
          <w:sz w:val="32"/>
          <w:szCs w:val="32"/>
          <w:lang w:eastAsia="zh-CN"/>
        </w:rPr>
      </w:pPr>
      <w:r>
        <w:rPr>
          <w:rFonts w:hint="default" w:ascii="Times New Roman" w:hAnsi="Times New Roman" w:eastAsia="仿宋_GB2312" w:cs="Times New Roman"/>
          <w:b w:val="0"/>
          <w:bCs w:val="0"/>
          <w:color w:val="auto"/>
          <w:sz w:val="32"/>
          <w:szCs w:val="32"/>
        </w:rPr>
        <w:t>一、广州白云山拜迪生物医药有限公司年产细胞培养基76.9万瓶扩建项目</w:t>
      </w:r>
      <w:r>
        <w:rPr>
          <w:rFonts w:hint="default" w:ascii="Times New Roman" w:hAnsi="Times New Roman" w:eastAsia="仿宋_GB2312" w:cs="Times New Roman"/>
          <w:color w:val="auto"/>
          <w:sz w:val="32"/>
          <w:szCs w:val="32"/>
          <w:lang w:val="en-US" w:eastAsia="zh-CN"/>
        </w:rPr>
        <w:t>（以下简称“</w:t>
      </w:r>
      <w:r>
        <w:rPr>
          <w:rFonts w:hint="eastAsia" w:eastAsia="仿宋_GB2312" w:cs="Times New Roman"/>
          <w:color w:val="auto"/>
          <w:sz w:val="32"/>
          <w:szCs w:val="32"/>
          <w:lang w:val="en-US" w:eastAsia="zh-CN"/>
        </w:rPr>
        <w:t>该项目</w:t>
      </w:r>
      <w:r>
        <w:rPr>
          <w:rFonts w:hint="default"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位于广东省广州市番禺区钟村街谢村村市广路万宝基地万宝北街1号医疗器械车间首层</w:t>
      </w:r>
      <w:r>
        <w:rPr>
          <w:rFonts w:hint="default" w:ascii="Times New Roman" w:hAnsi="Times New Roman" w:eastAsia="仿宋_GB2312" w:cs="Times New Roman"/>
          <w:b w:val="0"/>
          <w:bCs w:val="0"/>
          <w:color w:val="auto"/>
          <w:sz w:val="32"/>
          <w:szCs w:val="32"/>
          <w:lang w:eastAsia="zh-CN"/>
        </w:rPr>
        <w:t>，申报内容</w:t>
      </w:r>
      <w:r>
        <w:rPr>
          <w:rFonts w:hint="default" w:ascii="Times New Roman" w:hAnsi="Times New Roman" w:eastAsia="仿宋_GB2312" w:cs="Times New Roman"/>
          <w:b w:val="0"/>
          <w:bCs w:val="0"/>
          <w:color w:val="auto"/>
          <w:sz w:val="32"/>
          <w:szCs w:val="32"/>
          <w:lang w:val="en-US" w:eastAsia="zh-CN"/>
        </w:rPr>
        <w:t>为</w:t>
      </w:r>
      <w:r>
        <w:rPr>
          <w:rFonts w:hint="eastAsia" w:eastAsia="仿宋_GB2312" w:cs="Times New Roman"/>
          <w:b w:val="0"/>
          <w:bCs w:val="0"/>
          <w:color w:val="auto"/>
          <w:sz w:val="32"/>
          <w:szCs w:val="32"/>
          <w:lang w:val="en-US" w:eastAsia="zh-CN"/>
        </w:rPr>
        <w:t>新增</w:t>
      </w:r>
      <w:r>
        <w:rPr>
          <w:rFonts w:hint="default" w:ascii="Times New Roman" w:hAnsi="Times New Roman" w:eastAsia="仿宋_GB2312" w:cs="Times New Roman"/>
          <w:b w:val="0"/>
          <w:bCs w:val="0"/>
          <w:color w:val="auto"/>
          <w:sz w:val="32"/>
          <w:szCs w:val="32"/>
          <w:lang w:val="en-US" w:eastAsia="zh-CN"/>
        </w:rPr>
        <w:t>细胞培养基的生产，</w:t>
      </w:r>
      <w:r>
        <w:rPr>
          <w:rFonts w:hint="eastAsia" w:eastAsia="仿宋_GB2312" w:cs="Times New Roman"/>
          <w:b w:val="0"/>
          <w:bCs w:val="0"/>
          <w:color w:val="auto"/>
          <w:sz w:val="32"/>
          <w:szCs w:val="32"/>
          <w:lang w:val="en-US" w:eastAsia="zh-CN"/>
        </w:rPr>
        <w:t>扩建后新增产能：细胞培养基48.9万瓶/年、T型细胞培养基21.4万瓶/年、T型细胞培养基（离心管）5.3万管/年、羊水细胞培养基1.3万瓶/年</w:t>
      </w:r>
      <w:r>
        <w:rPr>
          <w:rFonts w:hint="default" w:ascii="Times New Roman" w:hAnsi="Times New Roman" w:eastAsia="仿宋_GB2312" w:cs="Times New Roman"/>
          <w:b w:val="0"/>
          <w:bCs w:val="0"/>
          <w:color w:val="auto"/>
          <w:sz w:val="32"/>
          <w:szCs w:val="32"/>
          <w:lang w:eastAsia="zh-CN"/>
        </w:rPr>
        <w:t>。</w:t>
      </w:r>
      <w:r>
        <w:rPr>
          <w:rFonts w:hint="eastAsia" w:eastAsia="仿宋_GB2312" w:cs="Times New Roman"/>
          <w:b w:val="0"/>
          <w:bCs w:val="0"/>
          <w:color w:val="auto"/>
          <w:sz w:val="32"/>
          <w:szCs w:val="32"/>
          <w:lang w:eastAsia="zh-CN"/>
        </w:rPr>
        <w:t>该项目</w:t>
      </w:r>
      <w:r>
        <w:rPr>
          <w:rFonts w:hint="eastAsia" w:eastAsia="仿宋_GB2312" w:cs="Times New Roman"/>
          <w:b w:val="0"/>
          <w:bCs w:val="0"/>
          <w:color w:val="auto"/>
          <w:sz w:val="32"/>
          <w:szCs w:val="32"/>
          <w:lang w:val="en-US" w:eastAsia="zh-CN"/>
        </w:rPr>
        <w:t>使用</w:t>
      </w:r>
      <w:r>
        <w:rPr>
          <w:rFonts w:hint="eastAsia" w:eastAsia="仿宋_GB2312" w:cs="Times New Roman"/>
          <w:b w:val="0"/>
          <w:bCs w:val="0"/>
          <w:color w:val="auto"/>
          <w:sz w:val="32"/>
          <w:szCs w:val="32"/>
          <w:lang w:eastAsia="zh-CN"/>
        </w:rPr>
        <w:t>厂区内1</w:t>
      </w:r>
      <w:r>
        <w:rPr>
          <w:rFonts w:hint="eastAsia" w:eastAsia="仿宋_GB2312" w:cs="Times New Roman"/>
          <w:b w:val="0"/>
          <w:bCs w:val="0"/>
          <w:color w:val="auto"/>
          <w:sz w:val="32"/>
          <w:szCs w:val="32"/>
          <w:lang w:val="en-US" w:eastAsia="zh-CN"/>
        </w:rPr>
        <w:t>栋4层厂房的</w:t>
      </w:r>
      <w:r>
        <w:rPr>
          <w:rFonts w:hint="eastAsia" w:eastAsia="仿宋_GB2312" w:cs="Times New Roman"/>
          <w:b w:val="0"/>
          <w:bCs w:val="0"/>
          <w:color w:val="auto"/>
          <w:sz w:val="32"/>
          <w:szCs w:val="32"/>
          <w:lang w:eastAsia="zh-CN"/>
        </w:rPr>
        <w:t>首层空置车间</w:t>
      </w:r>
      <w:r>
        <w:rPr>
          <w:rFonts w:hint="eastAsia" w:eastAsia="仿宋_GB2312" w:cs="Times New Roman"/>
          <w:b w:val="0"/>
          <w:bCs w:val="0"/>
          <w:color w:val="auto"/>
          <w:sz w:val="32"/>
          <w:szCs w:val="32"/>
          <w:lang w:val="en-US" w:eastAsia="zh-CN"/>
        </w:rPr>
        <w:t>改建，</w:t>
      </w:r>
      <w:r>
        <w:rPr>
          <w:rFonts w:hint="default" w:ascii="Times New Roman" w:hAnsi="Times New Roman" w:eastAsia="仿宋_GB2312" w:cs="Times New Roman"/>
          <w:color w:val="auto"/>
          <w:sz w:val="32"/>
          <w:szCs w:val="32"/>
        </w:rPr>
        <w:t>占地面积411.97</w:t>
      </w:r>
      <w:r>
        <w:rPr>
          <w:rFonts w:hint="default" w:ascii="Times New Roman" w:hAnsi="Times New Roman" w:eastAsia="仿宋_GB2312" w:cs="Times New Roman"/>
          <w:b w:val="0"/>
          <w:bCs w:val="0"/>
          <w:color w:val="auto"/>
          <w:sz w:val="32"/>
          <w:szCs w:val="32"/>
          <w:lang w:eastAsia="zh-CN"/>
        </w:rPr>
        <w:t>平方米</w:t>
      </w:r>
      <w:r>
        <w:rPr>
          <w:rFonts w:hint="default" w:ascii="Times New Roman" w:hAnsi="Times New Roman" w:eastAsia="仿宋_GB2312" w:cs="Times New Roman"/>
          <w:color w:val="auto"/>
          <w:sz w:val="32"/>
          <w:szCs w:val="32"/>
          <w:lang w:eastAsia="zh-CN"/>
        </w:rPr>
        <w:t>，总建筑面积411.97</w:t>
      </w:r>
      <w:r>
        <w:rPr>
          <w:rFonts w:hint="default" w:ascii="Times New Roman" w:hAnsi="Times New Roman" w:eastAsia="仿宋_GB2312" w:cs="Times New Roman"/>
          <w:b w:val="0"/>
          <w:bCs w:val="0"/>
          <w:color w:val="auto"/>
          <w:sz w:val="32"/>
          <w:szCs w:val="32"/>
          <w:lang w:eastAsia="zh-CN"/>
        </w:rPr>
        <w:t>平方米</w:t>
      </w:r>
      <w:r>
        <w:rPr>
          <w:rFonts w:hint="eastAsia" w:eastAsia="仿宋_GB2312" w:cs="Times New Roman"/>
          <w:b w:val="0"/>
          <w:bCs w:val="0"/>
          <w:color w:val="auto"/>
          <w:sz w:val="32"/>
          <w:szCs w:val="32"/>
          <w:lang w:eastAsia="zh-CN"/>
        </w:rPr>
        <w:t>。</w:t>
      </w:r>
      <w:r>
        <w:rPr>
          <w:rFonts w:hint="default" w:ascii="Times New Roman" w:hAnsi="Times New Roman" w:eastAsia="仿宋_GB2312" w:cs="Times New Roman"/>
          <w:color w:val="auto"/>
          <w:sz w:val="32"/>
          <w:szCs w:val="32"/>
        </w:rPr>
        <w:t>主要</w:t>
      </w:r>
      <w:r>
        <w:rPr>
          <w:rFonts w:hint="eastAsia" w:eastAsia="仿宋_GB2312" w:cs="Times New Roman"/>
          <w:color w:val="auto"/>
          <w:sz w:val="32"/>
          <w:szCs w:val="32"/>
          <w:lang w:val="en-US" w:eastAsia="zh-CN"/>
        </w:rPr>
        <w:t>设备有1套压缩空气系统、2台恒温恒湿洁净空调</w:t>
      </w:r>
      <w:r>
        <w:rPr>
          <w:rFonts w:hint="eastAsia" w:eastAsia="仿宋_GB2312" w:cs="Times New Roman"/>
          <w:color w:val="auto"/>
          <w:sz w:val="32"/>
          <w:szCs w:val="32"/>
          <w:highlight w:val="none"/>
          <w:lang w:val="en-US" w:eastAsia="zh-CN"/>
        </w:rPr>
        <w:t>、1套纯化水系统、1台纯蒸汽发生器、1台臭氧发生器、1台脉动真空灭菌器、1台RXH热风循环烘箱、3台LG洗衣机、1台全自动湿法气冲式胶塞清洗机、1台立式超声波洗瓶机、1台隧道式灭菌干燥机、1台离心管贴标分托入托一体机、1台三维透明膜包装机、1台通风</w:t>
      </w:r>
      <w:r>
        <w:rPr>
          <w:rFonts w:hint="eastAsia" w:eastAsia="仿宋_GB2312" w:cs="Times New Roman"/>
          <w:color w:val="auto"/>
          <w:sz w:val="32"/>
          <w:szCs w:val="32"/>
          <w:lang w:val="en-US" w:eastAsia="zh-CN"/>
        </w:rPr>
        <w:t>橱等。</w:t>
      </w:r>
      <w:r>
        <w:rPr>
          <w:rFonts w:hint="default" w:ascii="Times New Roman" w:hAnsi="Times New Roman" w:eastAsia="仿宋_GB2312" w:cs="Times New Roman"/>
          <w:color w:val="auto"/>
          <w:sz w:val="32"/>
          <w:szCs w:val="32"/>
          <w:lang w:val="en-US" w:eastAsia="zh-CN"/>
        </w:rPr>
        <w:t>不新增员工，</w:t>
      </w:r>
      <w:r>
        <w:rPr>
          <w:rFonts w:hint="default" w:ascii="Times New Roman" w:hAnsi="Times New Roman" w:eastAsia="仿宋_GB2312" w:cs="Times New Roman"/>
          <w:b w:val="0"/>
          <w:bCs w:val="0"/>
          <w:color w:val="auto"/>
          <w:sz w:val="32"/>
          <w:szCs w:val="32"/>
          <w:lang w:eastAsia="zh-CN"/>
        </w:rPr>
        <w:t>18</w:t>
      </w:r>
      <w:r>
        <w:rPr>
          <w:rFonts w:hint="eastAsia" w:eastAsia="仿宋_GB2312" w:cs="Times New Roman"/>
          <w:b w:val="0"/>
          <w:bCs w:val="0"/>
          <w:color w:val="auto"/>
          <w:sz w:val="32"/>
          <w:szCs w:val="32"/>
          <w:lang w:val="en-US" w:eastAsia="zh-CN"/>
        </w:rPr>
        <w:t>名员工</w:t>
      </w:r>
      <w:r>
        <w:rPr>
          <w:rFonts w:hint="default" w:ascii="Times New Roman" w:hAnsi="Times New Roman" w:eastAsia="仿宋_GB2312" w:cs="Times New Roman"/>
          <w:b w:val="0"/>
          <w:bCs w:val="0"/>
          <w:color w:val="auto"/>
          <w:sz w:val="32"/>
          <w:szCs w:val="32"/>
          <w:lang w:eastAsia="zh-CN"/>
        </w:rPr>
        <w:t>均从其他生产线调配，厂区内设置食堂，不设住宿</w:t>
      </w:r>
      <w:r>
        <w:rPr>
          <w:rFonts w:hint="default" w:ascii="Times New Roman" w:hAnsi="Times New Roman" w:eastAsia="仿宋_GB2312" w:cs="Times New Roman"/>
          <w:b w:val="0"/>
          <w:bCs w:val="0"/>
          <w:color w:val="auto"/>
          <w:kern w:val="0"/>
          <w:sz w:val="32"/>
          <w:szCs w:val="32"/>
          <w:lang w:val="en-US" w:eastAsia="zh-CN"/>
        </w:rPr>
        <w:t>。</w:t>
      </w:r>
    </w:p>
    <w:p w14:paraId="5C2CA834">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》评价结论认为，在全面落实《</w:t>
      </w:r>
      <w:r>
        <w:rPr>
          <w:rFonts w:hint="default" w:ascii="Times New Roman" w:hAnsi="Times New Roman"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》提出的各项</w:t>
      </w:r>
      <w:r>
        <w:rPr>
          <w:rFonts w:hint="default" w:ascii="Times New Roman" w:hAnsi="Times New Roman" w:eastAsia="仿宋_GB2312" w:cs="Times New Roman"/>
          <w:b w:val="0"/>
          <w:bCs w:val="0"/>
          <w:color w:val="auto"/>
          <w:sz w:val="32"/>
          <w:szCs w:val="32"/>
          <w:lang w:eastAsia="zh-CN"/>
        </w:rPr>
        <w:t>生态</w:t>
      </w:r>
      <w:r>
        <w:rPr>
          <w:rFonts w:hint="default" w:ascii="Times New Roman" w:hAnsi="Times New Roman" w:eastAsia="仿宋_GB2312" w:cs="Times New Roman"/>
          <w:b w:val="0"/>
          <w:bCs w:val="0"/>
          <w:color w:val="auto"/>
          <w:sz w:val="32"/>
          <w:szCs w:val="32"/>
        </w:rPr>
        <w:t>环境保护措施和环境风险防范措施的前提下，</w:t>
      </w:r>
      <w:r>
        <w:rPr>
          <w:rFonts w:hint="eastAsia" w:eastAsia="仿宋_GB2312" w:cs="Times New Roman"/>
          <w:b w:val="0"/>
          <w:bCs w:val="0"/>
          <w:color w:val="auto"/>
          <w:sz w:val="32"/>
          <w:szCs w:val="32"/>
          <w:lang w:eastAsia="zh-CN"/>
        </w:rPr>
        <w:t>该项目</w:t>
      </w:r>
      <w:r>
        <w:rPr>
          <w:rFonts w:hint="default" w:ascii="Times New Roman" w:hAnsi="Times New Roman" w:eastAsia="仿宋_GB2312" w:cs="Times New Roman"/>
          <w:b w:val="0"/>
          <w:bCs w:val="0"/>
          <w:color w:val="auto"/>
          <w:sz w:val="32"/>
          <w:szCs w:val="32"/>
        </w:rPr>
        <w:t>建设和运行过程中产生的不良环境影响能够得到有效控制，从环境保护角度，项目建设可行。经审查，我局同意《</w:t>
      </w:r>
      <w:r>
        <w:rPr>
          <w:rFonts w:hint="default" w:ascii="Times New Roman" w:hAnsi="Times New Roman"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 xml:space="preserve">》的评价结论。 </w:t>
      </w:r>
    </w:p>
    <w:p w14:paraId="5C769E33">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二、在项目建设和运营过程中，应认真落实《</w:t>
      </w:r>
      <w:r>
        <w:rPr>
          <w:rFonts w:hint="default" w:ascii="Times New Roman" w:hAnsi="Times New Roman" w:eastAsia="仿宋_GB2312" w:cs="Times New Roman"/>
          <w:b w:val="0"/>
          <w:bCs w:val="0"/>
          <w:color w:val="auto"/>
          <w:sz w:val="32"/>
          <w:szCs w:val="32"/>
          <w:lang w:eastAsia="zh-CN"/>
        </w:rPr>
        <w:t>报告表</w:t>
      </w:r>
      <w:r>
        <w:rPr>
          <w:rFonts w:hint="default" w:ascii="Times New Roman" w:hAnsi="Times New Roman" w:eastAsia="仿宋_GB2312" w:cs="Times New Roman"/>
          <w:b w:val="0"/>
          <w:bCs w:val="0"/>
          <w:color w:val="auto"/>
          <w:sz w:val="32"/>
          <w:szCs w:val="32"/>
        </w:rPr>
        <w:t>》提出的各项环境保护对策措施，重点做好以下工作：</w:t>
      </w:r>
    </w:p>
    <w:p w14:paraId="7A4B23EC">
      <w:pPr>
        <w:keepNext w:val="0"/>
        <w:keepLines w:val="0"/>
        <w:pageBreakBefore w:val="0"/>
        <w:widowControl w:val="0"/>
        <w:kinsoku/>
        <w:wordWrap/>
        <w:overflowPunct/>
        <w:topLinePunct w:val="0"/>
        <w:bidi w:val="0"/>
        <w:spacing w:line="560" w:lineRule="exact"/>
        <w:ind w:firstLine="640" w:firstLineChars="200"/>
        <w:textAlignment w:val="auto"/>
        <w:rPr>
          <w:rFonts w:hint="eastAsia" w:ascii="仿宋_GB2312" w:hAnsi="仿宋_GB2312" w:eastAsia="仿宋_GB2312" w:cs="仿宋_GB2312"/>
          <w:color w:val="auto"/>
          <w:sz w:val="32"/>
          <w:szCs w:val="32"/>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一</w:t>
      </w:r>
      <w:r>
        <w:rPr>
          <w:rFonts w:hint="default" w:ascii="Times New Roman" w:hAnsi="Times New Roman" w:eastAsia="仿宋_GB2312" w:cs="Times New Roman"/>
          <w:b w:val="0"/>
          <w:bCs w:val="0"/>
          <w:color w:val="auto"/>
          <w:sz w:val="32"/>
          <w:szCs w:val="32"/>
        </w:rPr>
        <w:t>）培养基配制工序产生的少量粉尘（颗粒物）</w:t>
      </w:r>
      <w:r>
        <w:rPr>
          <w:rFonts w:hint="eastAsia" w:eastAsia="仿宋_GB2312" w:cs="Times New Roman"/>
          <w:b w:val="0"/>
          <w:bCs w:val="0"/>
          <w:color w:val="auto"/>
          <w:sz w:val="32"/>
          <w:szCs w:val="32"/>
          <w:lang w:val="en-US" w:eastAsia="zh-CN"/>
        </w:rPr>
        <w:t>经</w:t>
      </w:r>
      <w:r>
        <w:rPr>
          <w:rFonts w:hint="default" w:ascii="Times New Roman" w:hAnsi="Times New Roman" w:eastAsia="仿宋_GB2312" w:cs="Times New Roman"/>
          <w:b w:val="0"/>
          <w:bCs w:val="0"/>
          <w:color w:val="auto"/>
          <w:sz w:val="32"/>
          <w:szCs w:val="32"/>
        </w:rPr>
        <w:t>通风橱</w:t>
      </w:r>
      <w:r>
        <w:rPr>
          <w:rFonts w:hint="eastAsia" w:eastAsia="仿宋_GB2312" w:cs="Times New Roman"/>
          <w:b w:val="0"/>
          <w:bCs w:val="0"/>
          <w:color w:val="auto"/>
          <w:sz w:val="32"/>
          <w:szCs w:val="32"/>
          <w:lang w:val="en-US" w:eastAsia="zh-CN"/>
        </w:rPr>
        <w:t>收集</w:t>
      </w:r>
      <w:r>
        <w:rPr>
          <w:rFonts w:hint="default" w:ascii="Times New Roman" w:hAnsi="Times New Roman" w:eastAsia="仿宋_GB2312" w:cs="Times New Roman"/>
          <w:b w:val="0"/>
          <w:bCs w:val="0"/>
          <w:color w:val="auto"/>
          <w:sz w:val="32"/>
          <w:szCs w:val="32"/>
        </w:rPr>
        <w:t>后无组织排放。清场消毒工序产生的</w:t>
      </w:r>
      <w:r>
        <w:rPr>
          <w:rFonts w:hint="eastAsia" w:eastAsia="仿宋_GB2312" w:cs="Times New Roman"/>
          <w:b w:val="0"/>
          <w:bCs w:val="0"/>
          <w:color w:val="auto"/>
          <w:sz w:val="32"/>
          <w:szCs w:val="32"/>
          <w:lang w:val="en-US" w:eastAsia="zh-CN"/>
        </w:rPr>
        <w:t>少量</w:t>
      </w:r>
      <w:r>
        <w:rPr>
          <w:rFonts w:hint="default" w:ascii="Times New Roman" w:hAnsi="Times New Roman" w:eastAsia="仿宋_GB2312" w:cs="Times New Roman"/>
          <w:b w:val="0"/>
          <w:bCs w:val="0"/>
          <w:color w:val="auto"/>
          <w:sz w:val="32"/>
          <w:szCs w:val="32"/>
        </w:rPr>
        <w:t>有机废气</w:t>
      </w:r>
      <w:r>
        <w:rPr>
          <w:rFonts w:hint="eastAsia" w:eastAsia="仿宋_GB2312" w:cs="Times New Roman"/>
          <w:b w:val="0"/>
          <w:bCs w:val="0"/>
          <w:color w:val="auto"/>
          <w:sz w:val="32"/>
          <w:szCs w:val="32"/>
          <w:lang w:val="en-US" w:eastAsia="zh-CN"/>
        </w:rPr>
        <w:t>在</w:t>
      </w:r>
      <w:r>
        <w:rPr>
          <w:rFonts w:hint="default" w:ascii="Times New Roman" w:hAnsi="Times New Roman" w:eastAsia="仿宋_GB2312" w:cs="Times New Roman"/>
          <w:b w:val="0"/>
          <w:bCs w:val="0"/>
          <w:color w:val="auto"/>
          <w:sz w:val="32"/>
          <w:szCs w:val="32"/>
        </w:rPr>
        <w:t>车间</w:t>
      </w:r>
      <w:r>
        <w:rPr>
          <w:rFonts w:hint="eastAsia" w:eastAsia="仿宋_GB2312" w:cs="Times New Roman"/>
          <w:b w:val="0"/>
          <w:bCs w:val="0"/>
          <w:color w:val="auto"/>
          <w:sz w:val="32"/>
          <w:szCs w:val="32"/>
          <w:lang w:val="en-US" w:eastAsia="zh-CN"/>
        </w:rPr>
        <w:t>内</w:t>
      </w:r>
      <w:r>
        <w:rPr>
          <w:rFonts w:hint="default" w:ascii="Times New Roman" w:hAnsi="Times New Roman" w:eastAsia="仿宋_GB2312" w:cs="Times New Roman"/>
          <w:b w:val="0"/>
          <w:bCs w:val="0"/>
          <w:color w:val="auto"/>
          <w:sz w:val="32"/>
          <w:szCs w:val="32"/>
        </w:rPr>
        <w:t>无组织排放</w:t>
      </w:r>
      <w:r>
        <w:rPr>
          <w:rFonts w:hint="default" w:ascii="Times New Roman" w:hAnsi="Times New Roman" w:eastAsia="仿宋_GB2312" w:cs="Times New Roman"/>
          <w:b w:val="0"/>
          <w:bCs w:val="0"/>
          <w:color w:val="auto"/>
          <w:sz w:val="32"/>
          <w:szCs w:val="32"/>
          <w:lang w:eastAsia="zh-CN"/>
        </w:rPr>
        <w:t>。</w:t>
      </w: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rPr>
        <w:t>车间边界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20CF361B">
      <w:pPr>
        <w:keepNext w:val="0"/>
        <w:keepLines w:val="0"/>
        <w:pageBreakBefore w:val="0"/>
        <w:widowControl w:val="0"/>
        <w:kinsoku/>
        <w:wordWrap/>
        <w:overflowPunct/>
        <w:topLinePunct w:val="0"/>
        <w:bidi w:val="0"/>
        <w:spacing w:line="560" w:lineRule="exact"/>
        <w:ind w:firstLine="640" w:firstLineChars="200"/>
        <w:textAlignment w:val="auto"/>
        <w:rPr>
          <w:rFonts w:hint="eastAsia"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color w:val="auto"/>
          <w:sz w:val="32"/>
          <w:szCs w:val="32"/>
          <w:lang w:val="en-US" w:eastAsia="zh-CN"/>
        </w:rPr>
        <w:t>颗粒物</w:t>
      </w:r>
      <w:r>
        <w:rPr>
          <w:rFonts w:hint="default" w:ascii="Times New Roman" w:hAnsi="Times New Roman" w:eastAsia="仿宋_GB2312" w:cs="Times New Roman"/>
          <w:color w:val="auto"/>
          <w:sz w:val="32"/>
          <w:szCs w:val="32"/>
        </w:rPr>
        <w:t>排放执行广东省《大气污染物排放限值》（DB44/27-2001）</w:t>
      </w:r>
      <w:r>
        <w:rPr>
          <w:rFonts w:hint="default" w:ascii="Times New Roman" w:hAnsi="Times New Roman" w:eastAsia="仿宋_GB2312" w:cs="Times New Roman"/>
          <w:color w:val="auto"/>
          <w:sz w:val="32"/>
          <w:szCs w:val="32"/>
          <w:lang w:val="en-US" w:eastAsia="zh-CN"/>
        </w:rPr>
        <w:t>第二时段</w:t>
      </w:r>
      <w:r>
        <w:rPr>
          <w:rFonts w:hint="default" w:ascii="Times New Roman" w:hAnsi="Times New Roman" w:eastAsia="仿宋_GB2312" w:cs="Times New Roman"/>
          <w:color w:val="auto"/>
          <w:sz w:val="32"/>
          <w:szCs w:val="32"/>
        </w:rPr>
        <w:t>无组织排放监控浓度限值</w:t>
      </w:r>
      <w:r>
        <w:rPr>
          <w:rFonts w:hint="default" w:ascii="Times New Roman" w:hAnsi="Times New Roman" w:eastAsia="仿宋_GB2312" w:cs="Times New Roman"/>
          <w:color w:val="auto"/>
          <w:sz w:val="32"/>
          <w:szCs w:val="32"/>
          <w:lang w:eastAsia="zh-CN"/>
        </w:rPr>
        <w:t>；NMHC排放执行广东省《固定污染源挥发性有机物综合排放标准》（DB44/2367-2022）表3厂区内VOCs无组织排放限值</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臭气浓度排放执行《恶臭污染物排放标准》（GB14554-93）表1恶臭污染物厂界标准值二级新扩改建标准</w:t>
      </w:r>
      <w:r>
        <w:rPr>
          <w:rFonts w:hint="default" w:ascii="Times New Roman" w:hAnsi="Times New Roman" w:eastAsia="仿宋_GB2312" w:cs="Times New Roman"/>
          <w:color w:val="auto"/>
          <w:sz w:val="32"/>
          <w:szCs w:val="32"/>
          <w:lang w:val="en-US" w:eastAsia="zh-CN"/>
        </w:rPr>
        <w:t>值</w:t>
      </w:r>
    </w:p>
    <w:p w14:paraId="322EFAD0">
      <w:pPr>
        <w:keepNext w:val="0"/>
        <w:keepLines w:val="0"/>
        <w:pageBreakBefore w:val="0"/>
        <w:widowControl w:val="0"/>
        <w:numPr>
          <w:ilvl w:val="0"/>
          <w:numId w:val="3"/>
        </w:numPr>
        <w:kinsoku/>
        <w:wordWrap/>
        <w:overflowPunct/>
        <w:topLinePunct w:val="0"/>
        <w:bidi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bookmarkStart w:id="3" w:name="OLE_LINK20"/>
      <w:r>
        <w:rPr>
          <w:rFonts w:hint="default" w:ascii="Times New Roman" w:hAnsi="Times New Roman" w:eastAsia="仿宋_GB2312" w:cs="Times New Roman"/>
          <w:b w:val="0"/>
          <w:bCs w:val="0"/>
          <w:color w:val="auto"/>
          <w:sz w:val="32"/>
          <w:szCs w:val="32"/>
        </w:rPr>
        <w:t>排</w:t>
      </w:r>
      <w:r>
        <w:rPr>
          <w:rFonts w:hint="default" w:ascii="Times New Roman" w:hAnsi="Times New Roman" w:eastAsia="仿宋_GB2312" w:cs="Times New Roman"/>
          <w:b w:val="0"/>
          <w:bCs w:val="0"/>
          <w:color w:val="auto"/>
          <w:sz w:val="32"/>
          <w:szCs w:val="32"/>
          <w:lang w:eastAsia="zh-CN"/>
        </w:rPr>
        <w:t>水系统采用雨污分流。生产废水</w:t>
      </w:r>
      <w:r>
        <w:rPr>
          <w:rFonts w:hint="eastAsia"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eastAsia="zh-CN"/>
        </w:rPr>
        <w:t>容器清洗废水、地面清洁废水</w:t>
      </w:r>
      <w:r>
        <w:rPr>
          <w:rFonts w:hint="eastAsia" w:eastAsia="仿宋_GB2312" w:cs="Times New Roman"/>
          <w:b w:val="0"/>
          <w:bCs w:val="0"/>
          <w:color w:val="auto"/>
          <w:sz w:val="32"/>
          <w:szCs w:val="32"/>
          <w:lang w:val="en-US" w:eastAsia="zh-CN"/>
        </w:rPr>
        <w:t>及</w:t>
      </w:r>
      <w:r>
        <w:rPr>
          <w:rFonts w:hint="default" w:ascii="Times New Roman" w:hAnsi="Times New Roman" w:eastAsia="仿宋_GB2312" w:cs="Times New Roman"/>
          <w:b w:val="0"/>
          <w:bCs w:val="0"/>
          <w:color w:val="auto"/>
          <w:sz w:val="32"/>
          <w:szCs w:val="32"/>
          <w:lang w:eastAsia="zh-CN"/>
        </w:rPr>
        <w:t>工衣清洗废水</w:t>
      </w:r>
      <w:r>
        <w:rPr>
          <w:rFonts w:hint="eastAsia" w:eastAsia="仿宋_GB2312" w:cs="Times New Roman"/>
          <w:b w:val="0"/>
          <w:bCs w:val="0"/>
          <w:color w:val="auto"/>
          <w:sz w:val="32"/>
          <w:szCs w:val="32"/>
          <w:lang w:eastAsia="zh-CN"/>
        </w:rPr>
        <w:t>）、纯水制备浓水、冷却塔更换废水</w:t>
      </w:r>
      <w:r>
        <w:rPr>
          <w:rFonts w:hint="eastAsia" w:eastAsia="仿宋_GB2312" w:cs="Times New Roman"/>
          <w:b w:val="0"/>
          <w:bCs w:val="0"/>
          <w:color w:val="auto"/>
          <w:sz w:val="32"/>
          <w:szCs w:val="32"/>
          <w:lang w:val="en-US" w:eastAsia="zh-CN"/>
        </w:rPr>
        <w:t>及</w:t>
      </w:r>
      <w:r>
        <w:rPr>
          <w:rFonts w:hint="eastAsia" w:eastAsia="仿宋_GB2312" w:cs="Times New Roman"/>
          <w:b w:val="0"/>
          <w:bCs w:val="0"/>
          <w:color w:val="auto"/>
          <w:sz w:val="32"/>
          <w:szCs w:val="32"/>
          <w:lang w:eastAsia="zh-CN"/>
        </w:rPr>
        <w:t>蒸汽冷凝废水</w:t>
      </w:r>
      <w:r>
        <w:rPr>
          <w:rFonts w:hint="default" w:ascii="Times New Roman" w:hAnsi="Times New Roman" w:eastAsia="仿宋_GB2312" w:cs="Times New Roman"/>
          <w:color w:val="auto"/>
          <w:sz w:val="32"/>
          <w:szCs w:val="32"/>
          <w:lang w:val="en-US" w:eastAsia="zh-CN"/>
        </w:rPr>
        <w:t>经收集</w:t>
      </w:r>
      <w:r>
        <w:rPr>
          <w:rFonts w:hint="eastAsia" w:eastAsia="仿宋_GB2312" w:cs="Times New Roman"/>
          <w:color w:val="auto"/>
          <w:sz w:val="32"/>
          <w:szCs w:val="32"/>
          <w:lang w:val="en-US" w:eastAsia="zh-CN"/>
        </w:rPr>
        <w:t>一同由</w:t>
      </w:r>
      <w:r>
        <w:rPr>
          <w:rFonts w:hint="default" w:ascii="Times New Roman" w:hAnsi="Times New Roman" w:eastAsia="仿宋_GB2312" w:cs="Times New Roman"/>
          <w:color w:val="auto"/>
          <w:sz w:val="32"/>
          <w:szCs w:val="32"/>
          <w:lang w:val="en-US" w:eastAsia="zh-CN"/>
        </w:rPr>
        <w:t>厂区内原有污水处理站</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厌氧吸附+二级接触氧化处理法</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处理</w:t>
      </w:r>
      <w:r>
        <w:rPr>
          <w:rFonts w:hint="default" w:ascii="Times New Roman" w:hAnsi="Times New Roman" w:eastAsia="仿宋_GB2312" w:cs="Times New Roman"/>
          <w:color w:val="auto"/>
          <w:sz w:val="32"/>
          <w:szCs w:val="32"/>
        </w:rPr>
        <w:t>达标</w:t>
      </w:r>
      <w:r>
        <w:rPr>
          <w:rFonts w:hint="default" w:ascii="Times New Roman" w:hAnsi="Times New Roman" w:eastAsia="仿宋_GB2312" w:cs="Times New Roman"/>
          <w:color w:val="auto"/>
          <w:sz w:val="32"/>
          <w:szCs w:val="32"/>
          <w:lang w:val="en-US" w:eastAsia="zh-CN"/>
        </w:rPr>
        <w:t>后，接入市政污水管网送</w:t>
      </w:r>
      <w:r>
        <w:rPr>
          <w:rFonts w:hint="eastAsia" w:eastAsia="仿宋_GB2312" w:cs="Times New Roman"/>
          <w:color w:val="auto"/>
          <w:sz w:val="32"/>
          <w:szCs w:val="32"/>
          <w:lang w:val="en-US" w:eastAsia="zh-CN"/>
        </w:rPr>
        <w:t>钟村</w:t>
      </w:r>
      <w:r>
        <w:rPr>
          <w:rFonts w:hint="default" w:ascii="Times New Roman" w:hAnsi="Times New Roman" w:eastAsia="仿宋_GB2312" w:cs="Times New Roman"/>
          <w:color w:val="auto"/>
          <w:sz w:val="32"/>
          <w:szCs w:val="32"/>
          <w:lang w:val="en-US" w:eastAsia="zh-CN"/>
        </w:rPr>
        <w:t>净水厂集中处理。项目</w:t>
      </w:r>
      <w:r>
        <w:rPr>
          <w:rFonts w:hint="eastAsia" w:eastAsia="仿宋_GB2312" w:cs="Times New Roman"/>
          <w:color w:val="auto"/>
          <w:sz w:val="32"/>
          <w:szCs w:val="32"/>
          <w:lang w:val="en-US" w:eastAsia="zh-CN"/>
        </w:rPr>
        <w:t>不新增生活污水，生产废水等依托原有废水排放口排放，总体</w:t>
      </w:r>
      <w:r>
        <w:rPr>
          <w:rFonts w:hint="default" w:ascii="Times New Roman" w:hAnsi="Times New Roman" w:eastAsia="仿宋_GB2312" w:cs="Times New Roman"/>
          <w:color w:val="auto"/>
          <w:sz w:val="32"/>
          <w:szCs w:val="32"/>
          <w:lang w:val="en-US" w:eastAsia="zh-CN"/>
        </w:rPr>
        <w:t>设置</w:t>
      </w:r>
      <w:r>
        <w:rPr>
          <w:rFonts w:hint="eastAsia" w:eastAsia="仿宋_GB2312" w:cs="Times New Roman"/>
          <w:color w:val="auto"/>
          <w:sz w:val="32"/>
          <w:szCs w:val="32"/>
          <w:lang w:val="en-US" w:eastAsia="zh-CN"/>
        </w:rPr>
        <w:t>废水</w:t>
      </w:r>
      <w:r>
        <w:rPr>
          <w:rFonts w:hint="default" w:ascii="Times New Roman" w:hAnsi="Times New Roman" w:eastAsia="仿宋_GB2312" w:cs="Times New Roman"/>
          <w:color w:val="auto"/>
          <w:sz w:val="32"/>
          <w:szCs w:val="32"/>
          <w:lang w:val="en-US" w:eastAsia="zh-CN"/>
        </w:rPr>
        <w:t>排放口1个。</w:t>
      </w:r>
      <w:r>
        <w:rPr>
          <w:rFonts w:hint="eastAsia" w:eastAsia="仿宋_GB2312" w:cs="Times New Roman"/>
          <w:color w:val="auto"/>
          <w:sz w:val="32"/>
          <w:szCs w:val="32"/>
          <w:lang w:val="en-US" w:eastAsia="zh-CN"/>
        </w:rPr>
        <w:t>废水中</w:t>
      </w:r>
      <w:r>
        <w:rPr>
          <w:rFonts w:hint="default" w:ascii="Times New Roman" w:hAnsi="Times New Roman" w:eastAsia="仿宋_GB2312" w:cs="Times New Roman"/>
          <w:color w:val="auto"/>
          <w:sz w:val="32"/>
          <w:szCs w:val="32"/>
          <w:lang w:val="en-US" w:eastAsia="zh-CN"/>
        </w:rPr>
        <w:t>乙腈、急性毒性、总余氯等特征污染物</w:t>
      </w:r>
      <w:r>
        <w:rPr>
          <w:rFonts w:hint="eastAsia" w:eastAsia="仿宋_GB2312" w:cs="Times New Roman"/>
          <w:color w:val="auto"/>
          <w:sz w:val="32"/>
          <w:szCs w:val="32"/>
          <w:lang w:val="en-US" w:eastAsia="zh-CN"/>
        </w:rPr>
        <w:t>排放执行</w:t>
      </w:r>
      <w:r>
        <w:rPr>
          <w:rFonts w:hint="default" w:ascii="Times New Roman" w:hAnsi="Times New Roman" w:eastAsia="仿宋_GB2312" w:cs="Times New Roman"/>
          <w:color w:val="auto"/>
          <w:sz w:val="32"/>
          <w:szCs w:val="32"/>
          <w:lang w:val="en-US" w:eastAsia="zh-CN"/>
        </w:rPr>
        <w:t>《生物工程类制药工业水污染物排放标准》（GB21907-2008）表2新建企业水污染物排放浓度限值与《混装制剂类制药工业水污染物排放标准》（GB21908-2008）表2新建企业水污染物排放浓度限值的较严值</w:t>
      </w:r>
      <w:r>
        <w:rPr>
          <w:rFonts w:hint="eastAsia"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其余</w:t>
      </w:r>
      <w:r>
        <w:rPr>
          <w:rFonts w:hint="eastAsia" w:eastAsia="仿宋_GB2312" w:cs="Times New Roman"/>
          <w:color w:val="auto"/>
          <w:sz w:val="32"/>
          <w:szCs w:val="32"/>
          <w:lang w:val="en-US" w:eastAsia="zh-CN"/>
        </w:rPr>
        <w:t>水</w:t>
      </w:r>
      <w:r>
        <w:rPr>
          <w:rFonts w:hint="default" w:ascii="Times New Roman" w:hAnsi="Times New Roman" w:eastAsia="仿宋_GB2312" w:cs="Times New Roman"/>
          <w:color w:val="auto"/>
          <w:sz w:val="32"/>
          <w:szCs w:val="32"/>
          <w:lang w:val="en-US" w:eastAsia="zh-CN"/>
        </w:rPr>
        <w:t>污染物</w:t>
      </w:r>
      <w:r>
        <w:rPr>
          <w:rFonts w:hint="eastAsia" w:ascii="Times New Roman" w:hAnsi="Times New Roman" w:eastAsia="仿宋_GB2312" w:cs="Times New Roman"/>
          <w:color w:val="auto"/>
          <w:sz w:val="32"/>
          <w:szCs w:val="32"/>
          <w:lang w:val="en-US" w:eastAsia="zh-CN"/>
        </w:rPr>
        <w:t>排放执行</w:t>
      </w:r>
      <w:r>
        <w:rPr>
          <w:rFonts w:hint="default" w:ascii="Times New Roman" w:hAnsi="Times New Roman" w:eastAsia="仿宋_GB2312" w:cs="Times New Roman"/>
          <w:color w:val="auto"/>
          <w:sz w:val="32"/>
          <w:szCs w:val="32"/>
          <w:lang w:val="en-US" w:eastAsia="zh-CN"/>
        </w:rPr>
        <w:t>广东省《水污染物排放限值》（DB44/26-2001）第二时段三级标准</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新增</w:t>
      </w:r>
      <w:r>
        <w:rPr>
          <w:rFonts w:hint="eastAsia" w:eastAsia="仿宋_GB2312" w:cs="Times New Roman"/>
          <w:color w:val="auto"/>
          <w:sz w:val="32"/>
          <w:szCs w:val="32"/>
          <w:lang w:val="en-US" w:eastAsia="zh-CN"/>
        </w:rPr>
        <w:t>生产废水排放量不超过127.1</w:t>
      </w:r>
      <w:r>
        <w:rPr>
          <w:rFonts w:hint="default" w:ascii="Times New Roman" w:hAnsi="Times New Roman" w:eastAsia="仿宋_GB2312" w:cs="Times New Roman"/>
          <w:color w:val="auto"/>
          <w:sz w:val="32"/>
          <w:szCs w:val="32"/>
          <w:lang w:val="en-US" w:eastAsia="zh-CN"/>
        </w:rPr>
        <w:t>吨/年</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纯水制备浓水、冷却塔更换废水及蒸汽冷凝废水</w:t>
      </w:r>
      <w:r>
        <w:rPr>
          <w:rFonts w:hint="eastAsia" w:eastAsia="仿宋_GB2312" w:cs="Times New Roman"/>
          <w:color w:val="auto"/>
          <w:sz w:val="32"/>
          <w:szCs w:val="32"/>
          <w:lang w:val="en-US" w:eastAsia="zh-CN"/>
        </w:rPr>
        <w:t>等清净下水</w:t>
      </w:r>
      <w:r>
        <w:rPr>
          <w:rFonts w:hint="default" w:ascii="Times New Roman" w:hAnsi="Times New Roman" w:eastAsia="仿宋_GB2312" w:cs="Times New Roman"/>
          <w:color w:val="auto"/>
          <w:sz w:val="32"/>
          <w:szCs w:val="32"/>
          <w:lang w:val="en-US" w:eastAsia="zh-CN"/>
        </w:rPr>
        <w:t>排放量</w:t>
      </w:r>
      <w:r>
        <w:rPr>
          <w:rFonts w:hint="eastAsia" w:eastAsia="仿宋_GB2312" w:cs="Times New Roman"/>
          <w:color w:val="auto"/>
          <w:sz w:val="32"/>
          <w:szCs w:val="32"/>
          <w:lang w:val="en-US" w:eastAsia="zh-CN"/>
        </w:rPr>
        <w:t>不超过</w:t>
      </w:r>
      <w:r>
        <w:rPr>
          <w:rFonts w:hint="default" w:ascii="Times New Roman" w:hAnsi="Times New Roman" w:eastAsia="仿宋_GB2312" w:cs="Times New Roman"/>
          <w:color w:val="auto"/>
          <w:sz w:val="32"/>
          <w:szCs w:val="32"/>
          <w:lang w:val="en-US" w:eastAsia="zh-CN"/>
        </w:rPr>
        <w:t>114.13</w:t>
      </w:r>
      <w:r>
        <w:rPr>
          <w:rFonts w:hint="eastAsia" w:eastAsia="仿宋_GB2312" w:cs="Times New Roman"/>
          <w:color w:val="auto"/>
          <w:sz w:val="32"/>
          <w:szCs w:val="32"/>
          <w:lang w:val="en-US" w:eastAsia="zh-CN"/>
        </w:rPr>
        <w:t>吨/年。</w:t>
      </w:r>
    </w:p>
    <w:bookmarkEnd w:id="3"/>
    <w:p w14:paraId="2B803086">
      <w:pPr>
        <w:keepNext w:val="0"/>
        <w:keepLines w:val="0"/>
        <w:pageBreakBefore w:val="0"/>
        <w:widowControl w:val="0"/>
        <w:kinsoku/>
        <w:wordWrap/>
        <w:overflowPunct/>
        <w:topLinePunct w:val="0"/>
        <w:bidi w:val="0"/>
        <w:spacing w:beforeLines="0" w:afterLines="0" w:line="560" w:lineRule="exact"/>
        <w:ind w:firstLine="48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rPr>
        <w:t>（三）</w:t>
      </w:r>
      <w:r>
        <w:rPr>
          <w:rFonts w:hint="default" w:ascii="Times New Roman" w:hAnsi="Times New Roman" w:eastAsia="仿宋_GB2312" w:cs="Times New Roman"/>
          <w:b w:val="0"/>
          <w:bCs w:val="0"/>
          <w:color w:val="auto"/>
          <w:sz w:val="32"/>
          <w:szCs w:val="32"/>
          <w:lang w:eastAsia="zh-CN"/>
        </w:rPr>
        <w:t>厂界噪声执行《工业企业厂界环境噪声排放标准》（GB12348-2008）</w:t>
      </w:r>
      <w:r>
        <w:rPr>
          <w:rFonts w:hint="eastAsia"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eastAsia="zh-CN"/>
        </w:rPr>
        <w:t>类标准。</w:t>
      </w:r>
    </w:p>
    <w:p w14:paraId="1AC2DBC6">
      <w:pPr>
        <w:keepNext w:val="0"/>
        <w:keepLines w:val="0"/>
        <w:pageBreakBefore w:val="0"/>
        <w:widowControl w:val="0"/>
        <w:kinsoku/>
        <w:wordWrap/>
        <w:overflowPunct/>
        <w:topLinePunct w:val="0"/>
        <w:bidi w:val="0"/>
        <w:snapToGrid w:val="0"/>
        <w:spacing w:line="560" w:lineRule="exact"/>
        <w:ind w:firstLine="640"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val="0"/>
          <w:bCs w:val="0"/>
          <w:color w:val="auto"/>
          <w:sz w:val="32"/>
          <w:szCs w:val="32"/>
        </w:rPr>
        <w:t>（四）</w:t>
      </w:r>
      <w:bookmarkStart w:id="4" w:name="OLE_LINK16"/>
      <w:bookmarkStart w:id="5" w:name="OLE_LINK12"/>
      <w:r>
        <w:rPr>
          <w:rFonts w:hint="default" w:ascii="Times New Roman" w:hAnsi="Times New Roman" w:eastAsia="仿宋_GB2312" w:cs="Times New Roman"/>
          <w:b w:val="0"/>
          <w:bCs w:val="0"/>
          <w:color w:val="auto"/>
          <w:sz w:val="32"/>
          <w:szCs w:val="32"/>
        </w:rPr>
        <w:t>各类固体废物实行分类收集、处置</w:t>
      </w:r>
      <w:bookmarkEnd w:id="4"/>
      <w:r>
        <w:rPr>
          <w:rFonts w:hint="default" w:ascii="Times New Roman" w:hAnsi="Times New Roman" w:eastAsia="仿宋_GB2312" w:cs="Times New Roman"/>
          <w:b w:val="0"/>
          <w:bCs w:val="0"/>
          <w:color w:val="auto"/>
          <w:sz w:val="32"/>
          <w:szCs w:val="32"/>
        </w:rPr>
        <w:t>。固体废物</w:t>
      </w:r>
      <w:r>
        <w:rPr>
          <w:rFonts w:hint="default" w:ascii="Times New Roman" w:hAnsi="Times New Roman" w:eastAsia="仿宋_GB2312" w:cs="Times New Roman"/>
          <w:b w:val="0"/>
          <w:bCs w:val="0"/>
          <w:color w:val="auto"/>
          <w:sz w:val="32"/>
          <w:szCs w:val="32"/>
          <w:lang w:eastAsia="zh-CN"/>
        </w:rPr>
        <w:t>的贮存、堆放应按</w:t>
      </w:r>
      <w:r>
        <w:rPr>
          <w:rFonts w:hint="default" w:ascii="Times New Roman" w:hAnsi="Times New Roman" w:eastAsia="仿宋_GB2312" w:cs="Times New Roman"/>
          <w:b w:val="0"/>
          <w:bCs w:val="0"/>
          <w:color w:val="auto"/>
          <w:sz w:val="32"/>
          <w:szCs w:val="32"/>
        </w:rPr>
        <w:t>《危险废物贮存污染控制标准》（GB18597-20</w:t>
      </w:r>
      <w:r>
        <w:rPr>
          <w:rFonts w:hint="default" w:ascii="Times New Roman" w:hAnsi="Times New Roman" w:eastAsia="仿宋_GB2312" w:cs="Times New Roman"/>
          <w:b w:val="0"/>
          <w:bCs w:val="0"/>
          <w:color w:val="auto"/>
          <w:sz w:val="32"/>
          <w:szCs w:val="32"/>
          <w:lang w:val="en-US" w:eastAsia="zh-CN"/>
        </w:rPr>
        <w:t>23</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《一般工业固体废物贮存和填埋污染控制标准》(GB 18599-2020)</w:t>
      </w:r>
      <w:r>
        <w:rPr>
          <w:rFonts w:hint="default" w:ascii="Times New Roman" w:hAnsi="Times New Roman" w:eastAsia="仿宋_GB2312" w:cs="Times New Roman"/>
          <w:b w:val="0"/>
          <w:bCs w:val="0"/>
          <w:color w:val="auto"/>
          <w:sz w:val="32"/>
          <w:szCs w:val="32"/>
          <w:lang w:eastAsia="zh-CN"/>
        </w:rPr>
        <w:t>要求</w:t>
      </w:r>
      <w:r>
        <w:rPr>
          <w:rFonts w:hint="default" w:ascii="Times New Roman" w:hAnsi="Times New Roman" w:eastAsia="仿宋_GB2312" w:cs="Times New Roman"/>
          <w:b w:val="0"/>
          <w:bCs w:val="0"/>
          <w:color w:val="auto"/>
          <w:sz w:val="32"/>
          <w:szCs w:val="32"/>
        </w:rPr>
        <w:t>进行管理。</w:t>
      </w:r>
      <w:r>
        <w:rPr>
          <w:rFonts w:hint="default" w:ascii="Times New Roman" w:hAnsi="Times New Roman" w:eastAsia="仿宋_GB2312" w:cs="Times New Roman"/>
          <w:b w:val="0"/>
          <w:bCs w:val="0"/>
          <w:color w:val="auto"/>
          <w:sz w:val="32"/>
          <w:szCs w:val="32"/>
          <w:lang w:eastAsia="zh-CN"/>
        </w:rPr>
        <w:t>危险废物应委托有资质的单位处置。</w:t>
      </w:r>
    </w:p>
    <w:bookmarkEnd w:id="5"/>
    <w:p w14:paraId="1951DBBF">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五</w:t>
      </w:r>
      <w:r>
        <w:rPr>
          <w:rFonts w:hint="default" w:ascii="Times New Roman" w:hAnsi="Times New Roman" w:eastAsia="仿宋_GB2312" w:cs="Times New Roman"/>
          <w:b w:val="0"/>
          <w:bCs w:val="0"/>
          <w:color w:val="auto"/>
          <w:sz w:val="32"/>
          <w:szCs w:val="32"/>
        </w:rPr>
        <w:t>）加强环境风险防范和应急工作</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建立健全环境事故应急体系，落实各项环境风险防范与应急措施，确保</w:t>
      </w:r>
      <w:r>
        <w:rPr>
          <w:rFonts w:hint="default" w:ascii="Times New Roman" w:hAnsi="Times New Roman" w:eastAsia="仿宋_GB2312" w:cs="Times New Roman"/>
          <w:b w:val="0"/>
          <w:bCs w:val="0"/>
          <w:color w:val="auto"/>
          <w:sz w:val="32"/>
          <w:szCs w:val="32"/>
          <w:lang w:eastAsia="zh-CN"/>
        </w:rPr>
        <w:t>生态</w:t>
      </w:r>
      <w:r>
        <w:rPr>
          <w:rFonts w:hint="default" w:ascii="Times New Roman" w:hAnsi="Times New Roman" w:eastAsia="仿宋_GB2312" w:cs="Times New Roman"/>
          <w:b w:val="0"/>
          <w:bCs w:val="0"/>
          <w:color w:val="auto"/>
          <w:sz w:val="32"/>
          <w:szCs w:val="32"/>
        </w:rPr>
        <w:t>环境安全。</w:t>
      </w:r>
    </w:p>
    <w:p w14:paraId="49166F5B">
      <w:pPr>
        <w:keepNext w:val="0"/>
        <w:keepLines w:val="0"/>
        <w:pageBreakBefore w:val="0"/>
        <w:widowControl w:val="0"/>
        <w:kinsoku/>
        <w:wordWrap/>
        <w:overflowPunct/>
        <w:topLinePunct w:val="0"/>
        <w:bidi w:val="0"/>
        <w:spacing w:line="560" w:lineRule="exact"/>
        <w:ind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（六）</w:t>
      </w:r>
      <w:r>
        <w:rPr>
          <w:rFonts w:hint="default" w:ascii="Times New Roman" w:hAnsi="Times New Roman" w:eastAsia="仿宋_GB2312" w:cs="Times New Roman"/>
          <w:b w:val="0"/>
          <w:bCs w:val="0"/>
          <w:color w:val="auto"/>
          <w:sz w:val="32"/>
          <w:szCs w:val="32"/>
        </w:rPr>
        <w:t>加强运营期</w:t>
      </w:r>
      <w:r>
        <w:rPr>
          <w:rFonts w:hint="default" w:ascii="Times New Roman" w:hAnsi="Times New Roman" w:eastAsia="仿宋_GB2312" w:cs="Times New Roman"/>
          <w:b w:val="0"/>
          <w:bCs w:val="0"/>
          <w:color w:val="auto"/>
          <w:sz w:val="32"/>
          <w:szCs w:val="32"/>
          <w:lang w:eastAsia="zh-CN"/>
        </w:rPr>
        <w:t>环境保护</w:t>
      </w:r>
      <w:r>
        <w:rPr>
          <w:rFonts w:hint="default" w:ascii="Times New Roman" w:hAnsi="Times New Roman" w:eastAsia="仿宋_GB2312" w:cs="Times New Roman"/>
          <w:b w:val="0"/>
          <w:bCs w:val="0"/>
          <w:color w:val="auto"/>
          <w:sz w:val="32"/>
          <w:szCs w:val="32"/>
        </w:rPr>
        <w:t>管理，</w:t>
      </w:r>
      <w:r>
        <w:rPr>
          <w:rFonts w:hint="default" w:ascii="Times New Roman" w:hAnsi="Times New Roman" w:eastAsia="仿宋_GB2312" w:cs="Times New Roman"/>
          <w:b w:val="0"/>
          <w:bCs w:val="0"/>
          <w:color w:val="auto"/>
          <w:sz w:val="32"/>
          <w:szCs w:val="32"/>
          <w:lang w:eastAsia="zh-CN"/>
        </w:rPr>
        <w:t>确保各项污染物稳定达标排放，并</w:t>
      </w:r>
      <w:bookmarkStart w:id="6" w:name="OLE_LINK15"/>
      <w:r>
        <w:rPr>
          <w:rFonts w:hint="default" w:ascii="Times New Roman" w:hAnsi="Times New Roman" w:eastAsia="仿宋_GB2312" w:cs="Times New Roman"/>
          <w:b w:val="0"/>
          <w:bCs w:val="0"/>
          <w:color w:val="auto"/>
          <w:sz w:val="32"/>
          <w:szCs w:val="32"/>
          <w:lang w:eastAsia="zh-CN"/>
        </w:rPr>
        <w:t>按规定</w:t>
      </w:r>
      <w:r>
        <w:rPr>
          <w:rFonts w:hint="default" w:ascii="Times New Roman" w:hAnsi="Times New Roman" w:eastAsia="仿宋_GB2312" w:cs="Times New Roman"/>
          <w:b w:val="0"/>
          <w:bCs w:val="0"/>
          <w:color w:val="auto"/>
          <w:kern w:val="0"/>
          <w:sz w:val="32"/>
          <w:szCs w:val="32"/>
        </w:rPr>
        <w:t>做好污染物排放</w:t>
      </w:r>
      <w:r>
        <w:rPr>
          <w:rFonts w:hint="default" w:ascii="Times New Roman" w:hAnsi="Times New Roman" w:eastAsia="仿宋_GB2312" w:cs="Times New Roman"/>
          <w:b w:val="0"/>
          <w:bCs w:val="0"/>
          <w:color w:val="auto"/>
          <w:kern w:val="0"/>
          <w:sz w:val="32"/>
          <w:szCs w:val="32"/>
          <w:lang w:eastAsia="zh-CN"/>
        </w:rPr>
        <w:t>的自行</w:t>
      </w:r>
      <w:r>
        <w:rPr>
          <w:rFonts w:hint="default" w:ascii="Times New Roman" w:hAnsi="Times New Roman" w:eastAsia="仿宋_GB2312" w:cs="Times New Roman"/>
          <w:b w:val="0"/>
          <w:bCs w:val="0"/>
          <w:color w:val="auto"/>
          <w:kern w:val="0"/>
          <w:sz w:val="32"/>
          <w:szCs w:val="32"/>
        </w:rPr>
        <w:t>监测</w:t>
      </w:r>
      <w:r>
        <w:rPr>
          <w:rFonts w:hint="default" w:ascii="Times New Roman" w:hAnsi="Times New Roman" w:eastAsia="仿宋_GB2312" w:cs="Times New Roman"/>
          <w:b w:val="0"/>
          <w:bCs w:val="0"/>
          <w:color w:val="auto"/>
          <w:kern w:val="0"/>
          <w:sz w:val="32"/>
          <w:szCs w:val="32"/>
          <w:lang w:eastAsia="zh-CN"/>
        </w:rPr>
        <w:t>及信息公开工作</w:t>
      </w:r>
      <w:bookmarkEnd w:id="6"/>
      <w:r>
        <w:rPr>
          <w:rFonts w:hint="default" w:ascii="Times New Roman" w:hAnsi="Times New Roman" w:eastAsia="仿宋_GB2312" w:cs="Times New Roman"/>
          <w:b w:val="0"/>
          <w:bCs w:val="0"/>
          <w:color w:val="auto"/>
          <w:kern w:val="0"/>
          <w:sz w:val="32"/>
          <w:szCs w:val="32"/>
        </w:rPr>
        <w:t>。</w:t>
      </w:r>
    </w:p>
    <w:p w14:paraId="02AA7101">
      <w:pPr>
        <w:keepNext w:val="0"/>
        <w:keepLines w:val="0"/>
        <w:pageBreakBefore w:val="0"/>
        <w:widowControl w:val="0"/>
        <w:kinsoku/>
        <w:wordWrap/>
        <w:overflowPunct/>
        <w:topLinePunct w:val="0"/>
        <w:autoSpaceDE/>
        <w:autoSpaceDN/>
        <w:bidi w:val="0"/>
        <w:adjustRightInd/>
        <w:snapToGrid w:val="0"/>
        <w:spacing w:beforeLines="0" w:afterLines="0" w:line="56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i w:val="0"/>
          <w:iCs w:val="0"/>
          <w:color w:val="auto"/>
          <w:sz w:val="32"/>
          <w:szCs w:val="32"/>
        </w:rPr>
        <w:t>（</w:t>
      </w:r>
      <w:r>
        <w:rPr>
          <w:rFonts w:hint="eastAsia" w:eastAsia="仿宋_GB2312" w:cs="Times New Roman"/>
          <w:i w:val="0"/>
          <w:iCs w:val="0"/>
          <w:color w:val="auto"/>
          <w:sz w:val="32"/>
          <w:szCs w:val="32"/>
          <w:lang w:val="en-US" w:eastAsia="zh-CN"/>
        </w:rPr>
        <w:t>七</w:t>
      </w:r>
      <w:r>
        <w:rPr>
          <w:rFonts w:hint="default" w:ascii="Times New Roman" w:hAnsi="Times New Roman" w:eastAsia="仿宋_GB2312" w:cs="Times New Roman"/>
          <w:i w:val="0"/>
          <w:iCs w:val="0"/>
          <w:color w:val="auto"/>
          <w:sz w:val="32"/>
          <w:szCs w:val="32"/>
        </w:rPr>
        <w:t>）</w:t>
      </w:r>
      <w:r>
        <w:rPr>
          <w:rFonts w:hint="default" w:ascii="Times New Roman" w:hAnsi="Times New Roman" w:eastAsia="仿宋_GB2312" w:cs="Times New Roman"/>
          <w:color w:val="auto"/>
          <w:sz w:val="32"/>
          <w:szCs w:val="32"/>
          <w:highlight w:val="none"/>
        </w:rPr>
        <w:t>项目建设</w:t>
      </w:r>
      <w:r>
        <w:rPr>
          <w:rFonts w:hint="default" w:ascii="Times New Roman" w:hAnsi="Times New Roman" w:eastAsia="仿宋_GB2312" w:cs="Times New Roman"/>
          <w:color w:val="auto"/>
          <w:sz w:val="32"/>
          <w:szCs w:val="32"/>
          <w:highlight w:val="none"/>
          <w:lang w:eastAsia="zh-CN"/>
        </w:rPr>
        <w:t>应</w:t>
      </w:r>
      <w:r>
        <w:rPr>
          <w:rFonts w:hint="default" w:ascii="Times New Roman" w:hAnsi="Times New Roman" w:eastAsia="仿宋_GB2312" w:cs="Times New Roman"/>
          <w:color w:val="auto"/>
          <w:sz w:val="32"/>
          <w:szCs w:val="32"/>
          <w:highlight w:val="none"/>
        </w:rPr>
        <w:t>符合法律、法规等要求，如涉及规划、水务、消防等</w:t>
      </w:r>
      <w:r>
        <w:rPr>
          <w:rFonts w:hint="default" w:ascii="Times New Roman" w:hAnsi="Times New Roman" w:eastAsia="仿宋_GB2312" w:cs="Times New Roman"/>
          <w:color w:val="auto"/>
          <w:sz w:val="32"/>
          <w:szCs w:val="32"/>
          <w:highlight w:val="none"/>
          <w:lang w:eastAsia="zh-CN"/>
        </w:rPr>
        <w:t>其他部门许可事项的</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须依法办理相关手续</w:t>
      </w:r>
      <w:r>
        <w:rPr>
          <w:rFonts w:hint="default" w:ascii="Times New Roman" w:hAnsi="Times New Roman" w:eastAsia="仿宋_GB2312" w:cs="Times New Roman"/>
          <w:color w:val="auto"/>
          <w:sz w:val="32"/>
          <w:szCs w:val="32"/>
          <w:highlight w:val="none"/>
        </w:rPr>
        <w:t>。</w:t>
      </w:r>
    </w:p>
    <w:p w14:paraId="4C091AE7">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253C6B24">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52204B22">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color w:val="auto"/>
          <w:sz w:val="32"/>
          <w:szCs w:val="32"/>
        </w:rPr>
      </w:pPr>
    </w:p>
    <w:p w14:paraId="0B381D55">
      <w:pPr>
        <w:keepNext w:val="0"/>
        <w:keepLines w:val="0"/>
        <w:pageBreakBefore w:val="0"/>
        <w:widowControl w:val="0"/>
        <w:kinsoku/>
        <w:wordWrap/>
        <w:overflowPunct/>
        <w:topLinePunct w:val="0"/>
        <w:autoSpaceDE w:val="0"/>
        <w:autoSpaceDN w:val="0"/>
        <w:bidi w:val="0"/>
        <w:adjustRightInd w:val="0"/>
        <w:snapToGrid w:val="0"/>
        <w:spacing w:line="590" w:lineRule="exact"/>
        <w:ind w:firstLine="640" w:firstLineChars="200"/>
        <w:textAlignment w:val="auto"/>
        <w:rPr>
          <w:rFonts w:hint="default" w:ascii="Times New Roman" w:hAnsi="Times New Roman" w:eastAsia="仿宋_GB2312" w:cs="Times New Roman"/>
          <w:b w:val="0"/>
          <w:bCs w:val="0"/>
          <w:color w:val="auto"/>
          <w:sz w:val="32"/>
          <w:szCs w:val="32"/>
        </w:rPr>
      </w:pPr>
    </w:p>
    <w:p w14:paraId="3C8A1BB5">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 xml:space="preserve">               </w:t>
      </w:r>
      <w:r>
        <w:rPr>
          <w:rFonts w:hint="eastAsia"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rPr>
        <w:t xml:space="preserve">        广州市生态环境局</w:t>
      </w:r>
    </w:p>
    <w:p w14:paraId="6588B29F">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202</w:t>
      </w:r>
      <w:r>
        <w:rPr>
          <w:rFonts w:hint="eastAsia" w:eastAsia="仿宋_GB2312" w:cs="Times New Roman"/>
          <w:b w:val="0"/>
          <w:bCs w:val="0"/>
          <w:color w:val="auto"/>
          <w:sz w:val="32"/>
          <w:szCs w:val="32"/>
          <w:lang w:val="en-US" w:eastAsia="zh-CN"/>
        </w:rPr>
        <w:t>5</w:t>
      </w:r>
      <w:r>
        <w:rPr>
          <w:rFonts w:hint="default" w:ascii="Times New Roman" w:hAnsi="Times New Roman" w:eastAsia="仿宋_GB2312" w:cs="Times New Roman"/>
          <w:b w:val="0"/>
          <w:bCs w:val="0"/>
          <w:color w:val="auto"/>
          <w:sz w:val="32"/>
          <w:szCs w:val="32"/>
        </w:rPr>
        <w:t>年</w:t>
      </w:r>
      <w:r>
        <w:rPr>
          <w:rFonts w:hint="eastAsia" w:eastAsia="仿宋_GB2312" w:cs="Times New Roman"/>
          <w:b w:val="0"/>
          <w:bCs w:val="0"/>
          <w:color w:val="auto"/>
          <w:sz w:val="32"/>
          <w:szCs w:val="32"/>
          <w:lang w:val="en-US" w:eastAsia="zh-CN"/>
        </w:rPr>
        <w:t>12</w:t>
      </w:r>
      <w:r>
        <w:rPr>
          <w:rFonts w:hint="default" w:ascii="Times New Roman" w:hAnsi="Times New Roman" w:eastAsia="仿宋_GB2312" w:cs="Times New Roman"/>
          <w:b w:val="0"/>
          <w:bCs w:val="0"/>
          <w:color w:val="auto"/>
          <w:sz w:val="32"/>
          <w:szCs w:val="32"/>
        </w:rPr>
        <w:t>月</w:t>
      </w:r>
      <w:r>
        <w:rPr>
          <w:rFonts w:hint="eastAsia" w:eastAsia="仿宋_GB2312" w:cs="Times New Roman"/>
          <w:b w:val="0"/>
          <w:bCs w:val="0"/>
          <w:color w:val="auto"/>
          <w:sz w:val="32"/>
          <w:szCs w:val="32"/>
          <w:lang w:val="en-US" w:eastAsia="zh-CN"/>
        </w:rPr>
        <w:t>29</w:t>
      </w:r>
      <w:bookmarkStart w:id="8" w:name="_GoBack"/>
      <w:bookmarkEnd w:id="8"/>
      <w:r>
        <w:rPr>
          <w:rFonts w:hint="default" w:ascii="Times New Roman" w:hAnsi="Times New Roman" w:eastAsia="仿宋_GB2312" w:cs="Times New Roman"/>
          <w:b w:val="0"/>
          <w:bCs w:val="0"/>
          <w:color w:val="auto"/>
          <w:sz w:val="32"/>
          <w:szCs w:val="32"/>
        </w:rPr>
        <w:t>日</w:t>
      </w:r>
    </w:p>
    <w:p w14:paraId="6CA21602">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color w:val="auto"/>
          <w:sz w:val="32"/>
          <w:szCs w:val="32"/>
        </w:rPr>
      </w:pPr>
    </w:p>
    <w:p w14:paraId="3B71C25A">
      <w:pPr>
        <w:keepNext w:val="0"/>
        <w:keepLines w:val="0"/>
        <w:pageBreakBefore w:val="0"/>
        <w:widowControl w:val="0"/>
        <w:kinsoku/>
        <w:wordWrap/>
        <w:overflowPunct/>
        <w:topLinePunct w:val="0"/>
        <w:bidi w:val="0"/>
        <w:spacing w:line="590" w:lineRule="exact"/>
        <w:ind w:right="838" w:rightChars="399"/>
        <w:jc w:val="both"/>
        <w:textAlignment w:val="auto"/>
        <w:rPr>
          <w:rFonts w:hint="default" w:ascii="Times New Roman" w:hAnsi="Times New Roman" w:eastAsia="仿宋_GB2312" w:cs="Times New Roman"/>
          <w:b w:val="0"/>
          <w:bCs w:val="0"/>
          <w:color w:val="auto"/>
          <w:sz w:val="32"/>
          <w:szCs w:val="32"/>
        </w:rPr>
      </w:pPr>
    </w:p>
    <w:p w14:paraId="2D5B8CA8">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color w:val="auto"/>
          <w:sz w:val="32"/>
          <w:szCs w:val="32"/>
        </w:rPr>
      </w:pPr>
      <w:r>
        <w:rPr>
          <w:rFonts w:hint="eastAsia" w:ascii="黑体" w:hAnsi="黑体" w:eastAsia="黑体" w:cs="黑体"/>
          <w:b w:val="0"/>
          <w:bCs w:val="0"/>
          <w:color w:val="auto"/>
          <w:sz w:val="32"/>
          <w:szCs w:val="32"/>
        </w:rPr>
        <w:t>公开方式：</w:t>
      </w:r>
      <w:r>
        <w:rPr>
          <w:rFonts w:hint="default" w:ascii="Times New Roman" w:hAnsi="Times New Roman" w:eastAsia="仿宋_GB2312" w:cs="Times New Roman"/>
          <w:b w:val="0"/>
          <w:bCs w:val="0"/>
          <w:color w:val="auto"/>
          <w:sz w:val="32"/>
          <w:szCs w:val="32"/>
        </w:rPr>
        <w:t>主动公开</w:t>
      </w:r>
    </w:p>
    <w:p w14:paraId="71F4F48B">
      <w:pPr>
        <w:keepNext w:val="0"/>
        <w:keepLines w:val="0"/>
        <w:pageBreakBefore w:val="0"/>
        <w:widowControl w:val="0"/>
        <w:kinsoku/>
        <w:wordWrap/>
        <w:overflowPunct/>
        <w:topLinePunct w:val="0"/>
        <w:autoSpaceDE/>
        <w:autoSpaceDN/>
        <w:bidi w:val="0"/>
        <w:adjustRightInd/>
        <w:spacing w:line="590" w:lineRule="exact"/>
        <w:textAlignment w:val="auto"/>
        <w:outlineLvl w:val="0"/>
        <w:rPr>
          <w:rFonts w:hint="default" w:ascii="Times New Roman" w:hAnsi="Times New Roman" w:eastAsia="仿宋_GB2312" w:cs="Times New Roman"/>
          <w:b w:val="0"/>
          <w:bCs w:val="0"/>
          <w:color w:val="auto"/>
          <w:sz w:val="32"/>
          <w:szCs w:val="32"/>
        </w:rPr>
      </w:pPr>
    </w:p>
    <w:p w14:paraId="66DDA05D">
      <w:pPr>
        <w:keepNext w:val="0"/>
        <w:keepLines w:val="0"/>
        <w:pageBreakBefore w:val="0"/>
        <w:widowControl w:val="0"/>
        <w:kinsoku/>
        <w:wordWrap/>
        <w:overflowPunct/>
        <w:topLinePunct w:val="0"/>
        <w:autoSpaceDE/>
        <w:autoSpaceDN/>
        <w:bidi w:val="0"/>
        <w:adjustRightInd/>
        <w:snapToGrid w:val="0"/>
        <w:spacing w:line="590" w:lineRule="exact"/>
        <w:ind w:left="1119" w:leftChars="133" w:hanging="840" w:hangingChars="300"/>
        <w:jc w:val="left"/>
        <w:textAlignment w:val="auto"/>
        <w:rPr>
          <w:rFonts w:hint="eastAsia" w:ascii="华文楷体" w:hAnsi="华文楷体" w:eastAsia="华文楷体" w:cs="华文楷体"/>
          <w:b w:val="0"/>
          <w:bCs w:val="0"/>
          <w:color w:val="auto"/>
          <w:sz w:val="30"/>
          <w:szCs w:val="30"/>
          <w:lang w:val="en-US" w:eastAsia="zh-CN"/>
        </w:rPr>
      </w:pPr>
      <w:r>
        <w:rPr>
          <w:rFonts w:hint="default" w:ascii="Times New Roman" w:hAnsi="Times New Roman" w:eastAsia="仿宋_GB2312" w:cs="Times New Roman"/>
          <w:b w:val="0"/>
          <w:bCs w:val="0"/>
          <w:color w:val="auto"/>
          <w:sz w:val="28"/>
          <w:szCs w:val="28"/>
        </w:rPr>
        <w:t>抄送：广州市生态环境局番禺分局监管三科</w:t>
      </w:r>
      <w:r>
        <w:rPr>
          <w:rFonts w:hint="eastAsia" w:eastAsia="仿宋_GB2312" w:cs="Times New Roman"/>
          <w:b w:val="0"/>
          <w:bCs w:val="0"/>
          <w:color w:val="auto"/>
          <w:sz w:val="28"/>
          <w:szCs w:val="28"/>
          <w:lang w:eastAsia="zh-CN"/>
        </w:rPr>
        <w:t>、执法</w:t>
      </w:r>
      <w:r>
        <w:rPr>
          <w:rFonts w:hint="eastAsia" w:eastAsia="仿宋_GB2312" w:cs="Times New Roman"/>
          <w:b w:val="0"/>
          <w:bCs w:val="0"/>
          <w:color w:val="auto"/>
          <w:sz w:val="28"/>
          <w:szCs w:val="28"/>
          <w:lang w:val="en-US" w:eastAsia="zh-CN"/>
        </w:rPr>
        <w:t>一科、</w:t>
      </w:r>
      <w:r>
        <w:rPr>
          <w:rFonts w:hint="default" w:ascii="Times New Roman" w:hAnsi="Times New Roman" w:eastAsia="仿宋_GB2312" w:cs="Times New Roman"/>
          <w:b w:val="0"/>
          <w:bCs w:val="0"/>
          <w:color w:val="auto"/>
          <w:sz w:val="28"/>
          <w:szCs w:val="28"/>
        </w:rPr>
        <w:t>广州市生态环境局</w:t>
      </w:r>
      <w:r>
        <w:rPr>
          <w:rFonts w:hint="eastAsia" w:eastAsia="仿宋_GB2312" w:cs="Times New Roman"/>
          <w:b w:val="0"/>
          <w:bCs w:val="0"/>
          <w:color w:val="auto"/>
          <w:sz w:val="28"/>
          <w:szCs w:val="28"/>
          <w:lang w:val="en-US" w:eastAsia="zh-CN"/>
        </w:rPr>
        <w:t>番禺第二环保所</w:t>
      </w:r>
      <w:bookmarkStart w:id="7" w:name="OLE_LINK13"/>
      <w:r>
        <w:rPr>
          <w:rFonts w:hint="eastAsia" w:eastAsia="仿宋_GB2312" w:cs="Times New Roman"/>
          <w:b w:val="0"/>
          <w:bCs w:val="0"/>
          <w:color w:val="auto"/>
          <w:sz w:val="28"/>
          <w:szCs w:val="28"/>
          <w:lang w:eastAsia="zh-CN"/>
        </w:rPr>
        <w:t>、</w:t>
      </w:r>
      <w:r>
        <w:rPr>
          <w:rFonts w:hint="default" w:ascii="Times New Roman" w:hAnsi="Times New Roman" w:eastAsia="仿宋_GB2312" w:cs="Times New Roman"/>
          <w:b w:val="0"/>
          <w:bCs w:val="0"/>
          <w:color w:val="auto"/>
          <w:sz w:val="28"/>
          <w:szCs w:val="28"/>
        </w:rPr>
        <w:t>番禺技术中心，广州尚然环保科技有限公司。</w:t>
      </w:r>
      <w:bookmarkEnd w:id="0"/>
      <w:bookmarkEnd w:id="7"/>
    </w:p>
    <w:sectPr>
      <w:headerReference r:id="rId3" w:type="default"/>
      <w:footerReference r:id="rId4" w:type="default"/>
      <w:footerReference r:id="rId5" w:type="even"/>
      <w:pgSz w:w="11906" w:h="16838"/>
      <w:pgMar w:top="1701" w:right="1417" w:bottom="1417" w:left="1417"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AF6427A2-D49E-486B-A7E9-E16E9A4A4B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FF97710A-B540-4A5E-A07A-4110BA85172E}"/>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embedRegular r:id="rId3" w:fontKey="{56FAD404-31FA-4B28-A7FE-67A7D851ABFD}"/>
  </w:font>
  <w:font w:name="MS Mincho">
    <w:altName w:val="仓耳舒圆体 W03"/>
    <w:panose1 w:val="02020609040205080304"/>
    <w:charset w:val="80"/>
    <w:family w:val="modern"/>
    <w:pitch w:val="default"/>
    <w:sig w:usb0="00000000" w:usb1="00000000" w:usb2="00000010" w:usb3="00000000" w:csb0="4002009F" w:csb1="DFD70000"/>
  </w:font>
  <w:font w:name="仓耳舒圆体 W03">
    <w:panose1 w:val="02020400000000000000"/>
    <w:charset w:val="80"/>
    <w:family w:val="auto"/>
    <w:pitch w:val="default"/>
    <w:sig w:usb0="80000023" w:usb1="08C10458" w:usb2="00000012" w:usb3="00000000" w:csb0="00020001" w:csb1="00000000"/>
  </w:font>
  <w:font w:name="华文中宋">
    <w:panose1 w:val="02010600040101010101"/>
    <w:charset w:val="86"/>
    <w:family w:val="auto"/>
    <w:pitch w:val="default"/>
    <w:sig w:usb0="00000287" w:usb1="080F0000" w:usb2="00000000" w:usb3="00000000" w:csb0="0004009F" w:csb1="DFD7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A00002BF" w:usb1="78CF7CFB" w:usb2="00000016" w:usb3="00000000" w:csb0="6006009F" w:csb1="DFD70000"/>
    <w:embedRegular r:id="rId4" w:fontKey="{9D3BC9C1-339C-4722-8AAA-04A38B08769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68A68">
    <w:pPr>
      <w:pStyle w:val="14"/>
      <w:framePr w:wrap="around" w:vAnchor="text" w:hAnchor="margin" w:xAlign="outside" w:y="1"/>
      <w:rPr>
        <w:rStyle w:val="24"/>
        <w:rFonts w:hint="eastAsia"/>
        <w:sz w:val="28"/>
      </w:rPr>
    </w:pPr>
    <w:r>
      <w:rPr>
        <w:rStyle w:val="24"/>
        <w:rFonts w:hint="eastAsia" w:ascii="宋体" w:hAnsi="宋体"/>
        <w:sz w:val="28"/>
      </w:rPr>
      <w:t>―</w:t>
    </w:r>
    <w:r>
      <w:rPr>
        <w:rStyle w:val="24"/>
        <w:rFonts w:hint="eastAsia"/>
        <w:sz w:val="28"/>
      </w:rPr>
      <w:t xml:space="preserve"> </w:t>
    </w:r>
    <w:r>
      <w:rPr>
        <w:rStyle w:val="24"/>
        <w:sz w:val="28"/>
      </w:rPr>
      <w:fldChar w:fldCharType="begin"/>
    </w:r>
    <w:r>
      <w:rPr>
        <w:rStyle w:val="24"/>
        <w:sz w:val="28"/>
      </w:rPr>
      <w:instrText xml:space="preserve">PAGE  </w:instrText>
    </w:r>
    <w:r>
      <w:rPr>
        <w:rStyle w:val="24"/>
        <w:sz w:val="28"/>
      </w:rPr>
      <w:fldChar w:fldCharType="separate"/>
    </w:r>
    <w:r>
      <w:rPr>
        <w:rStyle w:val="24"/>
        <w:sz w:val="28"/>
      </w:rPr>
      <w:t>2</w:t>
    </w:r>
    <w:r>
      <w:rPr>
        <w:rStyle w:val="24"/>
        <w:sz w:val="28"/>
      </w:rPr>
      <w:fldChar w:fldCharType="end"/>
    </w:r>
    <w:r>
      <w:rPr>
        <w:rStyle w:val="24"/>
        <w:rFonts w:hint="eastAsia"/>
        <w:sz w:val="28"/>
      </w:rPr>
      <w:t xml:space="preserve"> </w:t>
    </w:r>
    <w:r>
      <w:rPr>
        <w:rStyle w:val="24"/>
        <w:rFonts w:hint="eastAsia" w:ascii="宋体" w:hAnsi="宋体"/>
        <w:sz w:val="28"/>
      </w:rPr>
      <w:t>―</w:t>
    </w:r>
  </w:p>
  <w:p w14:paraId="210104FE">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3707E">
    <w:pPr>
      <w:pStyle w:val="14"/>
      <w:framePr w:wrap="around" w:vAnchor="text" w:hAnchor="margin" w:xAlign="outside" w:y="1"/>
      <w:rPr>
        <w:rStyle w:val="24"/>
      </w:rPr>
    </w:pPr>
    <w:r>
      <w:rPr>
        <w:rStyle w:val="24"/>
      </w:rPr>
      <w:fldChar w:fldCharType="begin"/>
    </w:r>
    <w:r>
      <w:rPr>
        <w:rStyle w:val="24"/>
      </w:rPr>
      <w:instrText xml:space="preserve">PAGE  </w:instrText>
    </w:r>
    <w:r>
      <w:rPr>
        <w:rStyle w:val="24"/>
      </w:rPr>
      <w:fldChar w:fldCharType="end"/>
    </w:r>
  </w:p>
  <w:p w14:paraId="0C065787">
    <w:pPr>
      <w:pStyle w:val="1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6E785">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753AF0"/>
    <w:multiLevelType w:val="multilevel"/>
    <w:tmpl w:val="C6753AF0"/>
    <w:lvl w:ilvl="0" w:tentative="0">
      <w:start w:val="1"/>
      <w:numFmt w:val="decimal"/>
      <w:suff w:val="nothing"/>
      <w:lvlText w:val="%1"/>
      <w:lvlJc w:val="left"/>
      <w:pPr>
        <w:tabs>
          <w:tab w:val="left" w:pos="0"/>
        </w:tabs>
        <w:ind w:left="432" w:hanging="432"/>
      </w:pPr>
      <w:rPr>
        <w:rFonts w:hint="default" w:ascii="Times New Roman" w:hAnsi="Times New Roman" w:eastAsia="宋体" w:cs="宋体"/>
      </w:rPr>
    </w:lvl>
    <w:lvl w:ilvl="1" w:tentative="0">
      <w:start w:val="1"/>
      <w:numFmt w:val="decimal"/>
      <w:pStyle w:val="3"/>
      <w:isLgl/>
      <w:lvlText w:val="%1.%2."/>
      <w:lvlJc w:val="left"/>
      <w:pPr>
        <w:ind w:left="575" w:hanging="575"/>
      </w:pPr>
      <w:rPr>
        <w:rFonts w:hint="eastAsia"/>
      </w:rPr>
    </w:lvl>
    <w:lvl w:ilvl="2" w:tentative="0">
      <w:start w:val="1"/>
      <w:numFmt w:val="decimal"/>
      <w:isLgl/>
      <w:suff w:val="nothing"/>
      <w:lvlText w:val="%1.%2.%3."/>
      <w:lvlJc w:val="left"/>
      <w:pPr>
        <w:tabs>
          <w:tab w:val="left" w:pos="0"/>
        </w:tabs>
        <w:ind w:left="1200" w:hanging="120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5D141AAB"/>
    <w:multiLevelType w:val="multilevel"/>
    <w:tmpl w:val="5D141AAB"/>
    <w:lvl w:ilvl="0" w:tentative="0">
      <w:start w:val="1"/>
      <w:numFmt w:val="decimal"/>
      <w:lvlText w:val="%1"/>
      <w:lvlJc w:val="left"/>
      <w:pPr>
        <w:tabs>
          <w:tab w:val="left" w:pos="432"/>
        </w:tabs>
        <w:ind w:left="432" w:hanging="432"/>
      </w:pPr>
      <w:rPr>
        <w:rFonts w:hint="eastAsia"/>
      </w:rPr>
    </w:lvl>
    <w:lvl w:ilvl="1" w:tentative="0">
      <w:start w:val="1"/>
      <w:numFmt w:val="decimal"/>
      <w:isLgl/>
      <w:lvlText w:val="%1.%2."/>
      <w:lvlJc w:val="left"/>
      <w:pPr>
        <w:tabs>
          <w:tab w:val="left" w:pos="576"/>
        </w:tabs>
        <w:ind w:left="576" w:hanging="576"/>
      </w:pPr>
      <w:rPr>
        <w:rFonts w:hint="eastAsia"/>
        <w:sz w:val="32"/>
        <w:szCs w:val="32"/>
      </w:rPr>
    </w:lvl>
    <w:lvl w:ilvl="2" w:tentative="0">
      <w:start w:val="1"/>
      <w:numFmt w:val="decimal"/>
      <w:isLgl/>
      <w:lvlText w:val="%1.%2.%3."/>
      <w:lvlJc w:val="left"/>
      <w:pPr>
        <w:tabs>
          <w:tab w:val="left" w:pos="720"/>
        </w:tabs>
        <w:ind w:left="720" w:hanging="720"/>
      </w:pPr>
      <w:rPr>
        <w:rFonts w:hint="eastAsia"/>
        <w:sz w:val="30"/>
        <w:szCs w:val="30"/>
      </w:rPr>
    </w:lvl>
    <w:lvl w:ilvl="3" w:tentative="0">
      <w:start w:val="1"/>
      <w:numFmt w:val="decimal"/>
      <w:pStyle w:val="37"/>
      <w:isLgl/>
      <w:lvlText w:val="%1.%2.%3.%4."/>
      <w:lvlJc w:val="left"/>
      <w:pPr>
        <w:tabs>
          <w:tab w:val="left" w:pos="864"/>
        </w:tabs>
        <w:ind w:left="1677"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6039BD14"/>
    <w:multiLevelType w:val="singleLevel"/>
    <w:tmpl w:val="6039BD14"/>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27348BE"/>
    <w:rsid w:val="0726573F"/>
    <w:rsid w:val="09CA1181"/>
    <w:rsid w:val="0D4F2AE5"/>
    <w:rsid w:val="0DEB5A37"/>
    <w:rsid w:val="0E640050"/>
    <w:rsid w:val="0F52122C"/>
    <w:rsid w:val="0F6F1094"/>
    <w:rsid w:val="115B4DE3"/>
    <w:rsid w:val="128379F6"/>
    <w:rsid w:val="12856FF3"/>
    <w:rsid w:val="13C979FA"/>
    <w:rsid w:val="16153CF4"/>
    <w:rsid w:val="16E3365C"/>
    <w:rsid w:val="17D84309"/>
    <w:rsid w:val="19FE60C7"/>
    <w:rsid w:val="1A1914F5"/>
    <w:rsid w:val="1B176524"/>
    <w:rsid w:val="1BED373D"/>
    <w:rsid w:val="1C663D97"/>
    <w:rsid w:val="1DE13B91"/>
    <w:rsid w:val="1E765922"/>
    <w:rsid w:val="1F0D7671"/>
    <w:rsid w:val="1FDE71AF"/>
    <w:rsid w:val="20BA50E3"/>
    <w:rsid w:val="21FD7FCB"/>
    <w:rsid w:val="220E557A"/>
    <w:rsid w:val="232609F0"/>
    <w:rsid w:val="23CF7104"/>
    <w:rsid w:val="23DC4632"/>
    <w:rsid w:val="252D1EE5"/>
    <w:rsid w:val="260A4701"/>
    <w:rsid w:val="2617288D"/>
    <w:rsid w:val="269D7E97"/>
    <w:rsid w:val="27CB7E09"/>
    <w:rsid w:val="284E34A5"/>
    <w:rsid w:val="291649F7"/>
    <w:rsid w:val="291B3F52"/>
    <w:rsid w:val="29FA00EA"/>
    <w:rsid w:val="2A7501F0"/>
    <w:rsid w:val="2BFC0D17"/>
    <w:rsid w:val="2D3E219F"/>
    <w:rsid w:val="2D9B4434"/>
    <w:rsid w:val="2F502040"/>
    <w:rsid w:val="2FC737F6"/>
    <w:rsid w:val="30025200"/>
    <w:rsid w:val="30870396"/>
    <w:rsid w:val="31B62063"/>
    <w:rsid w:val="339B5615"/>
    <w:rsid w:val="340D18C0"/>
    <w:rsid w:val="35922AA4"/>
    <w:rsid w:val="35CF0225"/>
    <w:rsid w:val="368707A0"/>
    <w:rsid w:val="36E8706D"/>
    <w:rsid w:val="37FF4F0E"/>
    <w:rsid w:val="38A97D85"/>
    <w:rsid w:val="39F645B3"/>
    <w:rsid w:val="3A282EC7"/>
    <w:rsid w:val="3A53380B"/>
    <w:rsid w:val="3D957DFF"/>
    <w:rsid w:val="3DEC2F6B"/>
    <w:rsid w:val="3DFE29E0"/>
    <w:rsid w:val="402A1393"/>
    <w:rsid w:val="40EE14B1"/>
    <w:rsid w:val="41680404"/>
    <w:rsid w:val="42007882"/>
    <w:rsid w:val="4296514B"/>
    <w:rsid w:val="42B875A4"/>
    <w:rsid w:val="438576C5"/>
    <w:rsid w:val="43923B90"/>
    <w:rsid w:val="439F0BBE"/>
    <w:rsid w:val="461D3EE6"/>
    <w:rsid w:val="4732045C"/>
    <w:rsid w:val="476D05EC"/>
    <w:rsid w:val="483B0352"/>
    <w:rsid w:val="48BC7A7A"/>
    <w:rsid w:val="4A6E3965"/>
    <w:rsid w:val="4D037CA5"/>
    <w:rsid w:val="4D4D6CAD"/>
    <w:rsid w:val="4E0D521D"/>
    <w:rsid w:val="4E100354"/>
    <w:rsid w:val="4E102281"/>
    <w:rsid w:val="4E823E3F"/>
    <w:rsid w:val="4EC05A55"/>
    <w:rsid w:val="50775E7B"/>
    <w:rsid w:val="51463C84"/>
    <w:rsid w:val="51EC39BC"/>
    <w:rsid w:val="526D1882"/>
    <w:rsid w:val="52ED0DE3"/>
    <w:rsid w:val="54535B9B"/>
    <w:rsid w:val="56D90809"/>
    <w:rsid w:val="575E5E0B"/>
    <w:rsid w:val="576C3EC8"/>
    <w:rsid w:val="58F4010C"/>
    <w:rsid w:val="599125D0"/>
    <w:rsid w:val="59A1223B"/>
    <w:rsid w:val="5D0C3D95"/>
    <w:rsid w:val="5E175DB4"/>
    <w:rsid w:val="5E3E7416"/>
    <w:rsid w:val="5F63425D"/>
    <w:rsid w:val="603A5632"/>
    <w:rsid w:val="633A1D77"/>
    <w:rsid w:val="63C51FC3"/>
    <w:rsid w:val="642D3FF2"/>
    <w:rsid w:val="6534300B"/>
    <w:rsid w:val="66013B47"/>
    <w:rsid w:val="670856A2"/>
    <w:rsid w:val="689D4DD3"/>
    <w:rsid w:val="690E7254"/>
    <w:rsid w:val="69271CDD"/>
    <w:rsid w:val="69FC3374"/>
    <w:rsid w:val="6ABE0F32"/>
    <w:rsid w:val="6B743DD4"/>
    <w:rsid w:val="6BB20BEF"/>
    <w:rsid w:val="6BC03D4A"/>
    <w:rsid w:val="6BFA5CBF"/>
    <w:rsid w:val="6CB93980"/>
    <w:rsid w:val="6D282CEC"/>
    <w:rsid w:val="6E193FCD"/>
    <w:rsid w:val="6E273EB7"/>
    <w:rsid w:val="70EB61B4"/>
    <w:rsid w:val="719E1C2B"/>
    <w:rsid w:val="71F25EB7"/>
    <w:rsid w:val="721533D8"/>
    <w:rsid w:val="722E37CE"/>
    <w:rsid w:val="72630943"/>
    <w:rsid w:val="734F6D9E"/>
    <w:rsid w:val="75691B60"/>
    <w:rsid w:val="75B46566"/>
    <w:rsid w:val="75B66322"/>
    <w:rsid w:val="77A3353E"/>
    <w:rsid w:val="784E3B62"/>
    <w:rsid w:val="793D1A06"/>
    <w:rsid w:val="79AE53C9"/>
    <w:rsid w:val="7A1811CF"/>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numPr>
        <w:ilvl w:val="1"/>
        <w:numId w:val="1"/>
      </w:numPr>
      <w:spacing w:before="160" w:after="160" w:line="240" w:lineRule="auto"/>
      <w:ind w:left="0" w:firstLine="0" w:firstLineChars="0"/>
      <w:outlineLvl w:val="1"/>
    </w:pPr>
    <w:rPr>
      <w:rFonts w:ascii="Times New Roman" w:hAnsi="Times New Roman" w:eastAsia="宋体" w:cs="Times New Roman"/>
      <w:b/>
      <w:bCs/>
      <w:sz w:val="30"/>
      <w:szCs w:val="32"/>
    </w:rPr>
  </w:style>
  <w:style w:type="character" w:default="1" w:styleId="21">
    <w:name w:val="Default Paragraph Font"/>
    <w:link w:val="22"/>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4">
    <w:name w:val="E-mail Signature"/>
    <w:basedOn w:val="1"/>
    <w:next w:val="5"/>
    <w:qFormat/>
    <w:uiPriority w:val="0"/>
    <w:pPr>
      <w:spacing w:line="460" w:lineRule="exact"/>
      <w:ind w:firstLine="200"/>
    </w:pPr>
  </w:style>
  <w:style w:type="paragraph" w:customStyle="1" w:styleId="5">
    <w:name w:val="文章"/>
    <w:basedOn w:val="6"/>
    <w:next w:val="7"/>
    <w:qFormat/>
    <w:uiPriority w:val="0"/>
    <w:pPr>
      <w:widowControl/>
      <w:tabs>
        <w:tab w:val="left" w:pos="5180"/>
      </w:tabs>
      <w:ind w:left="0" w:firstLine="480"/>
      <w:jc w:val="center"/>
    </w:pPr>
    <w:rPr>
      <w:rFonts w:ascii="Times New Roman"/>
      <w:sz w:val="26"/>
    </w:rPr>
  </w:style>
  <w:style w:type="paragraph" w:styleId="6">
    <w:name w:val="Body Text Indent"/>
    <w:basedOn w:val="1"/>
    <w:qFormat/>
    <w:uiPriority w:val="0"/>
    <w:pPr>
      <w:spacing w:line="560" w:lineRule="exact"/>
      <w:ind w:firstLine="600" w:firstLineChars="200"/>
      <w:outlineLvl w:val="0"/>
    </w:pPr>
    <w:rPr>
      <w:rFonts w:ascii="仿宋_GB2312" w:eastAsia="仿宋_GB2312"/>
      <w:sz w:val="30"/>
    </w:rPr>
  </w:style>
  <w:style w:type="paragraph" w:styleId="7">
    <w:name w:val="List"/>
    <w:basedOn w:val="1"/>
    <w:next w:val="1"/>
    <w:unhideWhenUsed/>
    <w:qFormat/>
    <w:uiPriority w:val="99"/>
    <w:pPr>
      <w:ind w:left="200" w:hanging="200" w:hangingChars="200"/>
    </w:pPr>
  </w:style>
  <w:style w:type="paragraph" w:styleId="8">
    <w:name w:val="annotation text"/>
    <w:basedOn w:val="1"/>
    <w:qFormat/>
    <w:uiPriority w:val="0"/>
    <w:pPr>
      <w:jc w:val="left"/>
    </w:pPr>
  </w:style>
  <w:style w:type="paragraph" w:styleId="9">
    <w:name w:val="Body Text"/>
    <w:basedOn w:val="1"/>
    <w:link w:val="46"/>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10">
    <w:name w:val="Plain Text"/>
    <w:basedOn w:val="1"/>
    <w:qFormat/>
    <w:uiPriority w:val="0"/>
    <w:rPr>
      <w:rFonts w:ascii="宋体" w:hAnsi="Courier New" w:eastAsia="宋体"/>
      <w:kern w:val="2"/>
      <w:sz w:val="21"/>
      <w:lang w:val="en-US" w:eastAsia="zh-CN" w:bidi="ar-SA"/>
    </w:rPr>
  </w:style>
  <w:style w:type="paragraph" w:styleId="11">
    <w:name w:val="Date"/>
    <w:basedOn w:val="1"/>
    <w:next w:val="1"/>
    <w:qFormat/>
    <w:uiPriority w:val="0"/>
    <w:pPr>
      <w:ind w:left="100" w:leftChars="2500"/>
    </w:pPr>
    <w:rPr>
      <w:rFonts w:eastAsia="仿宋_GB2312"/>
      <w:w w:val="99"/>
      <w:sz w:val="32"/>
    </w:rPr>
  </w:style>
  <w:style w:type="paragraph" w:styleId="12">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13">
    <w:name w:val="Balloon Text"/>
    <w:basedOn w:val="1"/>
    <w:semiHidden/>
    <w:qFormat/>
    <w:uiPriority w:val="0"/>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2"/>
    <w:basedOn w:val="1"/>
    <w:next w:val="4"/>
    <w:qFormat/>
    <w:uiPriority w:val="1"/>
    <w:pPr>
      <w:spacing w:before="8"/>
      <w:ind w:left="100"/>
    </w:pPr>
    <w:rPr>
      <w:rFonts w:ascii="宋体" w:hAnsi="宋体" w:eastAsia="宋体"/>
      <w:sz w:val="24"/>
      <w:szCs w:val="24"/>
    </w:rPr>
  </w:style>
  <w:style w:type="paragraph" w:styleId="1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18">
    <w:name w:val="Body Text First Indent 2"/>
    <w:basedOn w:val="6"/>
    <w:qFormat/>
    <w:uiPriority w:val="0"/>
    <w:pPr>
      <w:spacing w:line="360" w:lineRule="auto"/>
      <w:ind w:left="0" w:leftChars="0" w:firstLine="420" w:firstLineChars="200"/>
    </w:pPr>
    <w:rPr>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Char"/>
    <w:basedOn w:val="1"/>
    <w:link w:val="21"/>
    <w:qFormat/>
    <w:uiPriority w:val="0"/>
  </w:style>
  <w:style w:type="character" w:styleId="23">
    <w:name w:val="Strong"/>
    <w:basedOn w:val="21"/>
    <w:qFormat/>
    <w:uiPriority w:val="22"/>
    <w:rPr>
      <w:rFonts w:ascii="Times New Roman" w:hAnsi="Times New Roman" w:eastAsia="宋体" w:cs="Times New Roman"/>
      <w:b/>
      <w:bCs/>
    </w:rPr>
  </w:style>
  <w:style w:type="character" w:styleId="24">
    <w:name w:val="page number"/>
    <w:basedOn w:val="21"/>
    <w:qFormat/>
    <w:uiPriority w:val="0"/>
  </w:style>
  <w:style w:type="character" w:styleId="25">
    <w:name w:val="Hyperlink"/>
    <w:basedOn w:val="21"/>
    <w:qFormat/>
    <w:uiPriority w:val="0"/>
    <w:rPr>
      <w:rFonts w:ascii="Times New Roman" w:hAnsi="Times New Roman" w:eastAsia="宋体" w:cs="Times New Roman"/>
      <w:color w:val="0000FF"/>
      <w:u w:val="single"/>
    </w:rPr>
  </w:style>
  <w:style w:type="paragraph" w:customStyle="1" w:styleId="26">
    <w:name w:val="表格编号"/>
    <w:basedOn w:val="1"/>
    <w:next w:val="27"/>
    <w:qFormat/>
    <w:uiPriority w:val="0"/>
    <w:pPr>
      <w:spacing w:line="60" w:lineRule="atLeast"/>
      <w:jc w:val="left"/>
    </w:pPr>
    <w:rPr>
      <w:spacing w:val="10"/>
      <w:kern w:val="0"/>
      <w:szCs w:val="21"/>
    </w:rPr>
  </w:style>
  <w:style w:type="paragraph" w:customStyle="1" w:styleId="27">
    <w:name w:val="表格文字"/>
    <w:basedOn w:val="1"/>
    <w:next w:val="1"/>
    <w:qFormat/>
    <w:uiPriority w:val="0"/>
    <w:pPr>
      <w:tabs>
        <w:tab w:val="left" w:pos="-2848"/>
      </w:tabs>
      <w:spacing w:before="40" w:after="40" w:line="240" w:lineRule="atLeast"/>
      <w:jc w:val="center"/>
    </w:pPr>
    <w:rPr>
      <w:position w:val="-10"/>
      <w:sz w:val="21"/>
      <w:szCs w:val="20"/>
    </w:rPr>
  </w:style>
  <w:style w:type="paragraph" w:customStyle="1" w:styleId="28">
    <w:name w:val="Default"/>
    <w:basedOn w:val="29"/>
    <w:next w:val="30"/>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29">
    <w:name w:val="纯文本1"/>
    <w:basedOn w:val="1"/>
    <w:next w:val="1"/>
    <w:qFormat/>
    <w:uiPriority w:val="0"/>
    <w:pPr>
      <w:adjustRightInd w:val="0"/>
      <w:textAlignment w:val="baseline"/>
    </w:pPr>
    <w:rPr>
      <w:rFonts w:ascii="宋体" w:hAnsi="Courier New"/>
      <w:szCs w:val="20"/>
    </w:rPr>
  </w:style>
  <w:style w:type="paragraph" w:customStyle="1" w:styleId="30">
    <w:name w:val="正文文字 6"/>
    <w:basedOn w:val="31"/>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31">
    <w:name w:val="TT标题"/>
    <w:basedOn w:val="1"/>
    <w:qFormat/>
    <w:uiPriority w:val="0"/>
    <w:pPr>
      <w:jc w:val="center"/>
    </w:pPr>
    <w:rPr>
      <w:rFonts w:cs="宋体"/>
      <w:b/>
      <w:szCs w:val="20"/>
    </w:rPr>
  </w:style>
  <w:style w:type="paragraph" w:customStyle="1" w:styleId="32">
    <w:name w:val="样式35"/>
    <w:basedOn w:val="33"/>
    <w:next w:val="39"/>
    <w:qFormat/>
    <w:uiPriority w:val="0"/>
    <w:pPr>
      <w:widowControl w:val="0"/>
      <w:tabs>
        <w:tab w:val="left" w:pos="0"/>
        <w:tab w:val="left" w:pos="360"/>
        <w:tab w:val="left" w:pos="540"/>
        <w:tab w:val="left" w:pos="567"/>
        <w:tab w:val="left" w:pos="864"/>
      </w:tabs>
      <w:spacing w:before="0" w:after="0" w:line="312" w:lineRule="auto"/>
      <w:ind w:left="0" w:firstLine="567"/>
      <w:jc w:val="both"/>
    </w:pPr>
    <w:rPr>
      <w:rFonts w:eastAsia="宋体"/>
    </w:rPr>
  </w:style>
  <w:style w:type="paragraph" w:customStyle="1" w:styleId="33">
    <w:name w:val="样式26"/>
    <w:basedOn w:val="34"/>
    <w:qFormat/>
    <w:uiPriority w:val="0"/>
    <w:pPr>
      <w:tabs>
        <w:tab w:val="left" w:pos="0"/>
        <w:tab w:val="left" w:pos="360"/>
        <w:tab w:val="left" w:pos="540"/>
        <w:tab w:val="left" w:pos="567"/>
        <w:tab w:val="left" w:pos="864"/>
      </w:tabs>
    </w:pPr>
  </w:style>
  <w:style w:type="paragraph" w:customStyle="1" w:styleId="34">
    <w:name w:val="样式21"/>
    <w:basedOn w:val="35"/>
    <w:qFormat/>
    <w:uiPriority w:val="0"/>
    <w:pPr>
      <w:tabs>
        <w:tab w:val="left" w:pos="360"/>
        <w:tab w:val="left" w:pos="567"/>
        <w:tab w:val="left" w:pos="864"/>
      </w:tabs>
      <w:spacing w:before="120" w:after="120"/>
      <w:ind w:hanging="992"/>
    </w:pPr>
  </w:style>
  <w:style w:type="paragraph" w:customStyle="1" w:styleId="35">
    <w:name w:val="样式5"/>
    <w:basedOn w:val="36"/>
    <w:qFormat/>
    <w:uiPriority w:val="0"/>
    <w:pPr>
      <w:widowControl/>
      <w:tabs>
        <w:tab w:val="left" w:pos="360"/>
        <w:tab w:val="left" w:pos="864"/>
      </w:tabs>
      <w:jc w:val="center"/>
    </w:pPr>
    <w:rPr>
      <w:rFonts w:ascii="宋体" w:hAnsi="宋体" w:cs="宋体"/>
      <w:szCs w:val="21"/>
    </w:rPr>
  </w:style>
  <w:style w:type="paragraph" w:customStyle="1" w:styleId="36">
    <w:name w:val="样式12"/>
    <w:basedOn w:val="37"/>
    <w:qFormat/>
    <w:uiPriority w:val="0"/>
    <w:pPr>
      <w:keepNext/>
      <w:keepLines/>
      <w:tabs>
        <w:tab w:val="left" w:pos="360"/>
        <w:tab w:val="left" w:pos="864"/>
      </w:tabs>
      <w:spacing w:before="156" w:beforeLines="50" w:after="156" w:afterLines="50"/>
      <w:ind w:left="567" w:hanging="567"/>
      <w:outlineLvl w:val="1"/>
    </w:pPr>
    <w:rPr>
      <w:rFonts w:eastAsia="MS Mincho"/>
      <w:kern w:val="0"/>
      <w:sz w:val="28"/>
      <w:szCs w:val="28"/>
    </w:rPr>
  </w:style>
  <w:style w:type="paragraph" w:customStyle="1" w:styleId="37">
    <w:name w:val="第2级标题"/>
    <w:basedOn w:val="3"/>
    <w:next w:val="38"/>
    <w:qFormat/>
    <w:uiPriority w:val="0"/>
    <w:pPr>
      <w:numPr>
        <w:ilvl w:val="3"/>
        <w:numId w:val="2"/>
      </w:numPr>
      <w:spacing w:before="100" w:beforeAutospacing="1" w:after="100" w:afterAutospacing="1" w:line="500" w:lineRule="exact"/>
    </w:pPr>
    <w:rPr>
      <w:rFonts w:eastAsia="华文中宋"/>
    </w:rPr>
  </w:style>
  <w:style w:type="paragraph" w:customStyle="1" w:styleId="38">
    <w:name w:val="[正文格式]"/>
    <w:basedOn w:val="1"/>
    <w:qFormat/>
    <w:uiPriority w:val="0"/>
    <w:pPr>
      <w:spacing w:line="440" w:lineRule="exact"/>
      <w:ind w:firstLine="500" w:firstLineChars="200"/>
    </w:pPr>
    <w:rPr>
      <w:rFonts w:ascii="Times New Roman" w:cs="宋体"/>
      <w:kern w:val="2"/>
      <w:sz w:val="24"/>
    </w:rPr>
  </w:style>
  <w:style w:type="paragraph" w:customStyle="1" w:styleId="39">
    <w:name w:val="font6"/>
    <w:basedOn w:val="1"/>
    <w:next w:val="16"/>
    <w:qFormat/>
    <w:uiPriority w:val="0"/>
    <w:pPr>
      <w:widowControl/>
      <w:spacing w:before="100" w:beforeAutospacing="1" w:after="100" w:afterAutospacing="1"/>
      <w:jc w:val="left"/>
    </w:pPr>
    <w:rPr>
      <w:kern w:val="0"/>
    </w:rPr>
  </w:style>
  <w:style w:type="paragraph" w:customStyle="1" w:styleId="40">
    <w:name w:val="Q-正文"/>
    <w:basedOn w:val="1"/>
    <w:next w:val="1"/>
    <w:qFormat/>
    <w:uiPriority w:val="0"/>
    <w:pPr>
      <w:ind w:firstLine="200"/>
    </w:pPr>
    <w:rPr>
      <w:rFonts w:ascii="Times New Roman" w:hAnsi="Times New Roman" w:eastAsia="宋体" w:cs="Courier New"/>
      <w:sz w:val="21"/>
      <w:szCs w:val="22"/>
    </w:rPr>
  </w:style>
  <w:style w:type="paragraph" w:customStyle="1" w:styleId="41">
    <w:name w:val="A正文-lcc"/>
    <w:basedOn w:val="1"/>
    <w:link w:val="44"/>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42">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43">
    <w:name w:val=" Char"/>
    <w:basedOn w:val="1"/>
    <w:qFormat/>
    <w:uiPriority w:val="0"/>
    <w:pPr>
      <w:spacing w:line="360" w:lineRule="auto"/>
    </w:pPr>
    <w:rPr>
      <w:rFonts w:ascii="Tahoma" w:hAnsi="Tahoma" w:eastAsia="宋体" w:cs="Times New Roman"/>
      <w:sz w:val="28"/>
      <w:szCs w:val="20"/>
    </w:rPr>
  </w:style>
  <w:style w:type="character" w:customStyle="1" w:styleId="44">
    <w:name w:val="A正文-lcc Char"/>
    <w:link w:val="41"/>
    <w:qFormat/>
    <w:uiPriority w:val="0"/>
    <w:rPr>
      <w:rFonts w:ascii="Times New Roman" w:hAnsi="Times New Roman" w:eastAsia="宋体" w:cs="Times New Roman"/>
      <w:color w:val="000000"/>
      <w:kern w:val="0"/>
      <w:sz w:val="24"/>
      <w:szCs w:val="24"/>
    </w:rPr>
  </w:style>
  <w:style w:type="character" w:customStyle="1" w:styleId="45">
    <w:name w:val="content1"/>
    <w:basedOn w:val="21"/>
    <w:qFormat/>
    <w:uiPriority w:val="0"/>
    <w:rPr>
      <w:rFonts w:ascii="Times New Roman" w:hAnsi="Times New Roman" w:eastAsia="宋体" w:cs="Times New Roman"/>
      <w:sz w:val="21"/>
      <w:szCs w:val="21"/>
    </w:rPr>
  </w:style>
  <w:style w:type="character" w:customStyle="1" w:styleId="46">
    <w:name w:val="正文文本 Char"/>
    <w:basedOn w:val="21"/>
    <w:link w:val="9"/>
    <w:semiHidden/>
    <w:qFormat/>
    <w:locked/>
    <w:uiPriority w:val="0"/>
    <w:rPr>
      <w:rFonts w:ascii="方正小标宋简体" w:hAnsi="Times New Roman" w:eastAsia="方正小标宋简体" w:cs="方正小标宋简体"/>
      <w:sz w:val="44"/>
      <w:szCs w:val="44"/>
    </w:rPr>
  </w:style>
  <w:style w:type="character" w:customStyle="1" w:styleId="47">
    <w:name w:val="样式 楷体_GB2312 黑色"/>
    <w:qFormat/>
    <w:uiPriority w:val="0"/>
    <w:rPr>
      <w:rFonts w:ascii="楷体_GB2312" w:hAnsi="宋体" w:eastAsia="楷体_GB2312" w:cs="Times New Roman"/>
      <w:b/>
      <w:color w:val="000000"/>
      <w:sz w:val="24"/>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gzepb</Company>
  <Pages>4</Pages>
  <Words>1941</Words>
  <Characters>2130</Characters>
  <Lines>16</Lines>
  <Paragraphs>4</Paragraphs>
  <TotalTime>30</TotalTime>
  <ScaleCrop>false</ScaleCrop>
  <LinksUpToDate>false</LinksUpToDate>
  <CharactersWithSpaces>2203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圆圈圈儿 ࿔</cp:lastModifiedBy>
  <cp:lastPrinted>2025-11-05T07:57:00Z</cp:lastPrinted>
  <dcterms:modified xsi:type="dcterms:W3CDTF">2025-12-29T01:45:06Z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F880DE2457CD4583A62AA69A898A7962_13</vt:lpwstr>
  </property>
  <property fmtid="{D5CDD505-2E9C-101B-9397-08002B2CF9AE}" pid="4" name="KSOTemplateDocerSaveRecord">
    <vt:lpwstr>eyJoZGlkIjoiODdkOTNkZGUwYWU4YWU0YzViNWEwNmQ1ODczOTg2ZTkiLCJ1c2VySWQiOiIxNzIzMDIxNzY5In0=</vt:lpwstr>
  </property>
</Properties>
</file>