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EFDE16">
      <w:pPr>
        <w:spacing w:line="580" w:lineRule="exact"/>
        <w:ind w:right="23" w:rightChars="11"/>
        <w:rPr>
          <w:rFonts w:hint="eastAsia" w:ascii="仿宋_GB2312" w:eastAsia="仿宋_GB2312"/>
          <w:color w:val="auto"/>
          <w:sz w:val="32"/>
        </w:rPr>
      </w:pPr>
      <w:r>
        <w:rPr>
          <w:rFonts w:hint="eastAsia" w:eastAsia="仿宋_GB2312"/>
          <w:color w:val="auto"/>
          <w:sz w:val="32"/>
        </w:rPr>
        <w:t xml:space="preserve">                                          </w:t>
      </w:r>
    </w:p>
    <w:p w14:paraId="18CDA06A">
      <w:pPr>
        <w:keepNext w:val="0"/>
        <w:keepLines w:val="0"/>
        <w:widowControl w:val="0"/>
        <w:suppressLineNumbers w:val="0"/>
        <w:spacing w:line="590" w:lineRule="exact"/>
        <w:jc w:val="right"/>
        <w:rPr>
          <w:rFonts w:ascii="Times New Roman" w:hAnsi="Times New Roman" w:eastAsia="仿宋_GB2312" w:cs="Times New Roman"/>
          <w:b w:val="0"/>
          <w:bCs w:val="0"/>
          <w:color w:val="auto"/>
          <w:sz w:val="32"/>
          <w:szCs w:val="32"/>
        </w:rPr>
      </w:pPr>
      <w:bookmarkStart w:id="0" w:name="Content"/>
      <w:r>
        <w:rPr>
          <w:rFonts w:ascii="Times New Roman" w:hAnsi="Times New Roman" w:eastAsia="仿宋_GB2312" w:cs="Times New Roman"/>
          <w:b w:val="0"/>
          <w:bCs w:val="0"/>
          <w:i w:val="0"/>
          <w:iCs w:val="0"/>
          <w:caps w:val="0"/>
          <w:color w:val="auto"/>
          <w:spacing w:val="0"/>
          <w:kern w:val="2"/>
          <w:sz w:val="32"/>
          <w:szCs w:val="32"/>
          <w:shd w:val="clear" w:color="auto" w:fill="auto"/>
          <w:lang w:val="en-US" w:eastAsia="zh-CN" w:bidi="ar"/>
        </w:rPr>
        <w:t>穗环管影</w:t>
      </w:r>
      <w:r>
        <w:rPr>
          <w:rFonts w:hint="eastAsia" w:eastAsia="仿宋_GB2312" w:cs="Times New Roman"/>
          <w:b w:val="0"/>
          <w:bCs w:val="0"/>
          <w:i w:val="0"/>
          <w:iCs w:val="0"/>
          <w:caps w:val="0"/>
          <w:color w:val="auto"/>
          <w:spacing w:val="0"/>
          <w:kern w:val="2"/>
          <w:sz w:val="32"/>
          <w:szCs w:val="32"/>
          <w:shd w:val="clear" w:color="auto" w:fill="auto"/>
          <w:lang w:val="en-US" w:eastAsia="zh-CN" w:bidi="ar"/>
        </w:rPr>
        <w:t>（番）</w:t>
      </w:r>
      <w:r>
        <w:rPr>
          <w:rFonts w:ascii="Times New Roman" w:hAnsi="Times New Roman" w:eastAsia="仿宋_GB2312" w:cs="Times New Roman"/>
          <w:b w:val="0"/>
          <w:bCs w:val="0"/>
          <w:i w:val="0"/>
          <w:iCs w:val="0"/>
          <w:caps w:val="0"/>
          <w:color w:val="auto"/>
          <w:spacing w:val="0"/>
          <w:kern w:val="2"/>
          <w:sz w:val="32"/>
          <w:szCs w:val="32"/>
          <w:shd w:val="clear" w:color="auto" w:fill="auto"/>
          <w:lang w:val="en-US" w:eastAsia="zh-CN" w:bidi="ar"/>
        </w:rPr>
        <w:t>〔202</w:t>
      </w:r>
      <w:r>
        <w:rPr>
          <w:rFonts w:hint="eastAsia" w:eastAsia="仿宋_GB2312" w:cs="Times New Roman"/>
          <w:b w:val="0"/>
          <w:bCs w:val="0"/>
          <w:i w:val="0"/>
          <w:iCs w:val="0"/>
          <w:caps w:val="0"/>
          <w:color w:val="auto"/>
          <w:spacing w:val="0"/>
          <w:kern w:val="2"/>
          <w:sz w:val="32"/>
          <w:szCs w:val="32"/>
          <w:shd w:val="clear" w:color="auto" w:fill="auto"/>
          <w:lang w:val="en-US" w:eastAsia="zh-CN" w:bidi="ar"/>
        </w:rPr>
        <w:t>5</w:t>
      </w:r>
      <w:r>
        <w:rPr>
          <w:rFonts w:ascii="Times New Roman" w:hAnsi="Times New Roman" w:eastAsia="仿宋_GB2312" w:cs="Times New Roman"/>
          <w:b w:val="0"/>
          <w:bCs w:val="0"/>
          <w:i w:val="0"/>
          <w:iCs w:val="0"/>
          <w:caps w:val="0"/>
          <w:color w:val="auto"/>
          <w:spacing w:val="0"/>
          <w:kern w:val="2"/>
          <w:sz w:val="32"/>
          <w:szCs w:val="32"/>
          <w:shd w:val="clear" w:color="auto" w:fill="auto"/>
          <w:lang w:val="en-US" w:eastAsia="zh-CN" w:bidi="ar"/>
        </w:rPr>
        <w:t>〕</w:t>
      </w:r>
      <w:r>
        <w:rPr>
          <w:rFonts w:hint="eastAsia" w:eastAsia="仿宋_GB2312" w:cs="Times New Roman"/>
          <w:b w:val="0"/>
          <w:bCs w:val="0"/>
          <w:i w:val="0"/>
          <w:iCs w:val="0"/>
          <w:caps w:val="0"/>
          <w:color w:val="auto"/>
          <w:spacing w:val="0"/>
          <w:kern w:val="2"/>
          <w:sz w:val="32"/>
          <w:szCs w:val="32"/>
          <w:shd w:val="clear" w:color="auto" w:fill="auto"/>
          <w:lang w:val="en-US" w:eastAsia="zh-CN" w:bidi="ar"/>
        </w:rPr>
        <w:t>162</w:t>
      </w:r>
      <w:r>
        <w:rPr>
          <w:rFonts w:ascii="Times New Roman" w:hAnsi="Times New Roman" w:eastAsia="仿宋_GB2312" w:cs="Times New Roman"/>
          <w:b w:val="0"/>
          <w:bCs w:val="0"/>
          <w:i w:val="0"/>
          <w:iCs w:val="0"/>
          <w:caps w:val="0"/>
          <w:color w:val="auto"/>
          <w:spacing w:val="0"/>
          <w:kern w:val="2"/>
          <w:sz w:val="32"/>
          <w:szCs w:val="32"/>
          <w:shd w:val="clear" w:color="auto" w:fill="auto"/>
          <w:lang w:val="en-US" w:eastAsia="zh-CN" w:bidi="ar"/>
        </w:rPr>
        <w:t>号</w:t>
      </w:r>
    </w:p>
    <w:p w14:paraId="11CEDC0F">
      <w:pPr>
        <w:spacing w:line="590" w:lineRule="exact"/>
        <w:jc w:val="right"/>
        <w:rPr>
          <w:rFonts w:hint="default" w:ascii="Times New Roman" w:hAnsi="Times New Roman" w:eastAsia="仿宋_GB2312" w:cs="Times New Roman"/>
          <w:b/>
          <w:bCs/>
          <w:color w:val="auto"/>
          <w:sz w:val="32"/>
          <w:szCs w:val="32"/>
        </w:rPr>
      </w:pPr>
    </w:p>
    <w:p w14:paraId="0B7C17BF">
      <w:pPr>
        <w:spacing w:line="590" w:lineRule="exact"/>
        <w:jc w:val="right"/>
        <w:rPr>
          <w:rFonts w:hint="default" w:ascii="Times New Roman" w:hAnsi="Times New Roman" w:eastAsia="仿宋_GB2312" w:cs="Times New Roman"/>
          <w:b/>
          <w:bCs/>
          <w:color w:val="auto"/>
          <w:sz w:val="32"/>
          <w:szCs w:val="32"/>
        </w:rPr>
      </w:pPr>
    </w:p>
    <w:p w14:paraId="30D01E20">
      <w:pPr>
        <w:spacing w:line="590" w:lineRule="exact"/>
        <w:jc w:val="center"/>
        <w:outlineLvl w:val="0"/>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广州市生态环境局关于番禺区石碁水厂</w:t>
      </w:r>
    </w:p>
    <w:p w14:paraId="01B6AC57">
      <w:pPr>
        <w:spacing w:line="590" w:lineRule="exact"/>
        <w:jc w:val="center"/>
        <w:outlineLvl w:val="0"/>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扩建工程环境影响报告</w:t>
      </w:r>
      <w:bookmarkStart w:id="1" w:name="OLE_LINK17"/>
      <w:r>
        <w:rPr>
          <w:rFonts w:hint="eastAsia" w:ascii="方正小标宋简体" w:hAnsi="方正小标宋简体" w:eastAsia="方正小标宋简体" w:cs="方正小标宋简体"/>
          <w:b w:val="0"/>
          <w:bCs w:val="0"/>
          <w:color w:val="auto"/>
          <w:sz w:val="44"/>
          <w:szCs w:val="44"/>
          <w:lang w:val="en-US" w:eastAsia="zh-CN"/>
        </w:rPr>
        <w:t>表</w:t>
      </w:r>
      <w:bookmarkEnd w:id="1"/>
      <w:r>
        <w:rPr>
          <w:rFonts w:hint="eastAsia" w:ascii="方正小标宋简体" w:hAnsi="方正小标宋简体" w:eastAsia="方正小标宋简体" w:cs="方正小标宋简体"/>
          <w:b w:val="0"/>
          <w:bCs w:val="0"/>
          <w:color w:val="auto"/>
          <w:sz w:val="44"/>
          <w:szCs w:val="44"/>
        </w:rPr>
        <w:t>的批复</w:t>
      </w:r>
    </w:p>
    <w:p w14:paraId="4D33860A">
      <w:pPr>
        <w:spacing w:line="590" w:lineRule="exact"/>
        <w:ind w:firstLine="643" w:firstLineChars="200"/>
        <w:jc w:val="center"/>
        <w:rPr>
          <w:rFonts w:hint="eastAsia" w:ascii="Times New Roman" w:hAnsi="Times New Roman" w:eastAsia="仿宋_GB2312" w:cs="Times New Roman"/>
          <w:b/>
          <w:bCs/>
          <w:color w:val="auto"/>
          <w:sz w:val="32"/>
          <w:szCs w:val="32"/>
          <w:lang w:eastAsia="zh-CN"/>
        </w:rPr>
      </w:pPr>
    </w:p>
    <w:p w14:paraId="6D182BDD">
      <w:pPr>
        <w:keepNext w:val="0"/>
        <w:keepLines w:val="0"/>
        <w:pageBreakBefore w:val="0"/>
        <w:widowControl w:val="0"/>
        <w:kinsoku/>
        <w:wordWrap/>
        <w:overflowPunct/>
        <w:topLinePunct w:val="0"/>
        <w:bidi w:val="0"/>
        <w:snapToGrid w:val="0"/>
        <w:spacing w:line="560" w:lineRule="exact"/>
        <w:jc w:val="left"/>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广州市番禺石碁自来水有限公司（91440113191423224C）</w:t>
      </w:r>
      <w:r>
        <w:rPr>
          <w:rFonts w:hint="default" w:ascii="Times New Roman" w:hAnsi="Times New Roman" w:eastAsia="仿宋_GB2312" w:cs="Times New Roman"/>
          <w:b w:val="0"/>
          <w:bCs w:val="0"/>
          <w:color w:val="auto"/>
          <w:sz w:val="32"/>
          <w:szCs w:val="32"/>
        </w:rPr>
        <w:t>：</w:t>
      </w:r>
    </w:p>
    <w:p w14:paraId="44A216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你公司报批的《番禺区石碁水厂扩建工程环境影响报告</w:t>
      </w:r>
      <w:bookmarkStart w:id="2" w:name="OLE_LINK18"/>
      <w:r>
        <w:rPr>
          <w:rFonts w:hint="default" w:ascii="Times New Roman" w:hAnsi="Times New Roman" w:eastAsia="仿宋_GB2312" w:cs="Times New Roman"/>
          <w:b w:val="0"/>
          <w:bCs w:val="0"/>
          <w:color w:val="auto"/>
          <w:sz w:val="32"/>
          <w:szCs w:val="32"/>
          <w:lang w:val="en-US" w:eastAsia="zh-CN"/>
        </w:rPr>
        <w:t>表</w:t>
      </w:r>
      <w:bookmarkEnd w:id="2"/>
      <w:r>
        <w:rPr>
          <w:rFonts w:hint="default" w:ascii="Times New Roman" w:hAnsi="Times New Roman" w:eastAsia="仿宋_GB2312" w:cs="Times New Roman"/>
          <w:b w:val="0"/>
          <w:bCs w:val="0"/>
          <w:color w:val="auto"/>
          <w:sz w:val="32"/>
          <w:szCs w:val="32"/>
        </w:rPr>
        <w:t>》（以下简称《报告</w:t>
      </w:r>
      <w:r>
        <w:rPr>
          <w:rFonts w:hint="default" w:ascii="Times New Roman" w:hAnsi="Times New Roman" w:eastAsia="仿宋_GB2312" w:cs="Times New Roman"/>
          <w:b w:val="0"/>
          <w:bCs w:val="0"/>
          <w:color w:val="auto"/>
          <w:sz w:val="32"/>
          <w:szCs w:val="32"/>
          <w:lang w:val="en-US" w:eastAsia="zh-CN"/>
        </w:rPr>
        <w:t>表</w:t>
      </w:r>
      <w:r>
        <w:rPr>
          <w:rFonts w:hint="default" w:ascii="Times New Roman" w:hAnsi="Times New Roman" w:eastAsia="仿宋_GB2312" w:cs="Times New Roman"/>
          <w:b w:val="0"/>
          <w:bCs w:val="0"/>
          <w:color w:val="auto"/>
          <w:sz w:val="32"/>
          <w:szCs w:val="32"/>
        </w:rPr>
        <w:t>》）及相关资料收悉。经研究，批复如下：</w:t>
      </w:r>
    </w:p>
    <w:p w14:paraId="37BE7279">
      <w:pPr>
        <w:keepNext w:val="0"/>
        <w:keepLines w:val="0"/>
        <w:pageBreakBefore w:val="0"/>
        <w:widowControl w:val="0"/>
        <w:kinsoku/>
        <w:wordWrap/>
        <w:overflowPunct/>
        <w:topLinePunct w:val="0"/>
        <w:bidi w:val="0"/>
        <w:spacing w:line="560" w:lineRule="exact"/>
        <w:ind w:firstLine="972" w:firstLineChars="304"/>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sz w:val="32"/>
          <w:szCs w:val="32"/>
        </w:rPr>
        <w:t>一、番禺区石碁水厂扩建工程</w:t>
      </w:r>
      <w:r>
        <w:rPr>
          <w:rFonts w:hint="default" w:ascii="Times New Roman" w:hAnsi="Times New Roman" w:eastAsia="仿宋_GB2312" w:cs="Times New Roman"/>
          <w:color w:val="auto"/>
          <w:sz w:val="32"/>
          <w:szCs w:val="32"/>
          <w:lang w:val="en-US" w:eastAsia="zh-CN"/>
        </w:rPr>
        <w:t>（以下简称“该工程”）</w:t>
      </w:r>
      <w:r>
        <w:rPr>
          <w:rFonts w:hint="default" w:ascii="Times New Roman" w:hAnsi="Times New Roman" w:eastAsia="仿宋_GB2312" w:cs="Times New Roman"/>
          <w:color w:val="auto"/>
          <w:sz w:val="32"/>
          <w:szCs w:val="32"/>
        </w:rPr>
        <w:t>广州市番禺区石碁镇雁洲村沿江路2号自编1</w:t>
      </w:r>
      <w:r>
        <w:rPr>
          <w:rFonts w:hint="default" w:ascii="Times New Roman" w:hAnsi="Times New Roman" w:eastAsia="仿宋_GB2312" w:cs="Times New Roman"/>
          <w:b w:val="0"/>
          <w:bCs w:val="0"/>
          <w:color w:val="auto"/>
          <w:sz w:val="32"/>
          <w:szCs w:val="32"/>
          <w:lang w:eastAsia="zh-CN"/>
        </w:rPr>
        <w:t>，申报内容</w:t>
      </w:r>
      <w:r>
        <w:rPr>
          <w:rFonts w:hint="default" w:ascii="Times New Roman" w:hAnsi="Times New Roman" w:eastAsia="仿宋_GB2312" w:cs="Times New Roman"/>
          <w:b w:val="0"/>
          <w:bCs w:val="0"/>
          <w:color w:val="auto"/>
          <w:sz w:val="32"/>
          <w:szCs w:val="32"/>
          <w:lang w:val="en-US" w:eastAsia="zh-CN"/>
        </w:rPr>
        <w:t>为</w:t>
      </w:r>
      <w:r>
        <w:rPr>
          <w:rFonts w:hint="default" w:ascii="Times New Roman" w:hAnsi="Times New Roman" w:eastAsia="仿宋_GB2312" w:cs="Times New Roman"/>
          <w:color w:val="auto"/>
          <w:sz w:val="32"/>
          <w:szCs w:val="32"/>
        </w:rPr>
        <w:t>扩建</w:t>
      </w:r>
      <w:r>
        <w:rPr>
          <w:rFonts w:hint="default" w:ascii="Times New Roman" w:hAnsi="Times New Roman" w:eastAsia="仿宋_GB2312" w:cs="Times New Roman"/>
          <w:color w:val="auto"/>
          <w:sz w:val="32"/>
          <w:szCs w:val="32"/>
          <w:lang w:val="en-US" w:eastAsia="zh-CN"/>
        </w:rPr>
        <w:t>1条</w:t>
      </w:r>
      <w:r>
        <w:rPr>
          <w:rFonts w:hint="default" w:ascii="Times New Roman" w:hAnsi="Times New Roman" w:eastAsia="仿宋_GB2312" w:cs="Times New Roman"/>
          <w:color w:val="auto"/>
          <w:sz w:val="32"/>
          <w:szCs w:val="32"/>
        </w:rPr>
        <w:t>15万</w:t>
      </w:r>
      <w:r>
        <w:rPr>
          <w:rFonts w:hint="default" w:ascii="Times New Roman" w:hAnsi="Times New Roman" w:eastAsia="仿宋_GB2312" w:cs="Times New Roman"/>
          <w:color w:val="auto"/>
          <w:kern w:val="0"/>
          <w:sz w:val="32"/>
          <w:szCs w:val="32"/>
          <w:lang w:val="en-US" w:eastAsia="zh-CN"/>
        </w:rPr>
        <w:t>吨/日</w:t>
      </w:r>
      <w:r>
        <w:rPr>
          <w:rFonts w:hint="default" w:ascii="Times New Roman" w:hAnsi="Times New Roman" w:eastAsia="仿宋_GB2312" w:cs="Times New Roman"/>
          <w:color w:val="auto"/>
          <w:sz w:val="32"/>
          <w:szCs w:val="32"/>
        </w:rPr>
        <w:t>自来水生产线</w:t>
      </w:r>
      <w:r>
        <w:rPr>
          <w:rFonts w:hint="default" w:ascii="Times New Roman" w:hAnsi="Times New Roman" w:eastAsia="仿宋_GB2312" w:cs="Times New Roman"/>
          <w:color w:val="auto"/>
          <w:sz w:val="32"/>
          <w:szCs w:val="32"/>
          <w:lang w:eastAsia="zh-CN"/>
        </w:rPr>
        <w:t>，扩建后总供水规模为27</w:t>
      </w:r>
      <w:r>
        <w:rPr>
          <w:rFonts w:hint="default" w:ascii="Times New Roman" w:hAnsi="Times New Roman" w:eastAsia="仿宋_GB2312" w:cs="Times New Roman"/>
          <w:color w:val="auto"/>
          <w:sz w:val="32"/>
          <w:szCs w:val="32"/>
        </w:rPr>
        <w:t>万</w:t>
      </w:r>
      <w:r>
        <w:rPr>
          <w:rFonts w:hint="default" w:ascii="Times New Roman" w:hAnsi="Times New Roman" w:eastAsia="仿宋_GB2312" w:cs="Times New Roman"/>
          <w:color w:val="auto"/>
          <w:kern w:val="0"/>
          <w:sz w:val="32"/>
          <w:szCs w:val="32"/>
          <w:lang w:val="en-US" w:eastAsia="zh-CN"/>
        </w:rPr>
        <w:t>吨/日</w:t>
      </w:r>
      <w:r>
        <w:rPr>
          <w:rFonts w:hint="default" w:ascii="Times New Roman" w:hAnsi="Times New Roman" w:eastAsia="仿宋_GB2312" w:cs="Times New Roman"/>
          <w:color w:val="auto"/>
          <w:sz w:val="32"/>
          <w:szCs w:val="32"/>
          <w:lang w:eastAsia="zh-CN"/>
        </w:rPr>
        <w:t>，并配套服务制水规模27</w:t>
      </w:r>
      <w:r>
        <w:rPr>
          <w:rFonts w:hint="default" w:ascii="Times New Roman" w:hAnsi="Times New Roman" w:eastAsia="仿宋_GB2312" w:cs="Times New Roman"/>
          <w:color w:val="auto"/>
          <w:sz w:val="32"/>
          <w:szCs w:val="32"/>
        </w:rPr>
        <w:t>万</w:t>
      </w:r>
      <w:r>
        <w:rPr>
          <w:rFonts w:hint="default" w:ascii="Times New Roman" w:hAnsi="Times New Roman" w:eastAsia="仿宋_GB2312" w:cs="Times New Roman"/>
          <w:color w:val="auto"/>
          <w:kern w:val="0"/>
          <w:sz w:val="32"/>
          <w:szCs w:val="32"/>
          <w:lang w:val="en-US" w:eastAsia="zh-CN"/>
        </w:rPr>
        <w:t>吨/日</w:t>
      </w:r>
      <w:r>
        <w:rPr>
          <w:rFonts w:hint="default" w:ascii="Times New Roman" w:hAnsi="Times New Roman" w:eastAsia="仿宋_GB2312" w:cs="Times New Roman"/>
          <w:color w:val="auto"/>
          <w:sz w:val="32"/>
          <w:szCs w:val="32"/>
          <w:lang w:eastAsia="zh-CN"/>
        </w:rPr>
        <w:t>的排泥水处理系统</w:t>
      </w:r>
      <w:r>
        <w:rPr>
          <w:rFonts w:hint="default" w:ascii="Times New Roman" w:hAnsi="Times New Roman" w:eastAsia="仿宋_GB2312" w:cs="Times New Roman"/>
          <w:b w:val="0"/>
          <w:bCs w:val="0"/>
          <w:color w:val="auto"/>
          <w:sz w:val="32"/>
          <w:szCs w:val="32"/>
          <w:lang w:eastAsia="zh-CN"/>
        </w:rPr>
        <w:t>。该工程</w:t>
      </w:r>
      <w:r>
        <w:rPr>
          <w:rFonts w:hint="default" w:ascii="Times New Roman" w:hAnsi="Times New Roman" w:eastAsia="仿宋_GB2312" w:cs="Times New Roman"/>
          <w:color w:val="auto"/>
          <w:sz w:val="32"/>
          <w:szCs w:val="32"/>
        </w:rPr>
        <w:t>在现有厂区内预留区域</w:t>
      </w:r>
      <w:r>
        <w:rPr>
          <w:rFonts w:hint="default" w:ascii="Times New Roman" w:hAnsi="Times New Roman" w:eastAsia="仿宋_GB2312" w:cs="Times New Roman"/>
          <w:b w:val="0"/>
          <w:bCs w:val="0"/>
          <w:color w:val="auto"/>
          <w:sz w:val="32"/>
          <w:szCs w:val="32"/>
          <w:lang w:eastAsia="zh-CN"/>
        </w:rPr>
        <w:t>进行建设，</w:t>
      </w:r>
      <w:r>
        <w:rPr>
          <w:rFonts w:hint="default" w:ascii="Times New Roman" w:hAnsi="Times New Roman" w:eastAsia="仿宋_GB2312" w:cs="Times New Roman"/>
          <w:color w:val="auto"/>
          <w:sz w:val="32"/>
          <w:szCs w:val="32"/>
        </w:rPr>
        <w:t>不新增占地面积</w:t>
      </w:r>
      <w:r>
        <w:rPr>
          <w:rFonts w:hint="default" w:ascii="Times New Roman" w:hAnsi="Times New Roman" w:eastAsia="仿宋_GB2312" w:cs="Times New Roman"/>
          <w:color w:val="auto"/>
          <w:sz w:val="32"/>
          <w:szCs w:val="32"/>
          <w:lang w:eastAsia="zh-CN"/>
        </w:rPr>
        <w:t>；扩建后新建建筑面积20934.14</w:t>
      </w:r>
      <w:r>
        <w:rPr>
          <w:rFonts w:hint="default" w:ascii="Times New Roman" w:hAnsi="Times New Roman" w:eastAsia="仿宋_GB2312" w:cs="Times New Roman"/>
          <w:b w:val="0"/>
          <w:bCs w:val="0"/>
          <w:color w:val="auto"/>
          <w:sz w:val="32"/>
          <w:szCs w:val="32"/>
          <w:lang w:eastAsia="zh-CN"/>
        </w:rPr>
        <w:t>平方米</w:t>
      </w:r>
      <w:r>
        <w:rPr>
          <w:rFonts w:hint="default" w:ascii="Times New Roman" w:hAnsi="Times New Roman" w:eastAsia="仿宋_GB2312" w:cs="Times New Roman"/>
          <w:color w:val="auto"/>
          <w:sz w:val="32"/>
          <w:szCs w:val="32"/>
          <w:lang w:eastAsia="zh-CN"/>
        </w:rPr>
        <w:t>，总建筑面积22521.37</w:t>
      </w:r>
      <w:r>
        <w:rPr>
          <w:rFonts w:hint="default" w:ascii="Times New Roman" w:hAnsi="Times New Roman" w:eastAsia="仿宋_GB2312" w:cs="Times New Roman"/>
          <w:b w:val="0"/>
          <w:bCs w:val="0"/>
          <w:color w:val="auto"/>
          <w:sz w:val="32"/>
          <w:szCs w:val="32"/>
          <w:lang w:eastAsia="zh-CN"/>
        </w:rPr>
        <w:t>平方米；</w:t>
      </w:r>
      <w:r>
        <w:rPr>
          <w:rFonts w:hint="default" w:ascii="Times New Roman" w:hAnsi="Times New Roman" w:eastAsia="仿宋_GB2312" w:cs="Times New Roman"/>
          <w:color w:val="auto"/>
          <w:sz w:val="32"/>
          <w:szCs w:val="32"/>
        </w:rPr>
        <w:t>主要</w:t>
      </w:r>
      <w:r>
        <w:rPr>
          <w:rFonts w:hint="default" w:ascii="Times New Roman" w:hAnsi="Times New Roman" w:eastAsia="仿宋_GB2312" w:cs="Times New Roman"/>
          <w:color w:val="auto"/>
          <w:sz w:val="32"/>
          <w:szCs w:val="32"/>
          <w:lang w:val="en-US" w:eastAsia="zh-CN"/>
        </w:rPr>
        <w:t>建设</w:t>
      </w:r>
      <w:r>
        <w:rPr>
          <w:rFonts w:hint="default" w:ascii="Times New Roman" w:hAnsi="Times New Roman" w:eastAsia="仿宋_GB2312" w:cs="Times New Roman"/>
          <w:color w:val="auto"/>
          <w:sz w:val="32"/>
          <w:szCs w:val="32"/>
        </w:rPr>
        <w:t>内容包括：新建15万</w:t>
      </w:r>
      <w:r>
        <w:rPr>
          <w:rFonts w:hint="default" w:ascii="Times New Roman" w:hAnsi="Times New Roman" w:eastAsia="仿宋_GB2312" w:cs="Times New Roman"/>
          <w:color w:val="auto"/>
          <w:kern w:val="0"/>
          <w:sz w:val="32"/>
          <w:szCs w:val="32"/>
          <w:lang w:val="en-US" w:eastAsia="zh-CN"/>
        </w:rPr>
        <w:t>吨/日</w:t>
      </w:r>
      <w:r>
        <w:rPr>
          <w:rFonts w:hint="default" w:ascii="Times New Roman" w:hAnsi="Times New Roman" w:eastAsia="仿宋_GB2312" w:cs="Times New Roman"/>
          <w:color w:val="auto"/>
          <w:sz w:val="32"/>
          <w:szCs w:val="32"/>
        </w:rPr>
        <w:t>折板絮凝斜管沉淀池1座、27万</w:t>
      </w:r>
      <w:r>
        <w:rPr>
          <w:rFonts w:hint="default" w:ascii="Times New Roman" w:hAnsi="Times New Roman" w:eastAsia="仿宋_GB2312" w:cs="Times New Roman"/>
          <w:color w:val="auto"/>
          <w:kern w:val="0"/>
          <w:sz w:val="32"/>
          <w:szCs w:val="32"/>
          <w:lang w:val="en-US" w:eastAsia="zh-CN"/>
        </w:rPr>
        <w:t>吨/日</w:t>
      </w:r>
      <w:r>
        <w:rPr>
          <w:rFonts w:hint="default" w:ascii="Times New Roman" w:hAnsi="Times New Roman" w:eastAsia="仿宋_GB2312" w:cs="Times New Roman"/>
          <w:color w:val="auto"/>
          <w:sz w:val="32"/>
          <w:szCs w:val="32"/>
        </w:rPr>
        <w:t>炭砂滤池下叠清水池1座、反冲洗泵房1座、27万</w:t>
      </w:r>
      <w:r>
        <w:rPr>
          <w:rFonts w:hint="default" w:ascii="Times New Roman" w:hAnsi="Times New Roman" w:eastAsia="仿宋_GB2312" w:cs="Times New Roman"/>
          <w:color w:val="auto"/>
          <w:kern w:val="0"/>
          <w:sz w:val="32"/>
          <w:szCs w:val="32"/>
          <w:lang w:val="en-US" w:eastAsia="zh-CN"/>
        </w:rPr>
        <w:t>吨/日</w:t>
      </w:r>
      <w:r>
        <w:rPr>
          <w:rFonts w:hint="default" w:ascii="Times New Roman" w:hAnsi="Times New Roman" w:eastAsia="仿宋_GB2312" w:cs="Times New Roman"/>
          <w:color w:val="auto"/>
          <w:sz w:val="32"/>
          <w:szCs w:val="32"/>
        </w:rPr>
        <w:t>加矾加氯间下叠回用水池1座、27万</w:t>
      </w:r>
      <w:r>
        <w:rPr>
          <w:rFonts w:hint="default" w:ascii="Times New Roman" w:hAnsi="Times New Roman" w:eastAsia="仿宋_GB2312" w:cs="Times New Roman"/>
          <w:color w:val="auto"/>
          <w:kern w:val="0"/>
          <w:sz w:val="32"/>
          <w:szCs w:val="32"/>
          <w:lang w:val="en-US" w:eastAsia="zh-CN"/>
        </w:rPr>
        <w:t>吨/日</w:t>
      </w:r>
      <w:r>
        <w:rPr>
          <w:rFonts w:hint="default" w:ascii="Times New Roman" w:hAnsi="Times New Roman" w:eastAsia="仿宋_GB2312" w:cs="Times New Roman"/>
          <w:color w:val="auto"/>
          <w:sz w:val="32"/>
          <w:szCs w:val="32"/>
        </w:rPr>
        <w:t>浓缩池下叠排泥水调节池1座、27万吨/日脱水机房1座、配套管理用房1座、门卫1座，扩建二级泵房和配电间1座，厂区管线、地基处理、基坑围护以及配套电气自控等</w:t>
      </w:r>
      <w:r>
        <w:rPr>
          <w:rFonts w:hint="default" w:ascii="Times New Roman" w:hAnsi="Times New Roman" w:eastAsia="仿宋_GB2312" w:cs="Times New Roman"/>
          <w:color w:val="auto"/>
          <w:sz w:val="32"/>
          <w:szCs w:val="32"/>
          <w:lang w:val="en-US" w:eastAsia="zh-CN"/>
        </w:rPr>
        <w:t>。新增</w:t>
      </w:r>
      <w:r>
        <w:rPr>
          <w:rFonts w:hint="default" w:ascii="Times New Roman" w:hAnsi="Times New Roman" w:eastAsia="仿宋_GB2312" w:cs="Times New Roman"/>
          <w:b w:val="0"/>
          <w:bCs w:val="0"/>
          <w:color w:val="auto"/>
          <w:sz w:val="32"/>
          <w:szCs w:val="32"/>
          <w:lang w:eastAsia="zh-CN"/>
        </w:rPr>
        <w:t>员工</w:t>
      </w:r>
      <w:r>
        <w:rPr>
          <w:rFonts w:hint="eastAsia" w:eastAsia="仿宋_GB2312" w:cs="Times New Roman"/>
          <w:b w:val="0"/>
          <w:bCs w:val="0"/>
          <w:color w:val="auto"/>
          <w:sz w:val="32"/>
          <w:szCs w:val="32"/>
          <w:lang w:val="en-US" w:eastAsia="zh-CN"/>
        </w:rPr>
        <w:t>10</w:t>
      </w:r>
      <w:r>
        <w:rPr>
          <w:rFonts w:hint="default" w:ascii="Times New Roman" w:hAnsi="Times New Roman" w:eastAsia="仿宋_GB2312" w:cs="Times New Roman"/>
          <w:b w:val="0"/>
          <w:bCs w:val="0"/>
          <w:color w:val="auto"/>
          <w:sz w:val="32"/>
          <w:szCs w:val="32"/>
          <w:lang w:eastAsia="zh-CN"/>
        </w:rPr>
        <w:t>名，内部不安排食宿</w:t>
      </w:r>
      <w:r>
        <w:rPr>
          <w:rFonts w:hint="default" w:ascii="Times New Roman" w:hAnsi="Times New Roman" w:eastAsia="仿宋_GB2312" w:cs="Times New Roman"/>
          <w:b w:val="0"/>
          <w:bCs w:val="0"/>
          <w:color w:val="auto"/>
          <w:kern w:val="0"/>
          <w:sz w:val="32"/>
          <w:szCs w:val="32"/>
          <w:lang w:val="en-US" w:eastAsia="zh-CN"/>
        </w:rPr>
        <w:t>。</w:t>
      </w:r>
    </w:p>
    <w:p w14:paraId="5C2CA834">
      <w:pPr>
        <w:keepNext w:val="0"/>
        <w:keepLines w:val="0"/>
        <w:pageBreakBefore w:val="0"/>
        <w:widowControl w:val="0"/>
        <w:kinsoku/>
        <w:wordWrap/>
        <w:overflowPunct/>
        <w:topLinePunct w:val="0"/>
        <w:bidi w:val="0"/>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报告表</w:t>
      </w:r>
      <w:r>
        <w:rPr>
          <w:rFonts w:hint="default" w:ascii="Times New Roman" w:hAnsi="Times New Roman" w:eastAsia="仿宋_GB2312" w:cs="Times New Roman"/>
          <w:b w:val="0"/>
          <w:bCs w:val="0"/>
          <w:color w:val="auto"/>
          <w:sz w:val="32"/>
          <w:szCs w:val="32"/>
        </w:rPr>
        <w:t>》评价结论认为，在全面落实《</w:t>
      </w:r>
      <w:r>
        <w:rPr>
          <w:rFonts w:hint="default" w:ascii="Times New Roman" w:hAnsi="Times New Roman" w:eastAsia="仿宋_GB2312" w:cs="Times New Roman"/>
          <w:b w:val="0"/>
          <w:bCs w:val="0"/>
          <w:color w:val="auto"/>
          <w:sz w:val="32"/>
          <w:szCs w:val="32"/>
          <w:lang w:eastAsia="zh-CN"/>
        </w:rPr>
        <w:t>报告表</w:t>
      </w:r>
      <w:r>
        <w:rPr>
          <w:rFonts w:hint="default" w:ascii="Times New Roman" w:hAnsi="Times New Roman" w:eastAsia="仿宋_GB2312" w:cs="Times New Roman"/>
          <w:b w:val="0"/>
          <w:bCs w:val="0"/>
          <w:color w:val="auto"/>
          <w:sz w:val="32"/>
          <w:szCs w:val="32"/>
        </w:rPr>
        <w:t>》提出的各项</w:t>
      </w:r>
      <w:r>
        <w:rPr>
          <w:rFonts w:hint="default" w:ascii="Times New Roman" w:hAnsi="Times New Roman" w:eastAsia="仿宋_GB2312" w:cs="Times New Roman"/>
          <w:b w:val="0"/>
          <w:bCs w:val="0"/>
          <w:color w:val="auto"/>
          <w:sz w:val="32"/>
          <w:szCs w:val="32"/>
          <w:lang w:eastAsia="zh-CN"/>
        </w:rPr>
        <w:t>生态</w:t>
      </w:r>
      <w:r>
        <w:rPr>
          <w:rFonts w:hint="default" w:ascii="Times New Roman" w:hAnsi="Times New Roman" w:eastAsia="仿宋_GB2312" w:cs="Times New Roman"/>
          <w:b w:val="0"/>
          <w:bCs w:val="0"/>
          <w:color w:val="auto"/>
          <w:sz w:val="32"/>
          <w:szCs w:val="32"/>
        </w:rPr>
        <w:t>环境保护措施和环境风险防范措施的前提下，</w:t>
      </w:r>
      <w:r>
        <w:rPr>
          <w:rFonts w:hint="default" w:ascii="Times New Roman" w:hAnsi="Times New Roman" w:eastAsia="仿宋_GB2312" w:cs="Times New Roman"/>
          <w:b w:val="0"/>
          <w:bCs w:val="0"/>
          <w:color w:val="auto"/>
          <w:sz w:val="32"/>
          <w:szCs w:val="32"/>
          <w:lang w:eastAsia="zh-CN"/>
        </w:rPr>
        <w:t>该工程</w:t>
      </w:r>
      <w:r>
        <w:rPr>
          <w:rFonts w:hint="default" w:ascii="Times New Roman" w:hAnsi="Times New Roman" w:eastAsia="仿宋_GB2312" w:cs="Times New Roman"/>
          <w:b w:val="0"/>
          <w:bCs w:val="0"/>
          <w:color w:val="auto"/>
          <w:sz w:val="32"/>
          <w:szCs w:val="32"/>
        </w:rPr>
        <w:t>建设和运行过程中产生的不良环境影响能够得到有效控制，从环境保护角度，项目建设可行。经审查，我局同意《</w:t>
      </w:r>
      <w:r>
        <w:rPr>
          <w:rFonts w:hint="default" w:ascii="Times New Roman" w:hAnsi="Times New Roman" w:eastAsia="仿宋_GB2312" w:cs="Times New Roman"/>
          <w:b w:val="0"/>
          <w:bCs w:val="0"/>
          <w:color w:val="auto"/>
          <w:sz w:val="32"/>
          <w:szCs w:val="32"/>
          <w:lang w:eastAsia="zh-CN"/>
        </w:rPr>
        <w:t>报告表</w:t>
      </w:r>
      <w:r>
        <w:rPr>
          <w:rFonts w:hint="default" w:ascii="Times New Roman" w:hAnsi="Times New Roman" w:eastAsia="仿宋_GB2312" w:cs="Times New Roman"/>
          <w:b w:val="0"/>
          <w:bCs w:val="0"/>
          <w:color w:val="auto"/>
          <w:sz w:val="32"/>
          <w:szCs w:val="32"/>
        </w:rPr>
        <w:t xml:space="preserve">》的评价结论。 </w:t>
      </w:r>
    </w:p>
    <w:p w14:paraId="5C769E33">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二、在项目建设和运营过程中，应认真落实《</w:t>
      </w:r>
      <w:r>
        <w:rPr>
          <w:rFonts w:hint="default" w:ascii="Times New Roman" w:hAnsi="Times New Roman" w:eastAsia="仿宋_GB2312" w:cs="Times New Roman"/>
          <w:b w:val="0"/>
          <w:bCs w:val="0"/>
          <w:color w:val="auto"/>
          <w:sz w:val="32"/>
          <w:szCs w:val="32"/>
          <w:lang w:eastAsia="zh-CN"/>
        </w:rPr>
        <w:t>报告表</w:t>
      </w:r>
      <w:r>
        <w:rPr>
          <w:rFonts w:hint="default" w:ascii="Times New Roman" w:hAnsi="Times New Roman" w:eastAsia="仿宋_GB2312" w:cs="Times New Roman"/>
          <w:b w:val="0"/>
          <w:bCs w:val="0"/>
          <w:color w:val="auto"/>
          <w:sz w:val="32"/>
          <w:szCs w:val="32"/>
        </w:rPr>
        <w:t>》提出的各项环境保护对策措施，重点做好以下工作：</w:t>
      </w:r>
    </w:p>
    <w:p w14:paraId="659B659E">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一</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color w:val="auto"/>
          <w:sz w:val="32"/>
          <w:szCs w:val="32"/>
          <w:lang w:val="en-US" w:eastAsia="zh-CN"/>
        </w:rPr>
        <w:t>扩建部分</w:t>
      </w:r>
      <w:r>
        <w:rPr>
          <w:rFonts w:hint="default" w:ascii="Times New Roman" w:hAnsi="Times New Roman" w:eastAsia="仿宋_GB2312" w:cs="Times New Roman"/>
          <w:color w:val="auto"/>
          <w:sz w:val="32"/>
          <w:szCs w:val="32"/>
          <w:lang w:eastAsia="zh-CN"/>
        </w:rPr>
        <w:t>水质化验</w:t>
      </w:r>
      <w:r>
        <w:rPr>
          <w:rFonts w:hint="default" w:ascii="Times New Roman" w:hAnsi="Times New Roman" w:eastAsia="仿宋_GB2312" w:cs="Times New Roman"/>
          <w:color w:val="auto"/>
          <w:sz w:val="32"/>
          <w:szCs w:val="32"/>
          <w:lang w:val="en-US" w:eastAsia="zh-CN"/>
        </w:rPr>
        <w:t>依托现有化学实验室进行，不增加实验次数；备用发电机等其他公用配套工程依托现有项目；扩建</w:t>
      </w:r>
      <w:r>
        <w:rPr>
          <w:rFonts w:hint="default" w:ascii="Times New Roman" w:hAnsi="Times New Roman" w:eastAsia="仿宋_GB2312" w:cs="Times New Roman"/>
          <w:strike w:val="0"/>
          <w:dstrike w:val="0"/>
          <w:color w:val="auto"/>
          <w:sz w:val="32"/>
          <w:szCs w:val="32"/>
          <w:lang w:val="en-US" w:eastAsia="zh-CN"/>
        </w:rPr>
        <w:t>项目</w:t>
      </w:r>
      <w:r>
        <w:rPr>
          <w:rFonts w:hint="default" w:ascii="Times New Roman" w:hAnsi="Times New Roman" w:eastAsia="仿宋_GB2312" w:cs="Times New Roman"/>
          <w:b w:val="0"/>
          <w:bCs w:val="0"/>
          <w:strike w:val="0"/>
          <w:dstrike w:val="0"/>
          <w:color w:val="auto"/>
          <w:sz w:val="32"/>
          <w:szCs w:val="32"/>
          <w:lang w:eastAsia="zh-CN"/>
        </w:rPr>
        <w:t>运营期</w:t>
      </w:r>
      <w:r>
        <w:rPr>
          <w:rFonts w:hint="default" w:ascii="Times New Roman" w:hAnsi="Times New Roman" w:eastAsia="仿宋_GB2312" w:cs="Times New Roman"/>
          <w:b w:val="0"/>
          <w:bCs w:val="0"/>
          <w:strike w:val="0"/>
          <w:dstrike w:val="0"/>
          <w:color w:val="auto"/>
          <w:sz w:val="32"/>
          <w:szCs w:val="32"/>
          <w:lang w:val="en-US" w:eastAsia="zh-CN"/>
        </w:rPr>
        <w:t>不增加</w:t>
      </w:r>
      <w:r>
        <w:rPr>
          <w:rFonts w:hint="default" w:ascii="Times New Roman" w:hAnsi="Times New Roman" w:eastAsia="仿宋_GB2312" w:cs="Times New Roman"/>
          <w:b w:val="0"/>
          <w:bCs w:val="0"/>
          <w:strike w:val="0"/>
          <w:dstrike w:val="0"/>
          <w:color w:val="auto"/>
          <w:sz w:val="32"/>
          <w:szCs w:val="32"/>
          <w:lang w:eastAsia="zh-CN"/>
        </w:rPr>
        <w:t>大气污染物排放</w:t>
      </w:r>
      <w:r>
        <w:rPr>
          <w:rFonts w:hint="default" w:ascii="Times New Roman" w:hAnsi="Times New Roman" w:eastAsia="仿宋_GB2312" w:cs="Times New Roman"/>
          <w:b w:val="0"/>
          <w:bCs w:val="0"/>
          <w:color w:val="auto"/>
          <w:sz w:val="32"/>
          <w:szCs w:val="32"/>
          <w:lang w:eastAsia="zh-CN"/>
        </w:rPr>
        <w:t>。</w:t>
      </w:r>
    </w:p>
    <w:p w14:paraId="322EFAD0">
      <w:pPr>
        <w:keepNext w:val="0"/>
        <w:keepLines w:val="0"/>
        <w:pageBreakBefore w:val="0"/>
        <w:widowControl w:val="0"/>
        <w:numPr>
          <w:ilvl w:val="0"/>
          <w:numId w:val="3"/>
        </w:numPr>
        <w:kinsoku/>
        <w:wordWrap/>
        <w:overflowPunct/>
        <w:topLinePunct w:val="0"/>
        <w:bidi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bookmarkStart w:id="3" w:name="OLE_LINK20"/>
      <w:r>
        <w:rPr>
          <w:rFonts w:hint="default" w:ascii="Times New Roman" w:hAnsi="Times New Roman" w:eastAsia="仿宋_GB2312" w:cs="Times New Roman"/>
          <w:b w:val="0"/>
          <w:bCs w:val="0"/>
          <w:color w:val="auto"/>
          <w:sz w:val="32"/>
          <w:szCs w:val="32"/>
        </w:rPr>
        <w:t>排</w:t>
      </w:r>
      <w:r>
        <w:rPr>
          <w:rFonts w:hint="default" w:ascii="Times New Roman" w:hAnsi="Times New Roman" w:eastAsia="仿宋_GB2312" w:cs="Times New Roman"/>
          <w:b w:val="0"/>
          <w:bCs w:val="0"/>
          <w:color w:val="auto"/>
          <w:sz w:val="32"/>
          <w:szCs w:val="32"/>
          <w:lang w:eastAsia="zh-CN"/>
        </w:rPr>
        <w:t>水系统采用雨污分流。</w:t>
      </w:r>
      <w:r>
        <w:rPr>
          <w:rFonts w:hint="default" w:ascii="Times New Roman" w:hAnsi="Times New Roman" w:eastAsia="仿宋_GB2312" w:cs="Times New Roman"/>
          <w:color w:val="auto"/>
          <w:sz w:val="32"/>
          <w:szCs w:val="32"/>
          <w:lang w:val="en-US" w:eastAsia="zh-CN"/>
        </w:rPr>
        <w:t>项目运营期的反冲洗水经加矾加氯间下叠回用水池静置沉淀后全部回用，不外排；折板絮凝斜管沉淀池产生的排泥水经一套“絮凝沉淀+泥浆浓缩+压滤脱水”的排泥水处理设施处理后上清液排入市桥水道，污泥委外处理；生活污水经三级化粪池预处理</w:t>
      </w:r>
      <w:r>
        <w:rPr>
          <w:rFonts w:hint="default" w:ascii="Times New Roman" w:hAnsi="Times New Roman" w:eastAsia="仿宋_GB2312" w:cs="Times New Roman"/>
          <w:color w:val="auto"/>
          <w:sz w:val="32"/>
          <w:szCs w:val="32"/>
        </w:rPr>
        <w:t>达标</w:t>
      </w:r>
      <w:r>
        <w:rPr>
          <w:rFonts w:hint="default" w:ascii="Times New Roman" w:hAnsi="Times New Roman" w:eastAsia="仿宋_GB2312" w:cs="Times New Roman"/>
          <w:color w:val="auto"/>
          <w:sz w:val="32"/>
          <w:szCs w:val="32"/>
          <w:lang w:val="en-US" w:eastAsia="zh-CN"/>
        </w:rPr>
        <w:t>后，接入市政污水管网送前锋净水厂集中处理。项目外排废水依托原项目污水排放口排放，全厂设置生活污水排放口1个，排泥水排放口1个。排泥水排放执行广东省《水污染物排放限值》（DB44/26-2001）第二时段一级标准；</w:t>
      </w:r>
      <w:r>
        <w:rPr>
          <w:rFonts w:hint="default" w:ascii="Times New Roman" w:hAnsi="Times New Roman" w:eastAsia="仿宋_GB2312" w:cs="Times New Roman"/>
          <w:color w:val="auto"/>
          <w:sz w:val="32"/>
          <w:szCs w:val="32"/>
        </w:rPr>
        <w:t>生活污水排放执行广东省《水污染物排放限值》（DB44/26-2001）第二时段三级标准。</w:t>
      </w:r>
      <w:r>
        <w:rPr>
          <w:rFonts w:hint="default" w:ascii="Times New Roman" w:hAnsi="Times New Roman" w:eastAsia="仿宋_GB2312" w:cs="Times New Roman"/>
          <w:color w:val="auto"/>
          <w:sz w:val="32"/>
          <w:szCs w:val="32"/>
          <w:lang w:val="en-US" w:eastAsia="zh-CN"/>
        </w:rPr>
        <w:t>新增排泥水排放量不超过1090072.5吨/年，扩建后全厂排泥水排放量不超过1962130.5吨/年；新增生活污水排放量不超过90吨/年，扩建后全厂生活污水排放量为270吨/年。</w:t>
      </w:r>
    </w:p>
    <w:bookmarkEnd w:id="3"/>
    <w:p w14:paraId="2B803086">
      <w:pPr>
        <w:keepNext w:val="0"/>
        <w:keepLines w:val="0"/>
        <w:pageBreakBefore w:val="0"/>
        <w:widowControl w:val="0"/>
        <w:kinsoku/>
        <w:wordWrap/>
        <w:overflowPunct/>
        <w:topLinePunct w:val="0"/>
        <w:bidi w:val="0"/>
        <w:spacing w:beforeLines="0" w:afterLines="0" w:line="560" w:lineRule="exact"/>
        <w:ind w:firstLine="48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（三）</w:t>
      </w:r>
      <w:r>
        <w:rPr>
          <w:rFonts w:hint="default" w:ascii="Times New Roman" w:hAnsi="Times New Roman" w:eastAsia="仿宋_GB2312" w:cs="Times New Roman"/>
          <w:color w:val="auto"/>
          <w:sz w:val="32"/>
          <w:szCs w:val="32"/>
          <w:lang w:val="en-US" w:eastAsia="zh-CN"/>
        </w:rPr>
        <w:t>项目</w:t>
      </w:r>
      <w:r>
        <w:rPr>
          <w:rFonts w:hint="default" w:ascii="Times New Roman" w:hAnsi="Times New Roman" w:eastAsia="仿宋_GB2312" w:cs="Times New Roman"/>
          <w:b w:val="0"/>
          <w:bCs w:val="0"/>
          <w:color w:val="auto"/>
          <w:sz w:val="32"/>
          <w:szCs w:val="32"/>
          <w:lang w:eastAsia="zh-CN"/>
        </w:rPr>
        <w:t>南侧厂界噪声执行《工业企业厂界环境噪声排放标准》（GB12348-2008）4类标准，其余厂界执行2类标准。</w:t>
      </w:r>
    </w:p>
    <w:p w14:paraId="1AC2DBC6">
      <w:pPr>
        <w:keepNext w:val="0"/>
        <w:keepLines w:val="0"/>
        <w:pageBreakBefore w:val="0"/>
        <w:widowControl w:val="0"/>
        <w:kinsoku/>
        <w:wordWrap/>
        <w:overflowPunct/>
        <w:topLinePunct w:val="0"/>
        <w:bidi w:val="0"/>
        <w:snapToGrid w:val="0"/>
        <w:spacing w:line="560" w:lineRule="exact"/>
        <w:ind w:firstLine="640"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val="0"/>
          <w:bCs w:val="0"/>
          <w:color w:val="auto"/>
          <w:sz w:val="32"/>
          <w:szCs w:val="32"/>
        </w:rPr>
        <w:t>（四）</w:t>
      </w:r>
      <w:bookmarkStart w:id="4" w:name="OLE_LINK16"/>
      <w:bookmarkStart w:id="5" w:name="OLE_LINK12"/>
      <w:r>
        <w:rPr>
          <w:rFonts w:hint="default" w:ascii="Times New Roman" w:hAnsi="Times New Roman" w:eastAsia="仿宋_GB2312" w:cs="Times New Roman"/>
          <w:b w:val="0"/>
          <w:bCs w:val="0"/>
          <w:color w:val="auto"/>
          <w:sz w:val="32"/>
          <w:szCs w:val="32"/>
        </w:rPr>
        <w:t>各类固体废物实行分类收集、处置</w:t>
      </w:r>
      <w:bookmarkEnd w:id="4"/>
      <w:r>
        <w:rPr>
          <w:rFonts w:hint="default" w:ascii="Times New Roman" w:hAnsi="Times New Roman" w:eastAsia="仿宋_GB2312" w:cs="Times New Roman"/>
          <w:b w:val="0"/>
          <w:bCs w:val="0"/>
          <w:color w:val="auto"/>
          <w:sz w:val="32"/>
          <w:szCs w:val="32"/>
        </w:rPr>
        <w:t>。固体废物</w:t>
      </w:r>
      <w:r>
        <w:rPr>
          <w:rFonts w:hint="default" w:ascii="Times New Roman" w:hAnsi="Times New Roman" w:eastAsia="仿宋_GB2312" w:cs="Times New Roman"/>
          <w:b w:val="0"/>
          <w:bCs w:val="0"/>
          <w:color w:val="auto"/>
          <w:sz w:val="32"/>
          <w:szCs w:val="32"/>
          <w:lang w:eastAsia="zh-CN"/>
        </w:rPr>
        <w:t>的贮存、堆放应按</w:t>
      </w:r>
      <w:r>
        <w:rPr>
          <w:rFonts w:hint="default" w:ascii="Times New Roman" w:hAnsi="Times New Roman" w:eastAsia="仿宋_GB2312" w:cs="Times New Roman"/>
          <w:b w:val="0"/>
          <w:bCs w:val="0"/>
          <w:color w:val="auto"/>
          <w:sz w:val="32"/>
          <w:szCs w:val="32"/>
        </w:rPr>
        <w:t>《危险废物贮存污染控制标准》（GB18597-20</w:t>
      </w:r>
      <w:r>
        <w:rPr>
          <w:rFonts w:hint="default" w:ascii="Times New Roman" w:hAnsi="Times New Roman" w:eastAsia="仿宋_GB2312" w:cs="Times New Roman"/>
          <w:b w:val="0"/>
          <w:bCs w:val="0"/>
          <w:color w:val="auto"/>
          <w:sz w:val="32"/>
          <w:szCs w:val="32"/>
          <w:lang w:val="en-US" w:eastAsia="zh-CN"/>
        </w:rPr>
        <w:t>23</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《一般工业固体废物贮存和填埋污染控制标准》(GB 18599-2020)</w:t>
      </w:r>
      <w:r>
        <w:rPr>
          <w:rFonts w:hint="default" w:ascii="Times New Roman" w:hAnsi="Times New Roman" w:eastAsia="仿宋_GB2312" w:cs="Times New Roman"/>
          <w:b w:val="0"/>
          <w:bCs w:val="0"/>
          <w:color w:val="auto"/>
          <w:sz w:val="32"/>
          <w:szCs w:val="32"/>
          <w:lang w:eastAsia="zh-CN"/>
        </w:rPr>
        <w:t>要求</w:t>
      </w:r>
      <w:r>
        <w:rPr>
          <w:rFonts w:hint="default" w:ascii="Times New Roman" w:hAnsi="Times New Roman" w:eastAsia="仿宋_GB2312" w:cs="Times New Roman"/>
          <w:b w:val="0"/>
          <w:bCs w:val="0"/>
          <w:color w:val="auto"/>
          <w:sz w:val="32"/>
          <w:szCs w:val="32"/>
        </w:rPr>
        <w:t>进行管理。</w:t>
      </w:r>
      <w:r>
        <w:rPr>
          <w:rFonts w:hint="default" w:ascii="Times New Roman" w:hAnsi="Times New Roman" w:eastAsia="仿宋_GB2312" w:cs="Times New Roman"/>
          <w:b w:val="0"/>
          <w:bCs w:val="0"/>
          <w:color w:val="auto"/>
          <w:sz w:val="32"/>
          <w:szCs w:val="32"/>
          <w:lang w:eastAsia="zh-CN"/>
        </w:rPr>
        <w:t>危险废物应委托有资质的单位处置。</w:t>
      </w:r>
    </w:p>
    <w:bookmarkEnd w:id="5"/>
    <w:p w14:paraId="1951DBBF">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五</w:t>
      </w:r>
      <w:r>
        <w:rPr>
          <w:rFonts w:hint="default" w:ascii="Times New Roman" w:hAnsi="Times New Roman" w:eastAsia="仿宋_GB2312" w:cs="Times New Roman"/>
          <w:b w:val="0"/>
          <w:bCs w:val="0"/>
          <w:color w:val="auto"/>
          <w:sz w:val="32"/>
          <w:szCs w:val="32"/>
        </w:rPr>
        <w:t>）加强环境风险防范和应急工作</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建立健全环境事故应急体系，落实各项环境风险防范与应急措施，确保</w:t>
      </w:r>
      <w:r>
        <w:rPr>
          <w:rFonts w:hint="default" w:ascii="Times New Roman" w:hAnsi="Times New Roman" w:eastAsia="仿宋_GB2312" w:cs="Times New Roman"/>
          <w:b w:val="0"/>
          <w:bCs w:val="0"/>
          <w:color w:val="auto"/>
          <w:sz w:val="32"/>
          <w:szCs w:val="32"/>
          <w:lang w:eastAsia="zh-CN"/>
        </w:rPr>
        <w:t>生态</w:t>
      </w:r>
      <w:r>
        <w:rPr>
          <w:rFonts w:hint="default" w:ascii="Times New Roman" w:hAnsi="Times New Roman" w:eastAsia="仿宋_GB2312" w:cs="Times New Roman"/>
          <w:b w:val="0"/>
          <w:bCs w:val="0"/>
          <w:color w:val="auto"/>
          <w:sz w:val="32"/>
          <w:szCs w:val="32"/>
        </w:rPr>
        <w:t>环境安全。</w:t>
      </w:r>
    </w:p>
    <w:p w14:paraId="63449336">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（六）</w:t>
      </w:r>
      <w:r>
        <w:rPr>
          <w:rFonts w:hint="default" w:ascii="Times New Roman" w:hAnsi="Times New Roman" w:eastAsia="仿宋_GB2312" w:cs="Times New Roman"/>
          <w:b w:val="0"/>
          <w:bCs w:val="0"/>
          <w:color w:val="auto"/>
          <w:sz w:val="32"/>
          <w:szCs w:val="32"/>
        </w:rPr>
        <w:t>加强运营期</w:t>
      </w:r>
      <w:r>
        <w:rPr>
          <w:rFonts w:hint="default" w:ascii="Times New Roman" w:hAnsi="Times New Roman" w:eastAsia="仿宋_GB2312" w:cs="Times New Roman"/>
          <w:b w:val="0"/>
          <w:bCs w:val="0"/>
          <w:color w:val="auto"/>
          <w:sz w:val="32"/>
          <w:szCs w:val="32"/>
          <w:lang w:eastAsia="zh-CN"/>
        </w:rPr>
        <w:t>环境保护</w:t>
      </w:r>
      <w:r>
        <w:rPr>
          <w:rFonts w:hint="default" w:ascii="Times New Roman" w:hAnsi="Times New Roman" w:eastAsia="仿宋_GB2312" w:cs="Times New Roman"/>
          <w:b w:val="0"/>
          <w:bCs w:val="0"/>
          <w:color w:val="auto"/>
          <w:sz w:val="32"/>
          <w:szCs w:val="32"/>
        </w:rPr>
        <w:t>管理，</w:t>
      </w:r>
      <w:r>
        <w:rPr>
          <w:rFonts w:hint="default" w:ascii="Times New Roman" w:hAnsi="Times New Roman" w:eastAsia="仿宋_GB2312" w:cs="Times New Roman"/>
          <w:b w:val="0"/>
          <w:bCs w:val="0"/>
          <w:color w:val="auto"/>
          <w:sz w:val="32"/>
          <w:szCs w:val="32"/>
          <w:lang w:eastAsia="zh-CN"/>
        </w:rPr>
        <w:t>确保各项污染物稳定达标排放，并</w:t>
      </w:r>
      <w:bookmarkStart w:id="6" w:name="OLE_LINK15"/>
      <w:r>
        <w:rPr>
          <w:rFonts w:hint="default" w:ascii="Times New Roman" w:hAnsi="Times New Roman" w:eastAsia="仿宋_GB2312" w:cs="Times New Roman"/>
          <w:b w:val="0"/>
          <w:bCs w:val="0"/>
          <w:color w:val="auto"/>
          <w:sz w:val="32"/>
          <w:szCs w:val="32"/>
          <w:lang w:eastAsia="zh-CN"/>
        </w:rPr>
        <w:t>按规定</w:t>
      </w:r>
      <w:r>
        <w:rPr>
          <w:rFonts w:hint="default" w:ascii="Times New Roman" w:hAnsi="Times New Roman" w:eastAsia="仿宋_GB2312" w:cs="Times New Roman"/>
          <w:b w:val="0"/>
          <w:bCs w:val="0"/>
          <w:color w:val="auto"/>
          <w:kern w:val="0"/>
          <w:sz w:val="32"/>
          <w:szCs w:val="32"/>
        </w:rPr>
        <w:t>做好污染物排放</w:t>
      </w:r>
      <w:r>
        <w:rPr>
          <w:rFonts w:hint="default" w:ascii="Times New Roman" w:hAnsi="Times New Roman" w:eastAsia="仿宋_GB2312" w:cs="Times New Roman"/>
          <w:b w:val="0"/>
          <w:bCs w:val="0"/>
          <w:color w:val="auto"/>
          <w:kern w:val="0"/>
          <w:sz w:val="32"/>
          <w:szCs w:val="32"/>
          <w:lang w:eastAsia="zh-CN"/>
        </w:rPr>
        <w:t>的自行</w:t>
      </w:r>
      <w:r>
        <w:rPr>
          <w:rFonts w:hint="default" w:ascii="Times New Roman" w:hAnsi="Times New Roman" w:eastAsia="仿宋_GB2312" w:cs="Times New Roman"/>
          <w:b w:val="0"/>
          <w:bCs w:val="0"/>
          <w:color w:val="auto"/>
          <w:kern w:val="0"/>
          <w:sz w:val="32"/>
          <w:szCs w:val="32"/>
        </w:rPr>
        <w:t>监测</w:t>
      </w:r>
      <w:r>
        <w:rPr>
          <w:rFonts w:hint="default" w:ascii="Times New Roman" w:hAnsi="Times New Roman" w:eastAsia="仿宋_GB2312" w:cs="Times New Roman"/>
          <w:b w:val="0"/>
          <w:bCs w:val="0"/>
          <w:color w:val="auto"/>
          <w:kern w:val="0"/>
          <w:sz w:val="32"/>
          <w:szCs w:val="32"/>
          <w:lang w:eastAsia="zh-CN"/>
        </w:rPr>
        <w:t>及信息公开工作</w:t>
      </w:r>
      <w:bookmarkEnd w:id="6"/>
      <w:r>
        <w:rPr>
          <w:rFonts w:hint="default" w:ascii="Times New Roman" w:hAnsi="Times New Roman" w:eastAsia="仿宋_GB2312" w:cs="Times New Roman"/>
          <w:b w:val="0"/>
          <w:bCs w:val="0"/>
          <w:color w:val="auto"/>
          <w:kern w:val="0"/>
          <w:sz w:val="32"/>
          <w:szCs w:val="32"/>
        </w:rPr>
        <w:t>。</w:t>
      </w:r>
    </w:p>
    <w:p w14:paraId="49166F5B">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sz w:val="32"/>
          <w:szCs w:val="32"/>
        </w:rPr>
        <w:t>（七）该项目建成后新增污染物排放总量控制指标如下：</w:t>
      </w:r>
      <w:r>
        <w:rPr>
          <w:rFonts w:hint="default" w:ascii="Times New Roman" w:hAnsi="Times New Roman" w:eastAsia="仿宋_GB2312" w:cs="Times New Roman"/>
          <w:b w:val="0"/>
          <w:bCs w:val="0"/>
          <w:sz w:val="32"/>
          <w:szCs w:val="32"/>
          <w:lang w:eastAsia="zh-CN"/>
        </w:rPr>
        <w:t>化学需氧量</w:t>
      </w:r>
      <w:r>
        <w:rPr>
          <w:rFonts w:hint="default" w:ascii="Times New Roman" w:hAnsi="Times New Roman" w:eastAsia="仿宋_GB2312" w:cs="Times New Roman"/>
          <w:sz w:val="32"/>
          <w:szCs w:val="32"/>
        </w:rPr>
        <w:t>20.0137</w:t>
      </w:r>
      <w:r>
        <w:rPr>
          <w:rFonts w:hint="default" w:ascii="Times New Roman" w:hAnsi="Times New Roman" w:eastAsia="仿宋_GB2312" w:cs="Times New Roman"/>
          <w:b w:val="0"/>
          <w:bCs w:val="0"/>
          <w:sz w:val="32"/>
          <w:szCs w:val="32"/>
        </w:rPr>
        <w:t>吨/年、氨氮</w:t>
      </w:r>
      <w:r>
        <w:rPr>
          <w:rFonts w:hint="default" w:ascii="Times New Roman" w:hAnsi="Times New Roman" w:eastAsia="仿宋_GB2312" w:cs="Times New Roman"/>
          <w:sz w:val="32"/>
          <w:szCs w:val="32"/>
        </w:rPr>
        <w:t>0.2355</w:t>
      </w:r>
      <w:r>
        <w:rPr>
          <w:rFonts w:hint="default" w:ascii="Times New Roman" w:hAnsi="Times New Roman" w:eastAsia="仿宋_GB2312" w:cs="Times New Roman"/>
          <w:b w:val="0"/>
          <w:bCs w:val="0"/>
          <w:sz w:val="32"/>
          <w:szCs w:val="32"/>
        </w:rPr>
        <w:t>吨/年。该项目应实施</w:t>
      </w:r>
      <w:r>
        <w:rPr>
          <w:rFonts w:hint="default" w:ascii="Times New Roman" w:hAnsi="Times New Roman" w:eastAsia="仿宋_GB2312" w:cs="Times New Roman"/>
          <w:b w:val="0"/>
          <w:bCs w:val="0"/>
          <w:sz w:val="32"/>
          <w:szCs w:val="32"/>
          <w:lang w:eastAsia="zh-CN"/>
        </w:rPr>
        <w:t>化学需氧量</w:t>
      </w:r>
      <w:r>
        <w:rPr>
          <w:rFonts w:hint="default" w:ascii="Times New Roman" w:hAnsi="Times New Roman" w:eastAsia="仿宋_GB2312" w:cs="Times New Roman"/>
          <w:b w:val="0"/>
          <w:bCs w:val="0"/>
          <w:sz w:val="32"/>
          <w:szCs w:val="32"/>
        </w:rPr>
        <w:t>、氨氮</w:t>
      </w:r>
      <w:r>
        <w:rPr>
          <w:rFonts w:hint="default" w:ascii="Times New Roman" w:hAnsi="Times New Roman" w:eastAsia="仿宋_GB2312" w:cs="Times New Roman"/>
          <w:b w:val="0"/>
          <w:bCs w:val="0"/>
          <w:color w:val="auto"/>
          <w:sz w:val="32"/>
          <w:szCs w:val="32"/>
          <w:lang w:val="en-US" w:eastAsia="zh-CN"/>
        </w:rPr>
        <w:t>等</w:t>
      </w:r>
      <w:r>
        <w:rPr>
          <w:rFonts w:hint="default" w:ascii="Times New Roman" w:hAnsi="Times New Roman" w:eastAsia="仿宋_GB2312" w:cs="Times New Roman"/>
          <w:b w:val="0"/>
          <w:bCs w:val="0"/>
          <w:color w:val="auto"/>
          <w:sz w:val="32"/>
          <w:szCs w:val="32"/>
          <w:lang w:eastAsia="zh-CN"/>
        </w:rPr>
        <w:t>量</w:t>
      </w:r>
      <w:r>
        <w:rPr>
          <w:rFonts w:hint="default" w:ascii="Times New Roman" w:hAnsi="Times New Roman" w:eastAsia="仿宋_GB2312" w:cs="Times New Roman"/>
          <w:b w:val="0"/>
          <w:bCs w:val="0"/>
          <w:sz w:val="32"/>
          <w:szCs w:val="32"/>
        </w:rPr>
        <w:t>替代，所需替代指标</w:t>
      </w:r>
      <w:r>
        <w:rPr>
          <w:rFonts w:hint="default" w:ascii="Times New Roman" w:hAnsi="Times New Roman" w:eastAsia="仿宋_GB2312" w:cs="Times New Roman"/>
          <w:b w:val="0"/>
          <w:bCs w:val="0"/>
          <w:sz w:val="32"/>
          <w:szCs w:val="32"/>
          <w:lang w:eastAsia="zh-CN"/>
        </w:rPr>
        <w:t>化学需氧量</w:t>
      </w:r>
      <w:r>
        <w:rPr>
          <w:rFonts w:hint="default" w:ascii="Times New Roman" w:hAnsi="Times New Roman" w:eastAsia="仿宋_GB2312" w:cs="Times New Roman"/>
          <w:sz w:val="32"/>
          <w:szCs w:val="32"/>
        </w:rPr>
        <w:t>20.0137</w:t>
      </w:r>
      <w:r>
        <w:rPr>
          <w:rFonts w:hint="default" w:ascii="Times New Roman" w:hAnsi="Times New Roman" w:eastAsia="仿宋_GB2312" w:cs="Times New Roman"/>
          <w:b w:val="0"/>
          <w:bCs w:val="0"/>
          <w:color w:val="auto"/>
          <w:sz w:val="32"/>
          <w:szCs w:val="32"/>
        </w:rPr>
        <w:t>吨/年</w:t>
      </w:r>
      <w:r>
        <w:rPr>
          <w:rFonts w:hint="default" w:ascii="Times New Roman" w:hAnsi="Times New Roman" w:eastAsia="仿宋_GB2312" w:cs="Times New Roman"/>
          <w:b w:val="0"/>
          <w:bCs w:val="0"/>
          <w:sz w:val="32"/>
          <w:szCs w:val="32"/>
        </w:rPr>
        <w:t>、氨氮</w:t>
      </w:r>
      <w:r>
        <w:rPr>
          <w:rFonts w:hint="default" w:ascii="Times New Roman" w:hAnsi="Times New Roman" w:eastAsia="仿宋_GB2312" w:cs="Times New Roman"/>
          <w:sz w:val="32"/>
          <w:szCs w:val="32"/>
        </w:rPr>
        <w:t>0.2355</w:t>
      </w:r>
      <w:r>
        <w:rPr>
          <w:rFonts w:hint="default" w:ascii="Times New Roman" w:hAnsi="Times New Roman" w:eastAsia="仿宋_GB2312" w:cs="Times New Roman"/>
          <w:b w:val="0"/>
          <w:bCs w:val="0"/>
          <w:color w:val="auto"/>
          <w:sz w:val="32"/>
          <w:szCs w:val="32"/>
        </w:rPr>
        <w:t>吨/年</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color w:val="auto"/>
          <w:sz w:val="32"/>
          <w:szCs w:val="32"/>
          <w:lang w:eastAsia="zh-CN"/>
        </w:rPr>
        <w:t>项目建成后再根据实际排放及污染物总量控制要求予以核定。</w:t>
      </w:r>
    </w:p>
    <w:p w14:paraId="02AA7101">
      <w:pPr>
        <w:keepNext w:val="0"/>
        <w:keepLines w:val="0"/>
        <w:pageBreakBefore w:val="0"/>
        <w:widowControl w:val="0"/>
        <w:kinsoku/>
        <w:wordWrap/>
        <w:overflowPunct/>
        <w:topLinePunct w:val="0"/>
        <w:autoSpaceDE/>
        <w:autoSpaceDN/>
        <w:bidi w:val="0"/>
        <w:adjustRightInd/>
        <w:snapToGrid w:val="0"/>
        <w:spacing w:beforeLines="0" w:afterLines="0" w:line="560" w:lineRule="exact"/>
        <w:ind w:firstLine="640" w:firstLineChars="200"/>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i w:val="0"/>
          <w:iCs w:val="0"/>
          <w:color w:val="auto"/>
          <w:sz w:val="32"/>
          <w:szCs w:val="32"/>
        </w:rPr>
        <w:t>（</w:t>
      </w:r>
      <w:r>
        <w:rPr>
          <w:rFonts w:hint="default" w:ascii="Times New Roman" w:hAnsi="Times New Roman" w:eastAsia="仿宋_GB2312" w:cs="Times New Roman"/>
          <w:i w:val="0"/>
          <w:iCs w:val="0"/>
          <w:color w:val="auto"/>
          <w:sz w:val="32"/>
          <w:szCs w:val="32"/>
          <w:lang w:eastAsia="zh-CN"/>
        </w:rPr>
        <w:t>八</w:t>
      </w:r>
      <w:r>
        <w:rPr>
          <w:rFonts w:hint="default" w:ascii="Times New Roman" w:hAnsi="Times New Roman" w:eastAsia="仿宋_GB2312" w:cs="Times New Roman"/>
          <w:i w:val="0"/>
          <w:iCs w:val="0"/>
          <w:color w:val="auto"/>
          <w:sz w:val="32"/>
          <w:szCs w:val="32"/>
        </w:rPr>
        <w:t>）</w:t>
      </w:r>
      <w:r>
        <w:rPr>
          <w:rFonts w:hint="default" w:ascii="Times New Roman" w:hAnsi="Times New Roman" w:eastAsia="仿宋_GB2312" w:cs="Times New Roman"/>
          <w:color w:val="auto"/>
          <w:sz w:val="32"/>
          <w:szCs w:val="32"/>
          <w:highlight w:val="none"/>
        </w:rPr>
        <w:t>项目建设</w:t>
      </w:r>
      <w:r>
        <w:rPr>
          <w:rFonts w:hint="default" w:ascii="Times New Roman" w:hAnsi="Times New Roman" w:eastAsia="仿宋_GB2312" w:cs="Times New Roman"/>
          <w:color w:val="auto"/>
          <w:sz w:val="32"/>
          <w:szCs w:val="32"/>
          <w:highlight w:val="none"/>
          <w:lang w:eastAsia="zh-CN"/>
        </w:rPr>
        <w:t>应</w:t>
      </w:r>
      <w:r>
        <w:rPr>
          <w:rFonts w:hint="default" w:ascii="Times New Roman" w:hAnsi="Times New Roman" w:eastAsia="仿宋_GB2312" w:cs="Times New Roman"/>
          <w:color w:val="auto"/>
          <w:sz w:val="32"/>
          <w:szCs w:val="32"/>
          <w:highlight w:val="none"/>
        </w:rPr>
        <w:t>符合法律、法规等要求，如涉及规划、水务、消防等</w:t>
      </w:r>
      <w:r>
        <w:rPr>
          <w:rFonts w:hint="default" w:ascii="Times New Roman" w:hAnsi="Times New Roman" w:eastAsia="仿宋_GB2312" w:cs="Times New Roman"/>
          <w:color w:val="auto"/>
          <w:sz w:val="32"/>
          <w:szCs w:val="32"/>
          <w:highlight w:val="none"/>
          <w:lang w:eastAsia="zh-CN"/>
        </w:rPr>
        <w:t>其他部门许可事项的</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须依法办理相关手续</w:t>
      </w:r>
      <w:r>
        <w:rPr>
          <w:rFonts w:hint="default" w:ascii="Times New Roman" w:hAnsi="Times New Roman" w:eastAsia="仿宋_GB2312" w:cs="Times New Roman"/>
          <w:color w:val="auto"/>
          <w:sz w:val="32"/>
          <w:szCs w:val="32"/>
          <w:highlight w:val="none"/>
        </w:rPr>
        <w:t>。</w:t>
      </w:r>
    </w:p>
    <w:p w14:paraId="4C091AE7">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三、根据《建设项目环境保护管理条例》有关规定，建设项目需要配套建设的环境保护设施，必须与主体工程同时设计、同时施工、同时投产使用。项目竣工后，你公司应当按照国家和地方规定的标准和程序，对配套建设的环境保护设施进行验收，经验收合格后方可投入使用。</w:t>
      </w:r>
    </w:p>
    <w:p w14:paraId="253C6B24">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四、如不服上述行政许可决定，可以在收到文书之日起60日内向广州市人民政府行政复议机构（地址：广州市越秀区小北路183号金和大厦2楼市政府行政复议办公室窗口，电话：020-83555988）申请行政复议；或者在收到文书之日起6个月内直接向广州铁路运输法院提起行政诉讼。申请行政复议或提起行政诉讼的，不停止本决定的执行。</w:t>
      </w:r>
    </w:p>
    <w:p w14:paraId="52204B22">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textAlignment w:val="auto"/>
        <w:rPr>
          <w:rFonts w:hint="default" w:ascii="Times New Roman" w:hAnsi="Times New Roman" w:eastAsia="仿宋_GB2312" w:cs="Times New Roman"/>
          <w:b w:val="0"/>
          <w:bCs w:val="0"/>
          <w:color w:val="auto"/>
          <w:sz w:val="32"/>
          <w:szCs w:val="32"/>
        </w:rPr>
      </w:pPr>
    </w:p>
    <w:p w14:paraId="0B381D55">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textAlignment w:val="auto"/>
        <w:rPr>
          <w:rFonts w:hint="default" w:ascii="Times New Roman" w:hAnsi="Times New Roman" w:eastAsia="仿宋_GB2312" w:cs="Times New Roman"/>
          <w:b w:val="0"/>
          <w:bCs w:val="0"/>
          <w:color w:val="auto"/>
          <w:sz w:val="32"/>
          <w:szCs w:val="32"/>
        </w:rPr>
      </w:pPr>
    </w:p>
    <w:p w14:paraId="3C8A1BB5">
      <w:pPr>
        <w:keepNext w:val="0"/>
        <w:keepLines w:val="0"/>
        <w:pageBreakBefore w:val="0"/>
        <w:widowControl w:val="0"/>
        <w:kinsoku/>
        <w:wordWrap/>
        <w:overflowPunct/>
        <w:topLinePunct w:val="0"/>
        <w:bidi w:val="0"/>
        <w:spacing w:line="590" w:lineRule="exact"/>
        <w:jc w:val="center"/>
        <w:textAlignment w:val="auto"/>
        <w:outlineLvl w:val="0"/>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 xml:space="preserve">               </w:t>
      </w:r>
      <w:r>
        <w:rPr>
          <w:rFonts w:hint="eastAsia"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仿宋_GB2312" w:cs="Times New Roman"/>
          <w:b w:val="0"/>
          <w:bCs w:val="0"/>
          <w:color w:val="auto"/>
          <w:sz w:val="32"/>
          <w:szCs w:val="32"/>
        </w:rPr>
        <w:t xml:space="preserve">        广州市生态环境局</w:t>
      </w:r>
    </w:p>
    <w:p w14:paraId="6588B29F">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202</w:t>
      </w:r>
      <w:r>
        <w:rPr>
          <w:rFonts w:hint="eastAsia" w:eastAsia="仿宋_GB2312" w:cs="Times New Roman"/>
          <w:b w:val="0"/>
          <w:bCs w:val="0"/>
          <w:color w:val="auto"/>
          <w:sz w:val="32"/>
          <w:szCs w:val="32"/>
          <w:lang w:val="en-US" w:eastAsia="zh-CN"/>
        </w:rPr>
        <w:t>5</w:t>
      </w:r>
      <w:r>
        <w:rPr>
          <w:rFonts w:hint="default" w:ascii="Times New Roman" w:hAnsi="Times New Roman" w:eastAsia="仿宋_GB2312" w:cs="Times New Roman"/>
          <w:b w:val="0"/>
          <w:bCs w:val="0"/>
          <w:color w:val="auto"/>
          <w:sz w:val="32"/>
          <w:szCs w:val="32"/>
        </w:rPr>
        <w:t>年</w:t>
      </w:r>
      <w:r>
        <w:rPr>
          <w:rFonts w:hint="eastAsia" w:eastAsia="仿宋_GB2312" w:cs="Times New Roman"/>
          <w:b w:val="0"/>
          <w:bCs w:val="0"/>
          <w:color w:val="auto"/>
          <w:sz w:val="32"/>
          <w:szCs w:val="32"/>
          <w:lang w:val="en-US" w:eastAsia="zh-CN"/>
        </w:rPr>
        <w:t>12</w:t>
      </w:r>
      <w:r>
        <w:rPr>
          <w:rFonts w:hint="default" w:ascii="Times New Roman" w:hAnsi="Times New Roman" w:eastAsia="仿宋_GB2312" w:cs="Times New Roman"/>
          <w:b w:val="0"/>
          <w:bCs w:val="0"/>
          <w:color w:val="auto"/>
          <w:sz w:val="32"/>
          <w:szCs w:val="32"/>
        </w:rPr>
        <w:t>月</w:t>
      </w:r>
      <w:r>
        <w:rPr>
          <w:rFonts w:hint="eastAsia" w:eastAsia="仿宋_GB2312" w:cs="Times New Roman"/>
          <w:b w:val="0"/>
          <w:bCs w:val="0"/>
          <w:color w:val="auto"/>
          <w:sz w:val="32"/>
          <w:szCs w:val="32"/>
          <w:lang w:val="en-US" w:eastAsia="zh-CN"/>
        </w:rPr>
        <w:t>24</w:t>
      </w:r>
      <w:bookmarkStart w:id="8" w:name="_GoBack"/>
      <w:bookmarkEnd w:id="8"/>
      <w:r>
        <w:rPr>
          <w:rFonts w:hint="default" w:ascii="Times New Roman" w:hAnsi="Times New Roman" w:eastAsia="仿宋_GB2312" w:cs="Times New Roman"/>
          <w:b w:val="0"/>
          <w:bCs w:val="0"/>
          <w:color w:val="auto"/>
          <w:sz w:val="32"/>
          <w:szCs w:val="32"/>
        </w:rPr>
        <w:t>日</w:t>
      </w:r>
    </w:p>
    <w:p w14:paraId="6CA21602">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auto"/>
          <w:sz w:val="32"/>
          <w:szCs w:val="32"/>
        </w:rPr>
      </w:pPr>
    </w:p>
    <w:p w14:paraId="17D8ACE9">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auto"/>
          <w:sz w:val="32"/>
          <w:szCs w:val="32"/>
        </w:rPr>
      </w:pPr>
    </w:p>
    <w:p w14:paraId="0265677D">
      <w:pPr>
        <w:pStyle w:val="15"/>
        <w:rPr>
          <w:rFonts w:hint="default" w:ascii="Times New Roman" w:hAnsi="Times New Roman" w:eastAsia="仿宋_GB2312" w:cs="Times New Roman"/>
          <w:b w:val="0"/>
          <w:bCs w:val="0"/>
          <w:color w:val="auto"/>
          <w:sz w:val="32"/>
          <w:szCs w:val="32"/>
        </w:rPr>
      </w:pPr>
    </w:p>
    <w:p w14:paraId="1AB9FD38">
      <w:pPr>
        <w:pStyle w:val="15"/>
        <w:rPr>
          <w:rFonts w:hint="default" w:ascii="Times New Roman" w:hAnsi="Times New Roman" w:eastAsia="仿宋_GB2312" w:cs="Times New Roman"/>
          <w:b w:val="0"/>
          <w:bCs w:val="0"/>
          <w:color w:val="auto"/>
          <w:sz w:val="32"/>
          <w:szCs w:val="32"/>
        </w:rPr>
      </w:pPr>
    </w:p>
    <w:p w14:paraId="0AF55DF6">
      <w:pPr>
        <w:pStyle w:val="15"/>
        <w:rPr>
          <w:rFonts w:hint="default" w:ascii="Times New Roman" w:hAnsi="Times New Roman" w:eastAsia="仿宋_GB2312" w:cs="Times New Roman"/>
          <w:b w:val="0"/>
          <w:bCs w:val="0"/>
          <w:color w:val="auto"/>
          <w:sz w:val="32"/>
          <w:szCs w:val="32"/>
        </w:rPr>
      </w:pPr>
    </w:p>
    <w:p w14:paraId="0468B3C0">
      <w:pPr>
        <w:pStyle w:val="15"/>
        <w:rPr>
          <w:rFonts w:hint="default" w:ascii="Times New Roman" w:hAnsi="Times New Roman" w:eastAsia="仿宋_GB2312" w:cs="Times New Roman"/>
          <w:b w:val="0"/>
          <w:bCs w:val="0"/>
          <w:color w:val="auto"/>
          <w:sz w:val="32"/>
          <w:szCs w:val="32"/>
        </w:rPr>
      </w:pPr>
    </w:p>
    <w:p w14:paraId="3B71C25A">
      <w:pPr>
        <w:keepNext w:val="0"/>
        <w:keepLines w:val="0"/>
        <w:pageBreakBefore w:val="0"/>
        <w:widowControl w:val="0"/>
        <w:kinsoku/>
        <w:wordWrap/>
        <w:overflowPunct/>
        <w:topLinePunct w:val="0"/>
        <w:bidi w:val="0"/>
        <w:spacing w:line="590" w:lineRule="exact"/>
        <w:ind w:right="838" w:rightChars="399"/>
        <w:jc w:val="both"/>
        <w:textAlignment w:val="auto"/>
        <w:rPr>
          <w:rFonts w:hint="default" w:ascii="Times New Roman" w:hAnsi="Times New Roman" w:eastAsia="仿宋_GB2312" w:cs="Times New Roman"/>
          <w:b w:val="0"/>
          <w:bCs w:val="0"/>
          <w:color w:val="auto"/>
          <w:sz w:val="32"/>
          <w:szCs w:val="32"/>
        </w:rPr>
      </w:pPr>
    </w:p>
    <w:p w14:paraId="3E88D55A">
      <w:pPr>
        <w:pStyle w:val="2"/>
        <w:rPr>
          <w:rFonts w:hint="default"/>
        </w:rPr>
      </w:pPr>
    </w:p>
    <w:p w14:paraId="272A61D5">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auto"/>
          <w:sz w:val="32"/>
          <w:szCs w:val="32"/>
        </w:rPr>
      </w:pPr>
    </w:p>
    <w:p w14:paraId="2D5B8CA8">
      <w:pPr>
        <w:keepNext w:val="0"/>
        <w:keepLines w:val="0"/>
        <w:pageBreakBefore w:val="0"/>
        <w:widowControl w:val="0"/>
        <w:kinsoku/>
        <w:wordWrap/>
        <w:overflowPunct/>
        <w:topLinePunct w:val="0"/>
        <w:autoSpaceDE/>
        <w:autoSpaceDN/>
        <w:bidi w:val="0"/>
        <w:adjustRightInd/>
        <w:spacing w:line="590" w:lineRule="exact"/>
        <w:textAlignment w:val="auto"/>
        <w:outlineLvl w:val="0"/>
        <w:rPr>
          <w:rFonts w:hint="default" w:ascii="Times New Roman" w:hAnsi="Times New Roman" w:eastAsia="仿宋_GB2312" w:cs="Times New Roman"/>
          <w:b w:val="0"/>
          <w:bCs w:val="0"/>
          <w:color w:val="auto"/>
          <w:sz w:val="32"/>
          <w:szCs w:val="32"/>
        </w:rPr>
      </w:pPr>
      <w:r>
        <w:rPr>
          <w:rFonts w:hint="eastAsia" w:ascii="黑体" w:hAnsi="黑体" w:eastAsia="黑体" w:cs="黑体"/>
          <w:b w:val="0"/>
          <w:bCs w:val="0"/>
          <w:color w:val="auto"/>
          <w:sz w:val="32"/>
          <w:szCs w:val="32"/>
        </w:rPr>
        <w:t>公开方式：</w:t>
      </w:r>
      <w:r>
        <w:rPr>
          <w:rFonts w:hint="default" w:ascii="Times New Roman" w:hAnsi="Times New Roman" w:eastAsia="仿宋_GB2312" w:cs="Times New Roman"/>
          <w:b w:val="0"/>
          <w:bCs w:val="0"/>
          <w:color w:val="auto"/>
          <w:sz w:val="32"/>
          <w:szCs w:val="32"/>
        </w:rPr>
        <w:t>主动公开</w:t>
      </w:r>
    </w:p>
    <w:p w14:paraId="71F4F48B">
      <w:pPr>
        <w:keepNext w:val="0"/>
        <w:keepLines w:val="0"/>
        <w:pageBreakBefore w:val="0"/>
        <w:widowControl w:val="0"/>
        <w:kinsoku/>
        <w:wordWrap/>
        <w:overflowPunct/>
        <w:topLinePunct w:val="0"/>
        <w:autoSpaceDE/>
        <w:autoSpaceDN/>
        <w:bidi w:val="0"/>
        <w:adjustRightInd/>
        <w:spacing w:line="590" w:lineRule="exact"/>
        <w:textAlignment w:val="auto"/>
        <w:outlineLvl w:val="0"/>
        <w:rPr>
          <w:rFonts w:hint="default" w:ascii="Times New Roman" w:hAnsi="Times New Roman" w:eastAsia="仿宋_GB2312" w:cs="Times New Roman"/>
          <w:b w:val="0"/>
          <w:bCs w:val="0"/>
          <w:color w:val="auto"/>
          <w:sz w:val="32"/>
          <w:szCs w:val="32"/>
        </w:rPr>
      </w:pPr>
    </w:p>
    <w:p w14:paraId="66DDA05D">
      <w:pPr>
        <w:keepNext w:val="0"/>
        <w:keepLines w:val="0"/>
        <w:pageBreakBefore w:val="0"/>
        <w:widowControl w:val="0"/>
        <w:kinsoku/>
        <w:wordWrap/>
        <w:overflowPunct/>
        <w:topLinePunct w:val="0"/>
        <w:autoSpaceDE/>
        <w:autoSpaceDN/>
        <w:bidi w:val="0"/>
        <w:adjustRightInd/>
        <w:snapToGrid w:val="0"/>
        <w:spacing w:line="590" w:lineRule="exact"/>
        <w:ind w:left="1119" w:leftChars="133" w:hanging="840" w:hangingChars="300"/>
        <w:jc w:val="left"/>
        <w:textAlignment w:val="auto"/>
        <w:rPr>
          <w:rFonts w:hint="eastAsia" w:ascii="华文楷体" w:hAnsi="华文楷体" w:eastAsia="华文楷体" w:cs="华文楷体"/>
          <w:b w:val="0"/>
          <w:bCs w:val="0"/>
          <w:color w:val="auto"/>
          <w:sz w:val="30"/>
          <w:szCs w:val="30"/>
          <w:lang w:val="en-US" w:eastAsia="zh-CN"/>
        </w:rPr>
      </w:pPr>
      <w:r>
        <w:rPr>
          <w:rFonts w:hint="default" w:ascii="Times New Roman" w:hAnsi="Times New Roman" w:eastAsia="仿宋_GB2312" w:cs="Times New Roman"/>
          <w:b w:val="0"/>
          <w:bCs w:val="0"/>
          <w:color w:val="auto"/>
          <w:sz w:val="28"/>
          <w:szCs w:val="28"/>
        </w:rPr>
        <w:t>抄送：广州市生态环境局番禺分局监管三科</w:t>
      </w:r>
      <w:r>
        <w:rPr>
          <w:rFonts w:hint="eastAsia" w:eastAsia="仿宋_GB2312" w:cs="Times New Roman"/>
          <w:b w:val="0"/>
          <w:bCs w:val="0"/>
          <w:color w:val="auto"/>
          <w:sz w:val="28"/>
          <w:szCs w:val="28"/>
          <w:lang w:eastAsia="zh-CN"/>
        </w:rPr>
        <w:t>、执法</w:t>
      </w:r>
      <w:r>
        <w:rPr>
          <w:rFonts w:hint="eastAsia" w:eastAsia="仿宋_GB2312" w:cs="Times New Roman"/>
          <w:b w:val="0"/>
          <w:bCs w:val="0"/>
          <w:color w:val="auto"/>
          <w:sz w:val="28"/>
          <w:szCs w:val="28"/>
          <w:lang w:val="en-US" w:eastAsia="zh-CN"/>
        </w:rPr>
        <w:t>二科、</w:t>
      </w:r>
      <w:r>
        <w:rPr>
          <w:rFonts w:hint="default" w:ascii="Times New Roman" w:hAnsi="Times New Roman" w:eastAsia="仿宋_GB2312" w:cs="Times New Roman"/>
          <w:b w:val="0"/>
          <w:bCs w:val="0"/>
          <w:color w:val="auto"/>
          <w:sz w:val="28"/>
          <w:szCs w:val="28"/>
        </w:rPr>
        <w:t>广州市生态环境局</w:t>
      </w:r>
      <w:r>
        <w:rPr>
          <w:rFonts w:hint="eastAsia" w:eastAsia="仿宋_GB2312" w:cs="Times New Roman"/>
          <w:b w:val="0"/>
          <w:bCs w:val="0"/>
          <w:color w:val="auto"/>
          <w:sz w:val="28"/>
          <w:szCs w:val="28"/>
          <w:lang w:val="en-US" w:eastAsia="zh-CN"/>
        </w:rPr>
        <w:t>番禺第四环保所</w:t>
      </w:r>
      <w:bookmarkStart w:id="7" w:name="OLE_LINK13"/>
      <w:r>
        <w:rPr>
          <w:rFonts w:hint="eastAsia" w:eastAsia="仿宋_GB2312" w:cs="Times New Roman"/>
          <w:b w:val="0"/>
          <w:bCs w:val="0"/>
          <w:color w:val="auto"/>
          <w:sz w:val="28"/>
          <w:szCs w:val="28"/>
          <w:lang w:eastAsia="zh-CN"/>
        </w:rPr>
        <w:t>、</w:t>
      </w:r>
      <w:r>
        <w:rPr>
          <w:rFonts w:hint="default" w:ascii="Times New Roman" w:hAnsi="Times New Roman" w:eastAsia="仿宋_GB2312" w:cs="Times New Roman"/>
          <w:b w:val="0"/>
          <w:bCs w:val="0"/>
          <w:color w:val="auto"/>
          <w:sz w:val="28"/>
          <w:szCs w:val="28"/>
        </w:rPr>
        <w:t>番禺技术中心，广东顺天生态环境有限公司。</w:t>
      </w:r>
      <w:bookmarkEnd w:id="0"/>
      <w:bookmarkEnd w:id="7"/>
    </w:p>
    <w:sectPr>
      <w:headerReference r:id="rId3" w:type="default"/>
      <w:footerReference r:id="rId4" w:type="default"/>
      <w:footerReference r:id="rId5" w:type="even"/>
      <w:pgSz w:w="11906" w:h="16838"/>
      <w:pgMar w:top="1701" w:right="1417" w:bottom="1417" w:left="1417" w:header="1134" w:footer="1503" w:gutter="0"/>
      <w:cols w:space="720" w:num="1"/>
      <w:titlePg/>
      <w:docGrid w:type="lines" w:linePitch="312" w:charSpace="8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0ED7C11E-6785-413F-B704-F9B8FD03A7E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60E2BB28-22C3-40D0-B371-B70E3D5E4FCA}"/>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embedRegular r:id="rId3" w:fontKey="{7ED46946-8673-4207-BBB4-A75543E9BDFB}"/>
  </w:font>
  <w:font w:name="MS Mincho">
    <w:altName w:val="仓耳舒圆体 W03"/>
    <w:panose1 w:val="02020609040205080304"/>
    <w:charset w:val="80"/>
    <w:family w:val="modern"/>
    <w:pitch w:val="default"/>
    <w:sig w:usb0="00000000" w:usb1="00000000" w:usb2="00000010" w:usb3="00000000" w:csb0="4002009F" w:csb1="DFD70000"/>
  </w:font>
  <w:font w:name="华文中宋">
    <w:panose1 w:val="02010600040101010101"/>
    <w:charset w:val="86"/>
    <w:family w:val="auto"/>
    <w:pitch w:val="default"/>
    <w:sig w:usb0="00000287" w:usb1="080F0000" w:usb2="00000000" w:usb3="00000000" w:csb0="0004009F" w:csb1="DFD70000"/>
  </w:font>
  <w:font w:name="汉鼎简书宋">
    <w:altName w:val="宋体"/>
    <w:panose1 w:val="0201060901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A00002BF" w:usb1="78CF7CFB" w:usb2="00000016" w:usb3="00000000" w:csb0="6006009F" w:csb1="DFD70000"/>
    <w:embedRegular r:id="rId4" w:fontKey="{EFAA3CC9-6C7B-4635-8895-68196512FB0D}"/>
  </w:font>
  <w:font w:name="仓耳舒圆体 W03">
    <w:panose1 w:val="02020400000000000000"/>
    <w:charset w:val="80"/>
    <w:family w:val="auto"/>
    <w:pitch w:val="default"/>
    <w:sig w:usb0="80000023" w:usb1="08C10458" w:usb2="00000012" w:usb3="00000000" w:csb0="0002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68A68">
    <w:pPr>
      <w:pStyle w:val="15"/>
      <w:framePr w:wrap="around" w:vAnchor="text" w:hAnchor="margin" w:xAlign="outside" w:y="1"/>
      <w:rPr>
        <w:rStyle w:val="24"/>
        <w:rFonts w:hint="eastAsia"/>
        <w:sz w:val="28"/>
      </w:rPr>
    </w:pPr>
    <w:r>
      <w:rPr>
        <w:rStyle w:val="24"/>
        <w:rFonts w:hint="eastAsia" w:ascii="宋体" w:hAnsi="宋体"/>
        <w:sz w:val="28"/>
      </w:rPr>
      <w:t>―</w:t>
    </w:r>
    <w:r>
      <w:rPr>
        <w:rStyle w:val="24"/>
        <w:rFonts w:hint="eastAsia"/>
        <w:sz w:val="28"/>
      </w:rPr>
      <w:t xml:space="preserve"> </w:t>
    </w:r>
    <w:r>
      <w:rPr>
        <w:rStyle w:val="24"/>
        <w:sz w:val="28"/>
      </w:rPr>
      <w:fldChar w:fldCharType="begin"/>
    </w:r>
    <w:r>
      <w:rPr>
        <w:rStyle w:val="24"/>
        <w:sz w:val="28"/>
      </w:rPr>
      <w:instrText xml:space="preserve">PAGE  </w:instrText>
    </w:r>
    <w:r>
      <w:rPr>
        <w:rStyle w:val="24"/>
        <w:sz w:val="28"/>
      </w:rPr>
      <w:fldChar w:fldCharType="separate"/>
    </w:r>
    <w:r>
      <w:rPr>
        <w:rStyle w:val="24"/>
        <w:sz w:val="28"/>
      </w:rPr>
      <w:t>2</w:t>
    </w:r>
    <w:r>
      <w:rPr>
        <w:rStyle w:val="24"/>
        <w:sz w:val="28"/>
      </w:rPr>
      <w:fldChar w:fldCharType="end"/>
    </w:r>
    <w:r>
      <w:rPr>
        <w:rStyle w:val="24"/>
        <w:rFonts w:hint="eastAsia"/>
        <w:sz w:val="28"/>
      </w:rPr>
      <w:t xml:space="preserve"> </w:t>
    </w:r>
    <w:r>
      <w:rPr>
        <w:rStyle w:val="24"/>
        <w:rFonts w:hint="eastAsia" w:ascii="宋体" w:hAnsi="宋体"/>
        <w:sz w:val="28"/>
      </w:rPr>
      <w:t>―</w:t>
    </w:r>
  </w:p>
  <w:p w14:paraId="210104FE">
    <w:pPr>
      <w:pStyle w:val="1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3707E">
    <w:pPr>
      <w:pStyle w:val="15"/>
      <w:framePr w:wrap="around" w:vAnchor="text" w:hAnchor="margin" w:xAlign="outside" w:y="1"/>
      <w:rPr>
        <w:rStyle w:val="24"/>
      </w:rPr>
    </w:pPr>
    <w:r>
      <w:rPr>
        <w:rStyle w:val="24"/>
      </w:rPr>
      <w:fldChar w:fldCharType="begin"/>
    </w:r>
    <w:r>
      <w:rPr>
        <w:rStyle w:val="24"/>
      </w:rPr>
      <w:instrText xml:space="preserve">PAGE  </w:instrText>
    </w:r>
    <w:r>
      <w:rPr>
        <w:rStyle w:val="24"/>
      </w:rPr>
      <w:fldChar w:fldCharType="end"/>
    </w:r>
  </w:p>
  <w:p w14:paraId="0C065787">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6E785">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753AF0"/>
    <w:multiLevelType w:val="multilevel"/>
    <w:tmpl w:val="C6753AF0"/>
    <w:lvl w:ilvl="0" w:tentative="0">
      <w:start w:val="1"/>
      <w:numFmt w:val="decimal"/>
      <w:suff w:val="nothing"/>
      <w:lvlText w:val="%1"/>
      <w:lvlJc w:val="left"/>
      <w:pPr>
        <w:tabs>
          <w:tab w:val="left" w:pos="0"/>
        </w:tabs>
        <w:ind w:left="432" w:hanging="432"/>
      </w:pPr>
      <w:rPr>
        <w:rFonts w:hint="default" w:ascii="Times New Roman" w:hAnsi="Times New Roman" w:eastAsia="宋体" w:cs="宋体"/>
      </w:rPr>
    </w:lvl>
    <w:lvl w:ilvl="1" w:tentative="0">
      <w:start w:val="1"/>
      <w:numFmt w:val="decimal"/>
      <w:pStyle w:val="3"/>
      <w:isLgl/>
      <w:lvlText w:val="%1.%2."/>
      <w:lvlJc w:val="left"/>
      <w:pPr>
        <w:ind w:left="575" w:hanging="575"/>
      </w:pPr>
      <w:rPr>
        <w:rFonts w:hint="eastAsia"/>
      </w:rPr>
    </w:lvl>
    <w:lvl w:ilvl="2" w:tentative="0">
      <w:start w:val="1"/>
      <w:numFmt w:val="decimal"/>
      <w:isLgl/>
      <w:suff w:val="nothing"/>
      <w:lvlText w:val="%1.%2.%3."/>
      <w:lvlJc w:val="left"/>
      <w:pPr>
        <w:tabs>
          <w:tab w:val="left" w:pos="0"/>
        </w:tabs>
        <w:ind w:left="1200" w:hanging="1200"/>
      </w:pPr>
      <w:rPr>
        <w:rFonts w:hint="eastAsia"/>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abstractNum w:abstractNumId="1">
    <w:nsid w:val="5D141AAB"/>
    <w:multiLevelType w:val="multilevel"/>
    <w:tmpl w:val="5D141AAB"/>
    <w:lvl w:ilvl="0" w:tentative="0">
      <w:start w:val="1"/>
      <w:numFmt w:val="decimal"/>
      <w:lvlText w:val="%1"/>
      <w:lvlJc w:val="left"/>
      <w:pPr>
        <w:tabs>
          <w:tab w:val="left" w:pos="432"/>
        </w:tabs>
        <w:ind w:left="432" w:hanging="432"/>
      </w:pPr>
      <w:rPr>
        <w:rFonts w:hint="eastAsia"/>
      </w:rPr>
    </w:lvl>
    <w:lvl w:ilvl="1" w:tentative="0">
      <w:start w:val="1"/>
      <w:numFmt w:val="decimal"/>
      <w:isLgl/>
      <w:lvlText w:val="%1.%2."/>
      <w:lvlJc w:val="left"/>
      <w:pPr>
        <w:tabs>
          <w:tab w:val="left" w:pos="576"/>
        </w:tabs>
        <w:ind w:left="576" w:hanging="576"/>
      </w:pPr>
      <w:rPr>
        <w:rFonts w:hint="eastAsia"/>
        <w:sz w:val="32"/>
        <w:szCs w:val="32"/>
      </w:rPr>
    </w:lvl>
    <w:lvl w:ilvl="2" w:tentative="0">
      <w:start w:val="1"/>
      <w:numFmt w:val="decimal"/>
      <w:isLgl/>
      <w:lvlText w:val="%1.%2.%3."/>
      <w:lvlJc w:val="left"/>
      <w:pPr>
        <w:tabs>
          <w:tab w:val="left" w:pos="720"/>
        </w:tabs>
        <w:ind w:left="720" w:hanging="720"/>
      </w:pPr>
      <w:rPr>
        <w:rFonts w:hint="eastAsia"/>
        <w:sz w:val="30"/>
        <w:szCs w:val="30"/>
      </w:rPr>
    </w:lvl>
    <w:lvl w:ilvl="3" w:tentative="0">
      <w:start w:val="1"/>
      <w:numFmt w:val="decimal"/>
      <w:pStyle w:val="35"/>
      <w:isLgl/>
      <w:lvlText w:val="%1.%2.%3.%4."/>
      <w:lvlJc w:val="left"/>
      <w:pPr>
        <w:tabs>
          <w:tab w:val="left" w:pos="864"/>
        </w:tabs>
        <w:ind w:left="1677"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2">
    <w:nsid w:val="6039BD14"/>
    <w:multiLevelType w:val="singleLevel"/>
    <w:tmpl w:val="6039BD14"/>
    <w:lvl w:ilvl="0" w:tentative="0">
      <w:start w:val="2"/>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896"/>
    <w:rsid w:val="000001CF"/>
    <w:rsid w:val="00026628"/>
    <w:rsid w:val="00041246"/>
    <w:rsid w:val="000C0CFE"/>
    <w:rsid w:val="000D348E"/>
    <w:rsid w:val="00126DCF"/>
    <w:rsid w:val="00192134"/>
    <w:rsid w:val="001A7002"/>
    <w:rsid w:val="001A7E25"/>
    <w:rsid w:val="001C13B6"/>
    <w:rsid w:val="00270B56"/>
    <w:rsid w:val="003B41D3"/>
    <w:rsid w:val="003D2929"/>
    <w:rsid w:val="003F52EE"/>
    <w:rsid w:val="00487AF2"/>
    <w:rsid w:val="00491F01"/>
    <w:rsid w:val="004D452A"/>
    <w:rsid w:val="004F2B80"/>
    <w:rsid w:val="00554313"/>
    <w:rsid w:val="00562512"/>
    <w:rsid w:val="00567C32"/>
    <w:rsid w:val="00595D18"/>
    <w:rsid w:val="005D2912"/>
    <w:rsid w:val="005F112D"/>
    <w:rsid w:val="006344D0"/>
    <w:rsid w:val="0063597A"/>
    <w:rsid w:val="0066536E"/>
    <w:rsid w:val="00667561"/>
    <w:rsid w:val="00677A86"/>
    <w:rsid w:val="006C0566"/>
    <w:rsid w:val="00735456"/>
    <w:rsid w:val="007953FD"/>
    <w:rsid w:val="007E3C40"/>
    <w:rsid w:val="00831320"/>
    <w:rsid w:val="00846DB3"/>
    <w:rsid w:val="009330B6"/>
    <w:rsid w:val="0097541C"/>
    <w:rsid w:val="00994641"/>
    <w:rsid w:val="009D6C7F"/>
    <w:rsid w:val="00A40126"/>
    <w:rsid w:val="00AA5976"/>
    <w:rsid w:val="00AF591F"/>
    <w:rsid w:val="00B5082A"/>
    <w:rsid w:val="00B51081"/>
    <w:rsid w:val="00B72159"/>
    <w:rsid w:val="00B84328"/>
    <w:rsid w:val="00BB3F36"/>
    <w:rsid w:val="00BD5E65"/>
    <w:rsid w:val="00BF67C2"/>
    <w:rsid w:val="00C062D9"/>
    <w:rsid w:val="00CE520B"/>
    <w:rsid w:val="00D14896"/>
    <w:rsid w:val="00D42C38"/>
    <w:rsid w:val="00D961F1"/>
    <w:rsid w:val="00DE27FA"/>
    <w:rsid w:val="00DE2C98"/>
    <w:rsid w:val="00E505ED"/>
    <w:rsid w:val="00E85BE3"/>
    <w:rsid w:val="00EC342A"/>
    <w:rsid w:val="00F161F5"/>
    <w:rsid w:val="00F970DF"/>
    <w:rsid w:val="0726573F"/>
    <w:rsid w:val="09CA1181"/>
    <w:rsid w:val="0D4F2AE5"/>
    <w:rsid w:val="0DEB5A37"/>
    <w:rsid w:val="0E640050"/>
    <w:rsid w:val="0F52122C"/>
    <w:rsid w:val="0F6F1094"/>
    <w:rsid w:val="115B4DE3"/>
    <w:rsid w:val="128379F6"/>
    <w:rsid w:val="12856FF3"/>
    <w:rsid w:val="13C979FA"/>
    <w:rsid w:val="16153CF4"/>
    <w:rsid w:val="16E3365C"/>
    <w:rsid w:val="17D84309"/>
    <w:rsid w:val="19FE60C7"/>
    <w:rsid w:val="1A1914F5"/>
    <w:rsid w:val="1B176524"/>
    <w:rsid w:val="1BED373D"/>
    <w:rsid w:val="1C663D97"/>
    <w:rsid w:val="1DE13B91"/>
    <w:rsid w:val="1E765922"/>
    <w:rsid w:val="1F0D7671"/>
    <w:rsid w:val="1FDE71AF"/>
    <w:rsid w:val="20BA50E3"/>
    <w:rsid w:val="220E557A"/>
    <w:rsid w:val="232609F0"/>
    <w:rsid w:val="23DC4632"/>
    <w:rsid w:val="252D1EE5"/>
    <w:rsid w:val="260A4701"/>
    <w:rsid w:val="269D7E97"/>
    <w:rsid w:val="27CB7E09"/>
    <w:rsid w:val="284E34A5"/>
    <w:rsid w:val="291649F7"/>
    <w:rsid w:val="291B3F52"/>
    <w:rsid w:val="29FA00EA"/>
    <w:rsid w:val="2A7501F0"/>
    <w:rsid w:val="2BFC0D17"/>
    <w:rsid w:val="2D3E219F"/>
    <w:rsid w:val="2D9B4434"/>
    <w:rsid w:val="2F502040"/>
    <w:rsid w:val="2FC737F6"/>
    <w:rsid w:val="30025200"/>
    <w:rsid w:val="30870396"/>
    <w:rsid w:val="31B62063"/>
    <w:rsid w:val="339B5615"/>
    <w:rsid w:val="340D18C0"/>
    <w:rsid w:val="35CF0225"/>
    <w:rsid w:val="368707A0"/>
    <w:rsid w:val="36E8706D"/>
    <w:rsid w:val="37FF4F0E"/>
    <w:rsid w:val="38A97D85"/>
    <w:rsid w:val="39F645B3"/>
    <w:rsid w:val="3A282EC7"/>
    <w:rsid w:val="3A53380B"/>
    <w:rsid w:val="3D957DFF"/>
    <w:rsid w:val="3DEC2F6B"/>
    <w:rsid w:val="3DFE29E0"/>
    <w:rsid w:val="402A1393"/>
    <w:rsid w:val="40EE14B1"/>
    <w:rsid w:val="41680404"/>
    <w:rsid w:val="42007882"/>
    <w:rsid w:val="42B875A4"/>
    <w:rsid w:val="438576C5"/>
    <w:rsid w:val="439F0BBE"/>
    <w:rsid w:val="43B35C66"/>
    <w:rsid w:val="461D3EE6"/>
    <w:rsid w:val="4732045C"/>
    <w:rsid w:val="476D05EC"/>
    <w:rsid w:val="483B0352"/>
    <w:rsid w:val="48BC7A7A"/>
    <w:rsid w:val="4A6E3965"/>
    <w:rsid w:val="4D037CA5"/>
    <w:rsid w:val="4D4D6CAD"/>
    <w:rsid w:val="4E0D521D"/>
    <w:rsid w:val="4E100354"/>
    <w:rsid w:val="4E102281"/>
    <w:rsid w:val="4E823E3F"/>
    <w:rsid w:val="4EC05A55"/>
    <w:rsid w:val="50775E7B"/>
    <w:rsid w:val="51463C84"/>
    <w:rsid w:val="51EC39BC"/>
    <w:rsid w:val="526D1882"/>
    <w:rsid w:val="52ED0DE3"/>
    <w:rsid w:val="54535B9B"/>
    <w:rsid w:val="56D90809"/>
    <w:rsid w:val="575E5E0B"/>
    <w:rsid w:val="576C3EC8"/>
    <w:rsid w:val="58F4010C"/>
    <w:rsid w:val="599125D0"/>
    <w:rsid w:val="59A1223B"/>
    <w:rsid w:val="5D0C3D95"/>
    <w:rsid w:val="5E175DB4"/>
    <w:rsid w:val="5E3E7416"/>
    <w:rsid w:val="5F63425D"/>
    <w:rsid w:val="633A1D77"/>
    <w:rsid w:val="63C51FC3"/>
    <w:rsid w:val="642D3FF2"/>
    <w:rsid w:val="6534300B"/>
    <w:rsid w:val="66013B47"/>
    <w:rsid w:val="670856A2"/>
    <w:rsid w:val="689D4DD3"/>
    <w:rsid w:val="690E7254"/>
    <w:rsid w:val="69271CDD"/>
    <w:rsid w:val="69FC3374"/>
    <w:rsid w:val="6ABE0F32"/>
    <w:rsid w:val="6B743DD4"/>
    <w:rsid w:val="6BB20BEF"/>
    <w:rsid w:val="6BFA5CBF"/>
    <w:rsid w:val="6C247DB6"/>
    <w:rsid w:val="6CB93980"/>
    <w:rsid w:val="6D282CEC"/>
    <w:rsid w:val="6E193FCD"/>
    <w:rsid w:val="6E273EB7"/>
    <w:rsid w:val="70EB61B4"/>
    <w:rsid w:val="719E1C2B"/>
    <w:rsid w:val="71F25EB7"/>
    <w:rsid w:val="721533D8"/>
    <w:rsid w:val="722E37CE"/>
    <w:rsid w:val="72630943"/>
    <w:rsid w:val="734F6D9E"/>
    <w:rsid w:val="75691B60"/>
    <w:rsid w:val="75B46566"/>
    <w:rsid w:val="75B66322"/>
    <w:rsid w:val="77A3353E"/>
    <w:rsid w:val="784E3B62"/>
    <w:rsid w:val="793D1A06"/>
    <w:rsid w:val="79AE53C9"/>
    <w:rsid w:val="7A1811CF"/>
    <w:rsid w:val="7AE349E1"/>
    <w:rsid w:val="7B615D46"/>
    <w:rsid w:val="7BE0008B"/>
    <w:rsid w:val="7CBDF9E3"/>
    <w:rsid w:val="7D52649A"/>
    <w:rsid w:val="7D865D8F"/>
    <w:rsid w:val="7E6D6AA6"/>
    <w:rsid w:val="7EE201BD"/>
    <w:rsid w:val="7F195567"/>
    <w:rsid w:val="D98E85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unhideWhenUsed/>
    <w:qFormat/>
    <w:uiPriority w:val="0"/>
    <w:pPr>
      <w:keepNext/>
      <w:keepLines/>
      <w:numPr>
        <w:ilvl w:val="1"/>
        <w:numId w:val="1"/>
      </w:numPr>
      <w:spacing w:before="160" w:after="160" w:line="240" w:lineRule="auto"/>
      <w:ind w:left="0" w:firstLine="0" w:firstLineChars="0"/>
      <w:outlineLvl w:val="1"/>
    </w:pPr>
    <w:rPr>
      <w:rFonts w:ascii="Times New Roman" w:hAnsi="Times New Roman" w:eastAsia="宋体" w:cs="Times New Roman"/>
      <w:b/>
      <w:bCs/>
      <w:sz w:val="30"/>
      <w:szCs w:val="32"/>
    </w:rPr>
  </w:style>
  <w:style w:type="character" w:default="1" w:styleId="21">
    <w:name w:val="Default Paragraph Font"/>
    <w:link w:val="22"/>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Body Text"/>
    <w:basedOn w:val="1"/>
    <w:link w:val="44"/>
    <w:qFormat/>
    <w:uiPriority w:val="0"/>
    <w:pPr>
      <w:autoSpaceDE w:val="0"/>
      <w:autoSpaceDN w:val="0"/>
      <w:adjustRightInd w:val="0"/>
      <w:jc w:val="center"/>
    </w:pPr>
    <w:rPr>
      <w:rFonts w:ascii="方正小标宋简体" w:hAnsi="Times New Roman" w:eastAsia="方正小标宋简体" w:cs="方正小标宋简体"/>
      <w:sz w:val="44"/>
      <w:szCs w:val="44"/>
    </w:rPr>
  </w:style>
  <w:style w:type="paragraph" w:styleId="4">
    <w:name w:val="E-mail Signature"/>
    <w:basedOn w:val="1"/>
    <w:next w:val="5"/>
    <w:qFormat/>
    <w:uiPriority w:val="0"/>
    <w:pPr>
      <w:spacing w:line="460" w:lineRule="exact"/>
      <w:ind w:firstLine="200"/>
    </w:pPr>
  </w:style>
  <w:style w:type="paragraph" w:customStyle="1" w:styleId="5">
    <w:name w:val="文章"/>
    <w:basedOn w:val="6"/>
    <w:next w:val="9"/>
    <w:qFormat/>
    <w:uiPriority w:val="0"/>
    <w:pPr>
      <w:widowControl/>
      <w:tabs>
        <w:tab w:val="left" w:pos="5180"/>
      </w:tabs>
      <w:ind w:left="0" w:firstLine="480"/>
      <w:jc w:val="center"/>
    </w:pPr>
    <w:rPr>
      <w:rFonts w:ascii="Times New Roman"/>
      <w:sz w:val="26"/>
    </w:rPr>
  </w:style>
  <w:style w:type="paragraph" w:styleId="6">
    <w:name w:val="Body Text Indent"/>
    <w:basedOn w:val="1"/>
    <w:next w:val="7"/>
    <w:qFormat/>
    <w:uiPriority w:val="0"/>
    <w:pPr>
      <w:spacing w:line="560" w:lineRule="exact"/>
      <w:ind w:firstLine="600" w:firstLineChars="200"/>
      <w:outlineLvl w:val="0"/>
    </w:pPr>
    <w:rPr>
      <w:rFonts w:ascii="仿宋_GB2312" w:eastAsia="仿宋_GB2312"/>
      <w:sz w:val="30"/>
    </w:rPr>
  </w:style>
  <w:style w:type="paragraph" w:customStyle="1" w:styleId="7">
    <w:name w:val="表格编号"/>
    <w:basedOn w:val="1"/>
    <w:next w:val="8"/>
    <w:qFormat/>
    <w:uiPriority w:val="0"/>
    <w:pPr>
      <w:spacing w:line="60" w:lineRule="atLeast"/>
      <w:jc w:val="left"/>
    </w:pPr>
    <w:rPr>
      <w:spacing w:val="10"/>
      <w:kern w:val="0"/>
      <w:szCs w:val="21"/>
    </w:rPr>
  </w:style>
  <w:style w:type="paragraph" w:customStyle="1" w:styleId="8">
    <w:name w:val="表格文字"/>
    <w:basedOn w:val="1"/>
    <w:next w:val="1"/>
    <w:qFormat/>
    <w:uiPriority w:val="0"/>
    <w:pPr>
      <w:tabs>
        <w:tab w:val="left" w:pos="-2848"/>
      </w:tabs>
      <w:spacing w:before="40" w:after="40" w:line="240" w:lineRule="atLeast"/>
      <w:jc w:val="center"/>
    </w:pPr>
    <w:rPr>
      <w:position w:val="-10"/>
      <w:sz w:val="21"/>
      <w:szCs w:val="20"/>
    </w:rPr>
  </w:style>
  <w:style w:type="paragraph" w:styleId="9">
    <w:name w:val="List"/>
    <w:basedOn w:val="1"/>
    <w:next w:val="1"/>
    <w:unhideWhenUsed/>
    <w:qFormat/>
    <w:uiPriority w:val="99"/>
    <w:pPr>
      <w:ind w:left="200" w:hanging="200" w:hangingChars="200"/>
    </w:pPr>
  </w:style>
  <w:style w:type="paragraph" w:styleId="10">
    <w:name w:val="annotation text"/>
    <w:basedOn w:val="1"/>
    <w:qFormat/>
    <w:uiPriority w:val="0"/>
    <w:pPr>
      <w:jc w:val="left"/>
    </w:pPr>
  </w:style>
  <w:style w:type="paragraph" w:styleId="11">
    <w:name w:val="Plain Text"/>
    <w:basedOn w:val="1"/>
    <w:qFormat/>
    <w:uiPriority w:val="0"/>
    <w:rPr>
      <w:rFonts w:ascii="宋体" w:hAnsi="Courier New" w:eastAsia="宋体"/>
      <w:kern w:val="2"/>
      <w:sz w:val="21"/>
      <w:lang w:val="en-US" w:eastAsia="zh-CN" w:bidi="ar-SA"/>
    </w:rPr>
  </w:style>
  <w:style w:type="paragraph" w:styleId="12">
    <w:name w:val="Date"/>
    <w:basedOn w:val="1"/>
    <w:next w:val="1"/>
    <w:qFormat/>
    <w:uiPriority w:val="0"/>
    <w:pPr>
      <w:ind w:left="100" w:leftChars="2500"/>
    </w:pPr>
    <w:rPr>
      <w:rFonts w:eastAsia="仿宋_GB2312"/>
      <w:w w:val="99"/>
      <w:sz w:val="32"/>
    </w:rPr>
  </w:style>
  <w:style w:type="paragraph" w:styleId="13">
    <w:name w:val="Body Text Indent 2"/>
    <w:basedOn w:val="1"/>
    <w:qFormat/>
    <w:uiPriority w:val="0"/>
    <w:pPr>
      <w:snapToGrid w:val="0"/>
      <w:spacing w:line="600" w:lineRule="exact"/>
      <w:ind w:firstLine="640" w:firstLineChars="200"/>
    </w:pPr>
    <w:rPr>
      <w:rFonts w:ascii="仿宋_GB2312" w:eastAsia="仿宋_GB2312"/>
      <w:color w:val="FF0000"/>
      <w:sz w:val="32"/>
      <w:szCs w:val="32"/>
    </w:rPr>
  </w:style>
  <w:style w:type="paragraph" w:styleId="14">
    <w:name w:val="Balloon Text"/>
    <w:basedOn w:val="1"/>
    <w:semiHidden/>
    <w:qFormat/>
    <w:uiPriority w:val="0"/>
    <w:rPr>
      <w:sz w:val="18"/>
      <w:szCs w:val="18"/>
    </w:rPr>
  </w:style>
  <w:style w:type="paragraph" w:styleId="15">
    <w:name w:val="footer"/>
    <w:basedOn w:val="1"/>
    <w:qFormat/>
    <w:uiPriority w:val="0"/>
    <w:pPr>
      <w:tabs>
        <w:tab w:val="center" w:pos="4153"/>
        <w:tab w:val="right" w:pos="8306"/>
      </w:tabs>
      <w:snapToGrid w:val="0"/>
      <w:jc w:val="left"/>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2"/>
    <w:basedOn w:val="1"/>
    <w:next w:val="4"/>
    <w:qFormat/>
    <w:uiPriority w:val="1"/>
    <w:pPr>
      <w:spacing w:before="8"/>
      <w:ind w:left="100"/>
    </w:pPr>
    <w:rPr>
      <w:rFonts w:ascii="宋体" w:hAnsi="宋体" w:eastAsia="宋体"/>
      <w:sz w:val="24"/>
      <w:szCs w:val="24"/>
    </w:rPr>
  </w:style>
  <w:style w:type="paragraph" w:styleId="18">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
    <w:name w:val="Char"/>
    <w:basedOn w:val="1"/>
    <w:link w:val="21"/>
    <w:qFormat/>
    <w:uiPriority w:val="0"/>
  </w:style>
  <w:style w:type="character" w:styleId="23">
    <w:name w:val="Strong"/>
    <w:basedOn w:val="21"/>
    <w:qFormat/>
    <w:uiPriority w:val="22"/>
    <w:rPr>
      <w:rFonts w:ascii="Times New Roman" w:hAnsi="Times New Roman" w:eastAsia="宋体" w:cs="Times New Roman"/>
      <w:b/>
      <w:bCs/>
    </w:rPr>
  </w:style>
  <w:style w:type="character" w:styleId="24">
    <w:name w:val="page number"/>
    <w:basedOn w:val="21"/>
    <w:qFormat/>
    <w:uiPriority w:val="0"/>
  </w:style>
  <w:style w:type="character" w:styleId="25">
    <w:name w:val="Hyperlink"/>
    <w:basedOn w:val="21"/>
    <w:qFormat/>
    <w:uiPriority w:val="0"/>
    <w:rPr>
      <w:rFonts w:ascii="Times New Roman" w:hAnsi="Times New Roman" w:eastAsia="宋体" w:cs="Times New Roman"/>
      <w:color w:val="0000FF"/>
      <w:u w:val="single"/>
    </w:rPr>
  </w:style>
  <w:style w:type="paragraph" w:customStyle="1" w:styleId="26">
    <w:name w:val="Default"/>
    <w:basedOn w:val="27"/>
    <w:next w:val="28"/>
    <w:qFormat/>
    <w:uiPriority w:val="0"/>
    <w:pPr>
      <w:widowControl w:val="0"/>
      <w:autoSpaceDE w:val="0"/>
      <w:autoSpaceDN w:val="0"/>
    </w:pPr>
    <w:rPr>
      <w:rFonts w:hint="eastAsia" w:ascii="黑体" w:hAnsi="黑体" w:eastAsia="黑体"/>
      <w:color w:val="000000"/>
      <w:sz w:val="24"/>
      <w:lang w:val="en-US" w:eastAsia="zh-CN" w:bidi="ar-SA"/>
    </w:rPr>
  </w:style>
  <w:style w:type="paragraph" w:customStyle="1" w:styleId="27">
    <w:name w:val="纯文本1"/>
    <w:basedOn w:val="1"/>
    <w:next w:val="1"/>
    <w:qFormat/>
    <w:uiPriority w:val="0"/>
    <w:pPr>
      <w:adjustRightInd w:val="0"/>
      <w:textAlignment w:val="baseline"/>
    </w:pPr>
    <w:rPr>
      <w:rFonts w:ascii="宋体" w:hAnsi="Courier New"/>
      <w:szCs w:val="20"/>
    </w:rPr>
  </w:style>
  <w:style w:type="paragraph" w:customStyle="1" w:styleId="28">
    <w:name w:val="正文文字 6"/>
    <w:basedOn w:val="29"/>
    <w:next w:val="1"/>
    <w:qFormat/>
    <w:uiPriority w:val="0"/>
    <w:pPr>
      <w:widowControl w:val="0"/>
      <w:ind w:left="240"/>
      <w:jc w:val="both"/>
    </w:pPr>
    <w:rPr>
      <w:rFonts w:ascii="宋体" w:hAnsi="Times New Roman" w:eastAsia="宋体" w:cs="Times New Roman"/>
      <w:bCs/>
      <w:kern w:val="2"/>
      <w:sz w:val="32"/>
      <w:szCs w:val="32"/>
      <w:lang w:val="en-US" w:eastAsia="zh-CN" w:bidi="ar-SA"/>
    </w:rPr>
  </w:style>
  <w:style w:type="paragraph" w:customStyle="1" w:styleId="29">
    <w:name w:val="TT标题"/>
    <w:basedOn w:val="1"/>
    <w:qFormat/>
    <w:uiPriority w:val="0"/>
    <w:pPr>
      <w:jc w:val="center"/>
    </w:pPr>
    <w:rPr>
      <w:rFonts w:cs="宋体"/>
      <w:b/>
      <w:szCs w:val="20"/>
    </w:rPr>
  </w:style>
  <w:style w:type="paragraph" w:customStyle="1" w:styleId="30">
    <w:name w:val="样式35"/>
    <w:basedOn w:val="31"/>
    <w:next w:val="37"/>
    <w:qFormat/>
    <w:uiPriority w:val="0"/>
    <w:pPr>
      <w:widowControl w:val="0"/>
      <w:tabs>
        <w:tab w:val="left" w:pos="0"/>
        <w:tab w:val="left" w:pos="360"/>
        <w:tab w:val="left" w:pos="540"/>
        <w:tab w:val="left" w:pos="567"/>
        <w:tab w:val="left" w:pos="864"/>
      </w:tabs>
      <w:spacing w:before="0" w:after="0" w:line="312" w:lineRule="auto"/>
      <w:ind w:left="0" w:firstLine="567"/>
      <w:jc w:val="both"/>
    </w:pPr>
    <w:rPr>
      <w:rFonts w:eastAsia="宋体"/>
    </w:rPr>
  </w:style>
  <w:style w:type="paragraph" w:customStyle="1" w:styleId="31">
    <w:name w:val="样式26"/>
    <w:basedOn w:val="32"/>
    <w:qFormat/>
    <w:uiPriority w:val="0"/>
    <w:pPr>
      <w:tabs>
        <w:tab w:val="left" w:pos="0"/>
        <w:tab w:val="left" w:pos="360"/>
        <w:tab w:val="left" w:pos="540"/>
        <w:tab w:val="left" w:pos="567"/>
        <w:tab w:val="left" w:pos="864"/>
      </w:tabs>
    </w:pPr>
  </w:style>
  <w:style w:type="paragraph" w:customStyle="1" w:styleId="32">
    <w:name w:val="样式21"/>
    <w:basedOn w:val="33"/>
    <w:qFormat/>
    <w:uiPriority w:val="0"/>
    <w:pPr>
      <w:tabs>
        <w:tab w:val="left" w:pos="360"/>
        <w:tab w:val="left" w:pos="567"/>
        <w:tab w:val="left" w:pos="864"/>
      </w:tabs>
      <w:spacing w:before="120" w:after="120"/>
      <w:ind w:hanging="992"/>
    </w:pPr>
  </w:style>
  <w:style w:type="paragraph" w:customStyle="1" w:styleId="33">
    <w:name w:val="样式5"/>
    <w:basedOn w:val="34"/>
    <w:qFormat/>
    <w:uiPriority w:val="0"/>
    <w:pPr>
      <w:widowControl/>
      <w:tabs>
        <w:tab w:val="left" w:pos="360"/>
        <w:tab w:val="left" w:pos="864"/>
      </w:tabs>
      <w:jc w:val="center"/>
    </w:pPr>
    <w:rPr>
      <w:rFonts w:ascii="宋体" w:hAnsi="宋体" w:cs="宋体"/>
      <w:szCs w:val="21"/>
    </w:rPr>
  </w:style>
  <w:style w:type="paragraph" w:customStyle="1" w:styleId="34">
    <w:name w:val="样式12"/>
    <w:basedOn w:val="35"/>
    <w:qFormat/>
    <w:uiPriority w:val="0"/>
    <w:pPr>
      <w:keepNext/>
      <w:keepLines/>
      <w:tabs>
        <w:tab w:val="left" w:pos="360"/>
        <w:tab w:val="left" w:pos="864"/>
      </w:tabs>
      <w:spacing w:before="156" w:beforeLines="50" w:after="156" w:afterLines="50"/>
      <w:ind w:left="567" w:hanging="567"/>
      <w:outlineLvl w:val="1"/>
    </w:pPr>
    <w:rPr>
      <w:rFonts w:eastAsia="MS Mincho"/>
      <w:kern w:val="0"/>
      <w:sz w:val="28"/>
      <w:szCs w:val="28"/>
    </w:rPr>
  </w:style>
  <w:style w:type="paragraph" w:customStyle="1" w:styleId="35">
    <w:name w:val="第2级标题"/>
    <w:basedOn w:val="3"/>
    <w:next w:val="36"/>
    <w:qFormat/>
    <w:uiPriority w:val="0"/>
    <w:pPr>
      <w:numPr>
        <w:ilvl w:val="3"/>
        <w:numId w:val="2"/>
      </w:numPr>
      <w:spacing w:before="100" w:beforeAutospacing="1" w:after="100" w:afterAutospacing="1" w:line="500" w:lineRule="exact"/>
    </w:pPr>
    <w:rPr>
      <w:rFonts w:eastAsia="华文中宋"/>
    </w:rPr>
  </w:style>
  <w:style w:type="paragraph" w:customStyle="1" w:styleId="36">
    <w:name w:val="[正文格式]"/>
    <w:basedOn w:val="1"/>
    <w:qFormat/>
    <w:uiPriority w:val="0"/>
    <w:pPr>
      <w:spacing w:line="440" w:lineRule="exact"/>
      <w:ind w:firstLine="500" w:firstLineChars="200"/>
    </w:pPr>
    <w:rPr>
      <w:rFonts w:ascii="Times New Roman" w:cs="宋体"/>
      <w:kern w:val="2"/>
      <w:sz w:val="24"/>
    </w:rPr>
  </w:style>
  <w:style w:type="paragraph" w:customStyle="1" w:styleId="37">
    <w:name w:val="font6"/>
    <w:basedOn w:val="1"/>
    <w:next w:val="17"/>
    <w:qFormat/>
    <w:uiPriority w:val="0"/>
    <w:pPr>
      <w:widowControl/>
      <w:spacing w:before="100" w:beforeAutospacing="1" w:after="100" w:afterAutospacing="1"/>
      <w:jc w:val="left"/>
    </w:pPr>
    <w:rPr>
      <w:kern w:val="0"/>
    </w:rPr>
  </w:style>
  <w:style w:type="paragraph" w:customStyle="1" w:styleId="38">
    <w:name w:val="Q-正文"/>
    <w:basedOn w:val="1"/>
    <w:next w:val="1"/>
    <w:qFormat/>
    <w:uiPriority w:val="0"/>
    <w:pPr>
      <w:ind w:firstLine="200"/>
    </w:pPr>
    <w:rPr>
      <w:rFonts w:ascii="Times New Roman" w:hAnsi="Times New Roman" w:eastAsia="宋体" w:cs="Courier New"/>
      <w:sz w:val="21"/>
      <w:szCs w:val="22"/>
    </w:rPr>
  </w:style>
  <w:style w:type="paragraph" w:customStyle="1" w:styleId="39">
    <w:name w:val="A正文-lcc"/>
    <w:basedOn w:val="1"/>
    <w:link w:val="42"/>
    <w:qFormat/>
    <w:uiPriority w:val="0"/>
    <w:pPr>
      <w:widowControl/>
      <w:spacing w:line="360" w:lineRule="auto"/>
      <w:ind w:firstLine="200" w:firstLineChars="200"/>
      <w:jc w:val="left"/>
    </w:pPr>
    <w:rPr>
      <w:rFonts w:ascii="Times New Roman" w:hAnsi="Times New Roman" w:eastAsia="宋体" w:cs="Times New Roman"/>
      <w:color w:val="000000"/>
      <w:kern w:val="0"/>
      <w:sz w:val="24"/>
      <w:szCs w:val="24"/>
    </w:rPr>
  </w:style>
  <w:style w:type="paragraph" w:customStyle="1" w:styleId="40">
    <w:name w:val="默认段落字体 Para Char"/>
    <w:basedOn w:val="1"/>
    <w:next w:val="1"/>
    <w:qFormat/>
    <w:uiPriority w:val="0"/>
    <w:pPr>
      <w:spacing w:line="360" w:lineRule="auto"/>
      <w:ind w:firstLine="200" w:firstLineChars="200"/>
    </w:pPr>
    <w:rPr>
      <w:rFonts w:ascii="宋体" w:hAnsi="宋体" w:eastAsia="汉鼎简书宋" w:cs="宋体"/>
      <w:sz w:val="24"/>
      <w:szCs w:val="24"/>
    </w:rPr>
  </w:style>
  <w:style w:type="paragraph" w:customStyle="1" w:styleId="41">
    <w:name w:val=" Char"/>
    <w:basedOn w:val="1"/>
    <w:qFormat/>
    <w:uiPriority w:val="0"/>
    <w:pPr>
      <w:spacing w:line="360" w:lineRule="auto"/>
    </w:pPr>
    <w:rPr>
      <w:rFonts w:ascii="Tahoma" w:hAnsi="Tahoma" w:eastAsia="宋体" w:cs="Times New Roman"/>
      <w:sz w:val="28"/>
      <w:szCs w:val="20"/>
    </w:rPr>
  </w:style>
  <w:style w:type="character" w:customStyle="1" w:styleId="42">
    <w:name w:val="A正文-lcc Char"/>
    <w:link w:val="39"/>
    <w:qFormat/>
    <w:uiPriority w:val="0"/>
    <w:rPr>
      <w:rFonts w:ascii="Times New Roman" w:hAnsi="Times New Roman" w:eastAsia="宋体" w:cs="Times New Roman"/>
      <w:color w:val="000000"/>
      <w:kern w:val="0"/>
      <w:sz w:val="24"/>
      <w:szCs w:val="24"/>
    </w:rPr>
  </w:style>
  <w:style w:type="character" w:customStyle="1" w:styleId="43">
    <w:name w:val="content1"/>
    <w:basedOn w:val="21"/>
    <w:qFormat/>
    <w:uiPriority w:val="0"/>
    <w:rPr>
      <w:rFonts w:ascii="Times New Roman" w:hAnsi="Times New Roman" w:eastAsia="宋体" w:cs="Times New Roman"/>
      <w:sz w:val="21"/>
      <w:szCs w:val="21"/>
    </w:rPr>
  </w:style>
  <w:style w:type="character" w:customStyle="1" w:styleId="44">
    <w:name w:val="正文文本 Char"/>
    <w:basedOn w:val="21"/>
    <w:link w:val="2"/>
    <w:semiHidden/>
    <w:qFormat/>
    <w:locked/>
    <w:uiPriority w:val="0"/>
    <w:rPr>
      <w:rFonts w:ascii="方正小标宋简体" w:hAnsi="Times New Roman" w:eastAsia="方正小标宋简体" w:cs="方正小标宋简体"/>
      <w:sz w:val="44"/>
      <w:szCs w:val="44"/>
    </w:rPr>
  </w:style>
  <w:style w:type="character" w:customStyle="1" w:styleId="45">
    <w:name w:val="样式 楷体_GB2312 黑色"/>
    <w:qFormat/>
    <w:uiPriority w:val="0"/>
    <w:rPr>
      <w:rFonts w:ascii="楷体_GB2312" w:hAnsi="宋体" w:eastAsia="楷体_GB2312" w:cs="Times New Roman"/>
      <w:b/>
      <w:color w:val="000000"/>
      <w:sz w:val="24"/>
      <w:lang w:val="en-US"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gzepb</Company>
  <Pages>4</Pages>
  <Words>1752</Words>
  <Characters>1911</Characters>
  <Lines>16</Lines>
  <Paragraphs>4</Paragraphs>
  <TotalTime>7</TotalTime>
  <ScaleCrop>false</ScaleCrop>
  <LinksUpToDate>false</LinksUpToDate>
  <CharactersWithSpaces>1984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2021-12-16T10:42:00Z</dcterms:created>
  <dc:creator>张春菊</dc:creator>
  <cp:lastModifiedBy>圆圈圈儿 ࿔</cp:lastModifiedBy>
  <cp:lastPrinted>2025-11-05T07:57:00Z</cp:lastPrinted>
  <dcterms:modified xsi:type="dcterms:W3CDTF">2025-12-24T01:18:45Z</dcterms:modified>
  <dc:title>                                   穗府办函〔2006〕号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6761464CC82A4A148AD2CEFA20CD1D6E_13</vt:lpwstr>
  </property>
  <property fmtid="{D5CDD505-2E9C-101B-9397-08002B2CF9AE}" pid="4" name="KSOTemplateDocerSaveRecord">
    <vt:lpwstr>eyJoZGlkIjoiODdkOTNkZGUwYWU4YWU0YzViNWEwNmQ1ODczOTg2ZTkiLCJ1c2VySWQiOiIxNzIzMDIxNzY5In0=</vt:lpwstr>
  </property>
</Properties>
</file>