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hint="default" w:ascii="Times New Roman" w:hAnsi="Times New Roman" w:eastAsia="公文小标宋简" w:cs="Times New Roman"/>
          <w:b/>
          <w:bCs/>
          <w:smallCaps/>
          <w:snapToGrid w:val="0"/>
          <w:color w:val="auto"/>
          <w:spacing w:val="56"/>
          <w:kern w:val="0"/>
          <w:sz w:val="52"/>
          <w:szCs w:val="5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default" w:ascii="Times New Roman" w:hAnsi="Times New Roman" w:cs="Times New Roman"/>
          <w:color w:val="auto"/>
        </w:rPr>
      </w:pPr>
      <w:r>
        <w:rPr>
          <w:rFonts w:hint="default" w:ascii="Times New Roman" w:hAnsi="Times New Roman" w:cs="Times New Roman"/>
          <w:color w:val="auto"/>
        </w:rPr>
        <w:t xml:space="preserve">                                       </w:t>
      </w:r>
      <w:r>
        <w:rPr>
          <w:rFonts w:hint="default" w:ascii="Times New Roman" w:hAnsi="Times New Roman" w:eastAsia="仿宋_GB2312" w:cs="Times New Roman"/>
          <w:color w:val="auto"/>
          <w:sz w:val="32"/>
          <w:szCs w:val="32"/>
        </w:rPr>
        <w:t>穗环管影（番）〔202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158</w:t>
      </w:r>
      <w:r>
        <w:rPr>
          <w:rFonts w:hint="default" w:ascii="Times New Roman" w:hAnsi="Times New Roman" w:eastAsia="仿宋_GB2312" w:cs="Times New Roman"/>
          <w:color w:val="auto"/>
          <w:sz w:val="32"/>
          <w:szCs w:val="32"/>
        </w:rPr>
        <w:t>号</w:t>
      </w: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hint="default" w:ascii="Times New Roman" w:hAnsi="Times New Roman" w:cs="Times New Roman"/>
          <w:color w:val="auto"/>
        </w:rPr>
      </w:pPr>
    </w:p>
    <w:p w14:paraId="15293845">
      <w:pPr>
        <w:spacing w:line="590" w:lineRule="exact"/>
        <w:jc w:val="center"/>
        <w:outlineLvl w:val="0"/>
        <w:rPr>
          <w:rFonts w:hint="default" w:ascii="方正小标宋简体" w:hAnsi="方正小标宋简体" w:eastAsia="方正小标宋简体" w:cs="方正小标宋简体"/>
          <w:b w:val="0"/>
          <w:bCs w:val="0"/>
          <w:color w:val="auto"/>
          <w:sz w:val="44"/>
          <w:szCs w:val="44"/>
          <w:highlight w:val="none"/>
          <w:lang w:val="en-US" w:eastAsia="zh-CN"/>
        </w:rPr>
      </w:pPr>
      <w:r>
        <w:rPr>
          <w:rFonts w:hint="default" w:ascii="方正小标宋简体" w:hAnsi="方正小标宋简体" w:eastAsia="方正小标宋简体" w:cs="方正小标宋简体"/>
          <w:b w:val="0"/>
          <w:bCs w:val="0"/>
          <w:color w:val="auto"/>
          <w:sz w:val="44"/>
          <w:szCs w:val="44"/>
          <w:highlight w:val="none"/>
        </w:rPr>
        <w:t>广州市生态环境局关于</w:t>
      </w:r>
      <w:r>
        <w:rPr>
          <w:rFonts w:hint="default" w:ascii="方正小标宋简体" w:hAnsi="方正小标宋简体" w:eastAsia="方正小标宋简体" w:cs="方正小标宋简体"/>
          <w:b w:val="0"/>
          <w:bCs w:val="0"/>
          <w:color w:val="auto"/>
          <w:sz w:val="44"/>
          <w:szCs w:val="44"/>
          <w:highlight w:val="none"/>
          <w:lang w:val="en-US" w:eastAsia="zh-CN"/>
        </w:rPr>
        <w:t>松佳（广州）塑料包装</w:t>
      </w:r>
    </w:p>
    <w:p w14:paraId="03173BE7">
      <w:pPr>
        <w:spacing w:line="590" w:lineRule="exact"/>
        <w:jc w:val="center"/>
        <w:outlineLvl w:val="0"/>
        <w:rPr>
          <w:rFonts w:hint="default" w:ascii="Times New Roman" w:hAnsi="Times New Roman" w:eastAsia="方正小标宋简体" w:cs="Times New Roman"/>
          <w:color w:val="auto"/>
          <w:sz w:val="44"/>
          <w:szCs w:val="44"/>
        </w:rPr>
      </w:pPr>
      <w:r>
        <w:rPr>
          <w:rFonts w:hint="default" w:ascii="方正小标宋简体" w:hAnsi="方正小标宋简体" w:eastAsia="方正小标宋简体" w:cs="方正小标宋简体"/>
          <w:b w:val="0"/>
          <w:bCs w:val="0"/>
          <w:color w:val="auto"/>
          <w:sz w:val="44"/>
          <w:szCs w:val="44"/>
          <w:highlight w:val="none"/>
          <w:lang w:val="en-US" w:eastAsia="zh-CN"/>
        </w:rPr>
        <w:t>有限公司重大变动项目</w:t>
      </w:r>
      <w:r>
        <w:rPr>
          <w:rFonts w:hint="default" w:ascii="方正小标宋简体" w:hAnsi="方正小标宋简体" w:eastAsia="方正小标宋简体" w:cs="方正小标宋简体"/>
          <w:b w:val="0"/>
          <w:bCs w:val="0"/>
          <w:color w:val="auto"/>
          <w:sz w:val="44"/>
          <w:szCs w:val="44"/>
          <w:highlight w:val="none"/>
        </w:rPr>
        <w:t>环境影响报告表的批复</w:t>
      </w:r>
    </w:p>
    <w:p w14:paraId="00880D9C">
      <w:pPr>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color w:val="auto"/>
          <w:sz w:val="32"/>
          <w:szCs w:val="32"/>
        </w:rPr>
      </w:pPr>
    </w:p>
    <w:p w14:paraId="51FA8A5D">
      <w:pPr>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color w:val="auto"/>
          <w:sz w:val="32"/>
          <w:szCs w:val="32"/>
        </w:rPr>
      </w:pPr>
    </w:p>
    <w:p w14:paraId="4D947783">
      <w:pPr>
        <w:keepNext w:val="0"/>
        <w:keepLines w:val="0"/>
        <w:pageBreakBefore w:val="0"/>
        <w:widowControl w:val="0"/>
        <w:kinsoku/>
        <w:wordWrap/>
        <w:overflowPunct/>
        <w:topLinePunct w:val="0"/>
        <w:bidi w:val="0"/>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松佳（广州）塑料包装有限公司</w:t>
      </w:r>
      <w:r>
        <w:rPr>
          <w:rFonts w:hint="eastAsia" w:ascii="Times New Roman" w:hAnsi="Times New Roman" w:eastAsia="仿宋_GB2312" w:cs="Times New Roman"/>
          <w:color w:val="auto"/>
          <w:sz w:val="32"/>
          <w:szCs w:val="32"/>
          <w:highlight w:val="none"/>
          <w:lang w:eastAsia="zh-CN"/>
        </w:rPr>
        <w:t>（91440113578017933H）</w:t>
      </w:r>
      <w:r>
        <w:rPr>
          <w:rFonts w:hint="default" w:ascii="Times New Roman" w:hAnsi="Times New Roman" w:eastAsia="仿宋_GB2312" w:cs="Times New Roman"/>
          <w:color w:val="auto"/>
          <w:sz w:val="32"/>
          <w:szCs w:val="32"/>
          <w:highlight w:val="none"/>
        </w:rPr>
        <w:t>：</w:t>
      </w:r>
    </w:p>
    <w:p w14:paraId="06F98241">
      <w:pPr>
        <w:keepNext w:val="0"/>
        <w:keepLines w:val="0"/>
        <w:pageBreakBefore w:val="0"/>
        <w:widowControl w:val="0"/>
        <w:kinsoku/>
        <w:wordWrap/>
        <w:overflowPunct/>
        <w:topLinePunct w:val="0"/>
        <w:bidi w:val="0"/>
        <w:spacing w:line="560" w:lineRule="exact"/>
        <w:ind w:firstLine="972" w:firstLineChars="304"/>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你单位报送的《</w:t>
      </w:r>
      <w:r>
        <w:rPr>
          <w:rFonts w:hint="default" w:ascii="Times New Roman" w:hAnsi="Times New Roman" w:eastAsia="仿宋_GB2312" w:cs="Times New Roman"/>
          <w:color w:val="auto"/>
          <w:sz w:val="32"/>
          <w:szCs w:val="32"/>
          <w:highlight w:val="none"/>
          <w:lang w:eastAsia="zh-CN"/>
        </w:rPr>
        <w:t>松佳（广州）塑料包装有限公司重大变动项目</w:t>
      </w:r>
      <w:r>
        <w:rPr>
          <w:rFonts w:hint="default" w:ascii="Times New Roman" w:hAnsi="Times New Roman" w:eastAsia="仿宋_GB2312" w:cs="Times New Roman"/>
          <w:color w:val="auto"/>
          <w:sz w:val="32"/>
          <w:szCs w:val="32"/>
          <w:highlight w:val="none"/>
        </w:rPr>
        <w:t>环境影响报告表》（以下简称《报告表》）及附送资料收悉。经研究，现批复如下：</w:t>
      </w:r>
    </w:p>
    <w:p w14:paraId="5278DA66">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lang w:eastAsia="zh-CN"/>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松佳（广州）塑料包装有限公司重大变动项目</w:t>
      </w:r>
      <w:r>
        <w:rPr>
          <w:rFonts w:hint="default" w:ascii="Times New Roman" w:hAnsi="Times New Roman" w:eastAsia="仿宋_GB2312" w:cs="Times New Roman"/>
          <w:color w:val="auto"/>
          <w:sz w:val="32"/>
          <w:szCs w:val="32"/>
          <w:highlight w:val="none"/>
        </w:rPr>
        <w:t>（以下简称“该项目”）</w:t>
      </w:r>
      <w:r>
        <w:rPr>
          <w:rFonts w:hint="default" w:ascii="Times New Roman" w:hAnsi="Times New Roman" w:eastAsia="仿宋_GB2312" w:cs="Times New Roman"/>
          <w:color w:val="auto"/>
          <w:sz w:val="32"/>
          <w:szCs w:val="32"/>
          <w:highlight w:val="none"/>
          <w:lang w:val="en-US" w:eastAsia="zh-CN"/>
        </w:rPr>
        <w:t>位于广州市番禺区石</w:t>
      </w:r>
      <w:r>
        <w:rPr>
          <w:rFonts w:hint="eastAsia" w:ascii="Times New Roman" w:hAnsi="Times New Roman" w:eastAsia="仿宋_GB2312" w:cs="Times New Roman"/>
          <w:color w:val="auto"/>
          <w:sz w:val="32"/>
          <w:szCs w:val="32"/>
          <w:highlight w:val="none"/>
          <w:lang w:val="en-US" w:eastAsia="zh-CN"/>
        </w:rPr>
        <w:t>碁</w:t>
      </w:r>
      <w:r>
        <w:rPr>
          <w:rFonts w:hint="default" w:ascii="Times New Roman" w:hAnsi="Times New Roman" w:eastAsia="仿宋_GB2312" w:cs="Times New Roman"/>
          <w:color w:val="auto"/>
          <w:sz w:val="32"/>
          <w:szCs w:val="32"/>
          <w:highlight w:val="none"/>
          <w:lang w:val="en-US" w:eastAsia="zh-CN"/>
        </w:rPr>
        <w:t>镇前锋村前锋南路127号，租用A栋四层厂房一~二层部分车间和C栋四层厂房首层进行生产，占地面积2827平方米，总建筑面积3370平方米。</w:t>
      </w:r>
      <w:r>
        <w:rPr>
          <w:rFonts w:hint="default" w:ascii="Times New Roman" w:hAnsi="Times New Roman" w:eastAsia="仿宋_GB2312" w:cs="Times New Roman"/>
          <w:color w:val="auto"/>
          <w:sz w:val="32"/>
          <w:szCs w:val="32"/>
          <w:highlight w:val="none"/>
        </w:rPr>
        <w:t>主要设备有</w:t>
      </w:r>
      <w:r>
        <w:rPr>
          <w:rFonts w:hint="default" w:ascii="Times New Roman" w:hAnsi="Times New Roman" w:eastAsia="仿宋_GB2312" w:cs="Times New Roman"/>
          <w:color w:val="auto"/>
          <w:sz w:val="32"/>
          <w:szCs w:val="32"/>
          <w:highlight w:val="none"/>
          <w:lang w:val="en-US" w:eastAsia="zh-CN"/>
        </w:rPr>
        <w:t>拌料机9台、自动投料系统2套、注塑机83台、拉管机2台、破碎机84台（每台注塑机旁配备一台破碎机、2台拉管机配备1台破碎机）、冷却塔（100m</w:t>
      </w:r>
      <w:r>
        <w:rPr>
          <w:rFonts w:hint="default" w:ascii="Times New Roman" w:hAnsi="Times New Roman" w:eastAsia="仿宋_GB2312" w:cs="Times New Roman"/>
          <w:color w:val="auto"/>
          <w:sz w:val="32"/>
          <w:szCs w:val="32"/>
          <w:highlight w:val="none"/>
          <w:vertAlign w:val="superscript"/>
          <w:lang w:val="en-US" w:eastAsia="zh-CN"/>
        </w:rPr>
        <w:t>3</w:t>
      </w:r>
      <w:r>
        <w:rPr>
          <w:rFonts w:hint="default" w:ascii="Times New Roman" w:hAnsi="Times New Roman" w:eastAsia="仿宋_GB2312" w:cs="Times New Roman"/>
          <w:color w:val="auto"/>
          <w:sz w:val="32"/>
          <w:szCs w:val="32"/>
          <w:highlight w:val="none"/>
          <w:lang w:val="en-US" w:eastAsia="zh-CN"/>
        </w:rPr>
        <w:t>/h）3台、冷水机1台、空压机3台、机加工设备一批（车床3台、铣床3台、磨床4台、火花机3台、气动打磨机2台）等</w:t>
      </w:r>
      <w:r>
        <w:rPr>
          <w:rFonts w:hint="default" w:ascii="Times New Roman" w:hAnsi="Times New Roman" w:eastAsia="仿宋_GB2312" w:cs="Times New Roman"/>
          <w:color w:val="auto"/>
          <w:sz w:val="32"/>
          <w:szCs w:val="32"/>
          <w:highlight w:val="none"/>
        </w:rPr>
        <w:t>；员工</w:t>
      </w:r>
      <w:r>
        <w:rPr>
          <w:rFonts w:hint="default" w:ascii="Times New Roman" w:hAnsi="Times New Roman" w:eastAsia="仿宋_GB2312" w:cs="Times New Roman"/>
          <w:color w:val="auto"/>
          <w:sz w:val="32"/>
          <w:szCs w:val="32"/>
          <w:highlight w:val="none"/>
          <w:lang w:val="en-US" w:eastAsia="zh-CN"/>
        </w:rPr>
        <w:t>60</w:t>
      </w:r>
      <w:r>
        <w:rPr>
          <w:rFonts w:hint="default" w:ascii="Times New Roman" w:hAnsi="Times New Roman" w:eastAsia="仿宋_GB2312" w:cs="Times New Roman"/>
          <w:color w:val="auto"/>
          <w:sz w:val="32"/>
          <w:szCs w:val="32"/>
          <w:highlight w:val="none"/>
        </w:rPr>
        <w:t>名，内部不设食宿。该项目注塑只使用</w:t>
      </w:r>
      <w:r>
        <w:rPr>
          <w:rFonts w:hint="default" w:ascii="Times New Roman" w:hAnsi="Times New Roman" w:eastAsia="仿宋_GB2312" w:cs="Times New Roman"/>
          <w:color w:val="auto"/>
          <w:sz w:val="32"/>
          <w:szCs w:val="32"/>
          <w:highlight w:val="none"/>
          <w:lang w:val="en-US" w:eastAsia="zh-CN"/>
        </w:rPr>
        <w:t>PE、PP</w:t>
      </w:r>
      <w:r>
        <w:rPr>
          <w:rFonts w:hint="default" w:ascii="Times New Roman" w:hAnsi="Times New Roman" w:eastAsia="仿宋_GB2312" w:cs="Times New Roman"/>
          <w:color w:val="auto"/>
          <w:sz w:val="32"/>
          <w:szCs w:val="32"/>
          <w:highlight w:val="none"/>
        </w:rPr>
        <w:t>，不使用再生塑料</w:t>
      </w:r>
      <w:r>
        <w:rPr>
          <w:rFonts w:hint="default" w:ascii="Times New Roman" w:hAnsi="Times New Roman" w:eastAsia="仿宋_GB2312" w:cs="Times New Roman"/>
          <w:color w:val="auto"/>
          <w:sz w:val="32"/>
          <w:szCs w:val="32"/>
          <w:highlight w:val="none"/>
          <w:lang w:val="en-US" w:eastAsia="zh-CN"/>
        </w:rPr>
        <w:t>作为原料</w:t>
      </w:r>
      <w:r>
        <w:rPr>
          <w:rFonts w:hint="default" w:ascii="Times New Roman" w:hAnsi="Times New Roman" w:eastAsia="仿宋_GB2312" w:cs="Times New Roman"/>
          <w:color w:val="auto"/>
          <w:sz w:val="32"/>
          <w:szCs w:val="32"/>
          <w:highlight w:val="none"/>
        </w:rPr>
        <w:t>。</w:t>
      </w:r>
    </w:p>
    <w:p w14:paraId="5934E4CC">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报告表</w:t>
      </w:r>
      <w:r>
        <w:rPr>
          <w:rFonts w:hint="default" w:ascii="Times New Roman" w:hAnsi="Times New Roman" w:eastAsia="仿宋_GB2312" w:cs="Times New Roman"/>
          <w:b w:val="0"/>
          <w:bCs w:val="0"/>
          <w:color w:val="auto"/>
          <w:sz w:val="32"/>
          <w:szCs w:val="32"/>
          <w:highlight w:val="none"/>
        </w:rPr>
        <w:t>》评价结论认为，在全面落实《</w:t>
      </w:r>
      <w:r>
        <w:rPr>
          <w:rFonts w:hint="default" w:ascii="Times New Roman" w:hAnsi="Times New Roman" w:eastAsia="仿宋_GB2312" w:cs="Times New Roman"/>
          <w:b w:val="0"/>
          <w:bCs w:val="0"/>
          <w:color w:val="auto"/>
          <w:sz w:val="32"/>
          <w:szCs w:val="32"/>
          <w:highlight w:val="none"/>
          <w:lang w:eastAsia="zh-CN"/>
        </w:rPr>
        <w:t>报告表</w:t>
      </w:r>
      <w:r>
        <w:rPr>
          <w:rFonts w:hint="default" w:ascii="Times New Roman" w:hAnsi="Times New Roman" w:eastAsia="仿宋_GB2312" w:cs="Times New Roman"/>
          <w:b w:val="0"/>
          <w:bCs w:val="0"/>
          <w:color w:val="auto"/>
          <w:sz w:val="32"/>
          <w:szCs w:val="32"/>
          <w:highlight w:val="none"/>
        </w:rPr>
        <w:t>》提出的各项</w:t>
      </w:r>
      <w:r>
        <w:rPr>
          <w:rFonts w:hint="default" w:ascii="Times New Roman" w:hAnsi="Times New Roman" w:eastAsia="仿宋_GB2312" w:cs="Times New Roman"/>
          <w:b w:val="0"/>
          <w:bCs w:val="0"/>
          <w:color w:val="auto"/>
          <w:sz w:val="32"/>
          <w:szCs w:val="32"/>
          <w:highlight w:val="none"/>
          <w:lang w:eastAsia="zh-CN"/>
        </w:rPr>
        <w:t>生态</w:t>
      </w:r>
      <w:r>
        <w:rPr>
          <w:rFonts w:hint="default" w:ascii="Times New Roman" w:hAnsi="Times New Roman" w:eastAsia="仿宋_GB2312" w:cs="Times New Roman"/>
          <w:b w:val="0"/>
          <w:bCs w:val="0"/>
          <w:color w:val="auto"/>
          <w:sz w:val="32"/>
          <w:szCs w:val="32"/>
          <w:highlight w:val="none"/>
        </w:rPr>
        <w:t>环境保护措施和环境风险防范措施的前提下，该项目建设和运行过程中产生的不良环境影响能够得到有效控制，从环境保护角度，项目建设可行。经审查，我局同意《</w:t>
      </w:r>
      <w:r>
        <w:rPr>
          <w:rFonts w:hint="default" w:ascii="Times New Roman" w:hAnsi="Times New Roman" w:eastAsia="仿宋_GB2312" w:cs="Times New Roman"/>
          <w:b w:val="0"/>
          <w:bCs w:val="0"/>
          <w:color w:val="auto"/>
          <w:sz w:val="32"/>
          <w:szCs w:val="32"/>
          <w:highlight w:val="none"/>
          <w:lang w:eastAsia="zh-CN"/>
        </w:rPr>
        <w:t>报告表</w:t>
      </w:r>
      <w:r>
        <w:rPr>
          <w:rFonts w:hint="default" w:ascii="Times New Roman" w:hAnsi="Times New Roman" w:eastAsia="仿宋_GB2312" w:cs="Times New Roman"/>
          <w:b w:val="0"/>
          <w:bCs w:val="0"/>
          <w:color w:val="auto"/>
          <w:sz w:val="32"/>
          <w:szCs w:val="32"/>
          <w:highlight w:val="none"/>
        </w:rPr>
        <w:t xml:space="preserve">》的评价结论。 </w:t>
      </w:r>
    </w:p>
    <w:p w14:paraId="1FF71938">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二、在项目建设和运营过程中，应认真落实《</w:t>
      </w:r>
      <w:r>
        <w:rPr>
          <w:rFonts w:hint="default" w:ascii="Times New Roman" w:hAnsi="Times New Roman" w:eastAsia="仿宋_GB2312" w:cs="Times New Roman"/>
          <w:b w:val="0"/>
          <w:bCs w:val="0"/>
          <w:color w:val="auto"/>
          <w:sz w:val="32"/>
          <w:szCs w:val="32"/>
          <w:highlight w:val="none"/>
          <w:lang w:eastAsia="zh-CN"/>
        </w:rPr>
        <w:t>报告表</w:t>
      </w:r>
      <w:r>
        <w:rPr>
          <w:rFonts w:hint="default" w:ascii="Times New Roman" w:hAnsi="Times New Roman" w:eastAsia="仿宋_GB2312" w:cs="Times New Roman"/>
          <w:b w:val="0"/>
          <w:bCs w:val="0"/>
          <w:color w:val="auto"/>
          <w:sz w:val="32"/>
          <w:szCs w:val="32"/>
          <w:highlight w:val="none"/>
        </w:rPr>
        <w:t>》提出的各项环境保护对策措施，重点做好以下工作：</w:t>
      </w:r>
    </w:p>
    <w:p w14:paraId="2522C421">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一</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color w:val="auto"/>
          <w:sz w:val="32"/>
          <w:szCs w:val="32"/>
          <w:lang w:val="en-US" w:eastAsia="zh-CN"/>
        </w:rPr>
        <w:t>按照《挥发性有机物无组织排放控制标准》（GB37822-2019）</w:t>
      </w:r>
      <w:r>
        <w:rPr>
          <w:rFonts w:hint="default" w:ascii="Times New Roman" w:hAnsi="Times New Roman" w:eastAsia="仿宋_GB2312" w:cs="Times New Roman"/>
          <w:color w:val="auto"/>
          <w:sz w:val="32"/>
          <w:szCs w:val="32"/>
        </w:rPr>
        <w:t>的无组织排放控制要求落实相关措施</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项目注塑机、拉管机设置在相对密闭的车间内，注塑、拉管产生的有机废气通过包围型集气罩收集后经二级活性炭吸附处理后引至楼顶高空排放</w:t>
      </w:r>
      <w:r>
        <w:rPr>
          <w:rFonts w:hint="default" w:ascii="Times New Roman" w:hAnsi="Times New Roman" w:eastAsia="仿宋_GB2312" w:cs="Times New Roman"/>
          <w:b w:val="0"/>
          <w:bCs w:val="0"/>
          <w:color w:val="auto"/>
          <w:sz w:val="32"/>
          <w:szCs w:val="32"/>
        </w:rPr>
        <w:t>，排放口高度不低于15米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auto"/>
          <w:sz w:val="32"/>
          <w:szCs w:val="32"/>
        </w:rPr>
        <w:t>项目设置废气排放口</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个</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color w:val="auto"/>
          <w:sz w:val="32"/>
          <w:szCs w:val="32"/>
          <w:highlight w:val="none"/>
        </w:rPr>
        <w:t>加强车间边界无组织</w:t>
      </w:r>
      <w:r>
        <w:rPr>
          <w:rFonts w:hint="default" w:ascii="Times New Roman" w:hAnsi="Times New Roman" w:eastAsia="仿宋_GB2312" w:cs="Times New Roman"/>
          <w:color w:val="auto"/>
          <w:sz w:val="32"/>
          <w:szCs w:val="32"/>
          <w:highlight w:val="none"/>
          <w:lang w:eastAsia="zh-CN"/>
        </w:rPr>
        <w:t>排放</w:t>
      </w:r>
      <w:r>
        <w:rPr>
          <w:rFonts w:hint="default" w:ascii="Times New Roman" w:hAnsi="Times New Roman" w:eastAsia="仿宋_GB2312" w:cs="Times New Roman"/>
          <w:color w:val="auto"/>
          <w:sz w:val="32"/>
          <w:szCs w:val="32"/>
          <w:highlight w:val="none"/>
        </w:rPr>
        <w:t>废气的监控，确保车间边界无组织</w:t>
      </w:r>
      <w:r>
        <w:rPr>
          <w:rFonts w:hint="default" w:ascii="Times New Roman" w:hAnsi="Times New Roman" w:eastAsia="仿宋_GB2312" w:cs="Times New Roman"/>
          <w:color w:val="auto"/>
          <w:sz w:val="32"/>
          <w:szCs w:val="32"/>
          <w:highlight w:val="none"/>
          <w:lang w:eastAsia="zh-CN"/>
        </w:rPr>
        <w:t>排放</w:t>
      </w:r>
      <w:r>
        <w:rPr>
          <w:rFonts w:hint="default" w:ascii="Times New Roman" w:hAnsi="Times New Roman" w:eastAsia="仿宋_GB2312" w:cs="Times New Roman"/>
          <w:color w:val="auto"/>
          <w:sz w:val="32"/>
          <w:szCs w:val="32"/>
          <w:highlight w:val="none"/>
        </w:rPr>
        <w:t>监控点的废气达到相应标准限值的要求，监测超标时应</w:t>
      </w:r>
      <w:r>
        <w:rPr>
          <w:rFonts w:hint="default" w:ascii="Times New Roman" w:hAnsi="Times New Roman" w:eastAsia="仿宋_GB2312" w:cs="Times New Roman"/>
          <w:color w:val="auto"/>
          <w:sz w:val="32"/>
          <w:szCs w:val="32"/>
          <w:highlight w:val="none"/>
          <w:lang w:eastAsia="zh-CN"/>
        </w:rPr>
        <w:t>加强</w:t>
      </w:r>
      <w:r>
        <w:rPr>
          <w:rFonts w:hint="default" w:ascii="Times New Roman" w:hAnsi="Times New Roman" w:eastAsia="仿宋_GB2312" w:cs="Times New Roman"/>
          <w:color w:val="auto"/>
          <w:sz w:val="32"/>
          <w:szCs w:val="32"/>
          <w:highlight w:val="none"/>
        </w:rPr>
        <w:t>对无组织排放废气进行收集、净化处理。</w:t>
      </w:r>
    </w:p>
    <w:p w14:paraId="24D62164">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val="en-US" w:eastAsia="zh-CN"/>
        </w:rPr>
        <w:t>非甲烷总烃</w:t>
      </w:r>
      <w:r>
        <w:rPr>
          <w:rFonts w:hint="default" w:ascii="Times New Roman" w:hAnsi="Times New Roman" w:eastAsia="仿宋_GB2312" w:cs="Times New Roman"/>
          <w:b w:val="0"/>
          <w:bCs w:val="0"/>
          <w:color w:val="auto"/>
          <w:sz w:val="32"/>
          <w:szCs w:val="32"/>
          <w:highlight w:val="none"/>
        </w:rPr>
        <w:t>有组织排放执行《合成树脂工业污染物排放标准》（GB 31572-2015，含2024年修改单）表5大气污染物特别排放限值。臭气浓度执行《恶臭污染物排放标准》（GB14554-93）表2恶臭污染物排放标准值及表1恶臭污染物厂界标准值二级新扩改建标准值要求。颗粒物无组织排放执行广东省《大气污染物排放限值》（DB44/27-2001）第二时段无组织排放监控浓度限值要求。</w:t>
      </w:r>
      <w:r>
        <w:rPr>
          <w:rFonts w:hint="default" w:ascii="Times New Roman" w:hAnsi="Times New Roman" w:eastAsia="仿宋_GB2312" w:cs="Times New Roman"/>
          <w:b w:val="0"/>
          <w:bCs w:val="0"/>
          <w:color w:val="auto"/>
          <w:sz w:val="32"/>
          <w:szCs w:val="32"/>
          <w:highlight w:val="none"/>
          <w:lang w:val="en-US" w:eastAsia="zh-CN"/>
        </w:rPr>
        <w:t>厂区内非甲烷总烃</w:t>
      </w:r>
      <w:r>
        <w:rPr>
          <w:rFonts w:hint="default" w:ascii="Times New Roman" w:hAnsi="Times New Roman" w:eastAsia="仿宋_GB2312" w:cs="Times New Roman"/>
          <w:b w:val="0"/>
          <w:bCs w:val="0"/>
          <w:color w:val="auto"/>
          <w:sz w:val="32"/>
          <w:szCs w:val="32"/>
          <w:highlight w:val="none"/>
        </w:rPr>
        <w:t>执行《挥发性有机物无组织排放控制标准》（GB 37822-2019）表A.1</w:t>
      </w:r>
      <w:r>
        <w:rPr>
          <w:rFonts w:hint="default" w:ascii="Times New Roman" w:hAnsi="Times New Roman" w:eastAsia="仿宋_GB2312" w:cs="Times New Roman"/>
          <w:b w:val="0"/>
          <w:bCs w:val="0"/>
          <w:color w:val="auto"/>
          <w:sz w:val="32"/>
          <w:szCs w:val="32"/>
          <w:highlight w:val="none"/>
          <w:lang w:val="en-US" w:eastAsia="zh-CN"/>
        </w:rPr>
        <w:t>特别</w:t>
      </w:r>
      <w:r>
        <w:rPr>
          <w:rFonts w:hint="default" w:ascii="Times New Roman" w:hAnsi="Times New Roman" w:eastAsia="仿宋_GB2312" w:cs="Times New Roman"/>
          <w:b w:val="0"/>
          <w:bCs w:val="0"/>
          <w:color w:val="auto"/>
          <w:sz w:val="32"/>
          <w:szCs w:val="32"/>
          <w:highlight w:val="none"/>
        </w:rPr>
        <w:t>排放限值</w:t>
      </w:r>
      <w:r>
        <w:rPr>
          <w:rFonts w:hint="default" w:ascii="Times New Roman" w:hAnsi="Times New Roman" w:eastAsia="仿宋_GB2312" w:cs="Times New Roman"/>
          <w:b w:val="0"/>
          <w:bCs w:val="0"/>
          <w:color w:val="auto"/>
          <w:sz w:val="32"/>
          <w:szCs w:val="32"/>
          <w:highlight w:val="none"/>
          <w:lang w:eastAsia="zh-CN"/>
        </w:rPr>
        <w:t>。</w:t>
      </w:r>
    </w:p>
    <w:p w14:paraId="557F9E8F">
      <w:pPr>
        <w:keepNext w:val="0"/>
        <w:keepLines w:val="0"/>
        <w:pageBreakBefore w:val="0"/>
        <w:widowControl w:val="0"/>
        <w:numPr>
          <w:ilvl w:val="0"/>
          <w:numId w:val="1"/>
        </w:numPr>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排水系统采用雨污分流。生活污水经三级化粪池预处理</w:t>
      </w:r>
      <w:r>
        <w:rPr>
          <w:rFonts w:hint="eastAsia" w:ascii="Times New Roman" w:hAnsi="Times New Roman" w:eastAsia="仿宋_GB2312" w:cs="Times New Roman"/>
          <w:color w:val="auto"/>
          <w:sz w:val="32"/>
          <w:szCs w:val="32"/>
          <w:highlight w:val="none"/>
          <w:lang w:val="en-US" w:eastAsia="zh-CN"/>
        </w:rPr>
        <w:t>后</w:t>
      </w:r>
      <w:r>
        <w:rPr>
          <w:rFonts w:hint="default" w:ascii="Times New Roman" w:hAnsi="Times New Roman" w:eastAsia="仿宋_GB2312" w:cs="Times New Roman"/>
          <w:color w:val="auto"/>
          <w:sz w:val="32"/>
          <w:szCs w:val="32"/>
          <w:highlight w:val="none"/>
          <w:lang w:val="en-US" w:eastAsia="zh-CN"/>
        </w:rPr>
        <w:t>与冷却废水一并</w:t>
      </w:r>
      <w:r>
        <w:rPr>
          <w:rFonts w:hint="default" w:ascii="Times New Roman" w:hAnsi="Times New Roman" w:eastAsia="仿宋_GB2312" w:cs="Times New Roman"/>
          <w:color w:val="auto"/>
          <w:sz w:val="32"/>
          <w:szCs w:val="32"/>
          <w:highlight w:val="none"/>
        </w:rPr>
        <w:t>排入市政集污管网，送</w:t>
      </w:r>
      <w:r>
        <w:rPr>
          <w:rFonts w:hint="default" w:ascii="Times New Roman" w:hAnsi="Times New Roman" w:eastAsia="仿宋_GB2312" w:cs="Times New Roman"/>
          <w:color w:val="auto"/>
          <w:sz w:val="32"/>
          <w:szCs w:val="32"/>
          <w:highlight w:val="none"/>
          <w:lang w:val="en-US" w:eastAsia="zh-CN"/>
        </w:rPr>
        <w:t>前锋</w:t>
      </w:r>
      <w:r>
        <w:rPr>
          <w:rFonts w:hint="default" w:ascii="Times New Roman" w:hAnsi="Times New Roman" w:eastAsia="仿宋_GB2312" w:cs="Times New Roman"/>
          <w:color w:val="auto"/>
          <w:sz w:val="32"/>
          <w:szCs w:val="32"/>
          <w:highlight w:val="none"/>
        </w:rPr>
        <w:t>净水厂</w:t>
      </w:r>
      <w:r>
        <w:rPr>
          <w:rFonts w:hint="default" w:ascii="Times New Roman" w:hAnsi="Times New Roman" w:eastAsia="仿宋_GB2312" w:cs="Times New Roman"/>
          <w:color w:val="auto"/>
          <w:sz w:val="32"/>
          <w:szCs w:val="32"/>
          <w:highlight w:val="none"/>
          <w:lang w:val="en-US" w:eastAsia="zh-CN"/>
        </w:rPr>
        <w:t>集中</w:t>
      </w:r>
      <w:r>
        <w:rPr>
          <w:rFonts w:hint="default" w:ascii="Times New Roman" w:hAnsi="Times New Roman" w:eastAsia="仿宋_GB2312" w:cs="Times New Roman"/>
          <w:color w:val="auto"/>
          <w:sz w:val="32"/>
          <w:szCs w:val="32"/>
          <w:highlight w:val="none"/>
        </w:rPr>
        <w:t>处理。项目设置</w:t>
      </w:r>
      <w:r>
        <w:rPr>
          <w:rFonts w:hint="default" w:ascii="Times New Roman" w:hAnsi="Times New Roman" w:eastAsia="仿宋_GB2312" w:cs="Times New Roman"/>
          <w:color w:val="auto"/>
          <w:sz w:val="32"/>
          <w:szCs w:val="32"/>
          <w:highlight w:val="none"/>
          <w:lang w:val="en-US" w:eastAsia="zh-CN"/>
        </w:rPr>
        <w:t>废水</w:t>
      </w:r>
      <w:r>
        <w:rPr>
          <w:rFonts w:hint="default" w:ascii="Times New Roman" w:hAnsi="Times New Roman" w:eastAsia="仿宋_GB2312" w:cs="Times New Roman"/>
          <w:color w:val="auto"/>
          <w:sz w:val="32"/>
          <w:szCs w:val="32"/>
          <w:highlight w:val="none"/>
        </w:rPr>
        <w:t>排放口1个。</w:t>
      </w:r>
    </w:p>
    <w:p w14:paraId="0A6E91B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3"/>
          <w:sz w:val="32"/>
          <w:szCs w:val="32"/>
          <w:highlight w:val="none"/>
          <w:lang w:val="en-US" w:eastAsia="zh-CN"/>
        </w:rPr>
      </w:pPr>
      <w:r>
        <w:rPr>
          <w:rFonts w:hint="default" w:ascii="Times New Roman" w:hAnsi="Times New Roman" w:eastAsia="仿宋_GB2312" w:cs="Times New Roman"/>
          <w:color w:val="auto"/>
          <w:sz w:val="32"/>
          <w:szCs w:val="32"/>
          <w:highlight w:val="none"/>
        </w:rPr>
        <w:t>项目外排废水执行广东省《水污染物排放限值》（DB44/26-2001） 第二时段三级标准。</w:t>
      </w:r>
      <w:r>
        <w:rPr>
          <w:rFonts w:hint="default" w:ascii="Times New Roman" w:hAnsi="Times New Roman" w:eastAsia="仿宋_GB2312" w:cs="Times New Roman"/>
          <w:color w:val="auto"/>
          <w:sz w:val="32"/>
          <w:szCs w:val="32"/>
          <w:highlight w:val="none"/>
          <w:lang w:val="en-US" w:eastAsia="zh-CN"/>
        </w:rPr>
        <w:t>冷却</w:t>
      </w:r>
      <w:r>
        <w:rPr>
          <w:rFonts w:hint="default" w:ascii="Times New Roman" w:hAnsi="Times New Roman" w:eastAsia="仿宋_GB2312" w:cs="Times New Roman"/>
          <w:color w:val="auto"/>
          <w:sz w:val="32"/>
          <w:szCs w:val="32"/>
          <w:lang w:val="en-US" w:eastAsia="zh-CN"/>
        </w:rPr>
        <w:t>废水排放量不超过120t/a，生活污水排放量不超过</w:t>
      </w:r>
      <w:r>
        <w:rPr>
          <w:rFonts w:hint="eastAsia" w:ascii="Times New Roman" w:hAnsi="Times New Roman" w:eastAsia="仿宋_GB2312" w:cs="Times New Roman"/>
          <w:color w:val="auto"/>
          <w:sz w:val="32"/>
          <w:szCs w:val="32"/>
          <w:lang w:val="en-US" w:eastAsia="zh-CN"/>
        </w:rPr>
        <w:t>54</w:t>
      </w:r>
      <w:r>
        <w:rPr>
          <w:rFonts w:hint="default" w:ascii="Times New Roman" w:hAnsi="Times New Roman" w:eastAsia="仿宋_GB2312" w:cs="Times New Roman"/>
          <w:color w:val="auto"/>
          <w:sz w:val="32"/>
          <w:szCs w:val="32"/>
          <w:lang w:val="en-US" w:eastAsia="zh-CN"/>
        </w:rPr>
        <w:t>0t/a。</w:t>
      </w:r>
    </w:p>
    <w:p w14:paraId="67BCD35E">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（三）项目</w:t>
      </w:r>
      <w:r>
        <w:rPr>
          <w:rFonts w:hint="default" w:ascii="Times New Roman" w:hAnsi="Times New Roman" w:eastAsia="仿宋_GB2312" w:cs="Times New Roman"/>
          <w:color w:val="auto"/>
          <w:sz w:val="32"/>
          <w:szCs w:val="32"/>
          <w:highlight w:val="none"/>
        </w:rPr>
        <w:t>噪声排放执行《工业企业厂界环境噪声排放标准》（GB12348-2008）3类</w:t>
      </w:r>
      <w:r>
        <w:rPr>
          <w:rFonts w:hint="default" w:ascii="Times New Roman" w:hAnsi="Times New Roman" w:eastAsia="仿宋_GB2312" w:cs="Times New Roman"/>
          <w:color w:val="auto"/>
          <w:sz w:val="32"/>
          <w:szCs w:val="32"/>
          <w:highlight w:val="none"/>
          <w:lang w:val="en-US" w:eastAsia="zh-CN"/>
        </w:rPr>
        <w:t>标准</w:t>
      </w:r>
      <w:r>
        <w:rPr>
          <w:rFonts w:hint="default" w:ascii="Times New Roman" w:hAnsi="Times New Roman" w:eastAsia="仿宋_GB2312" w:cs="Times New Roman"/>
          <w:color w:val="auto"/>
          <w:sz w:val="32"/>
          <w:szCs w:val="32"/>
          <w:highlight w:val="none"/>
        </w:rPr>
        <w:t>。</w:t>
      </w:r>
    </w:p>
    <w:p w14:paraId="3E1C7A62">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（四）</w:t>
      </w:r>
      <w:bookmarkStart w:id="0" w:name="OLE_LINK16"/>
      <w:bookmarkStart w:id="1" w:name="OLE_LINK12"/>
      <w:r>
        <w:rPr>
          <w:rFonts w:hint="default" w:ascii="Times New Roman" w:hAnsi="Times New Roman" w:eastAsia="仿宋_GB2312" w:cs="Times New Roman"/>
          <w:b w:val="0"/>
          <w:bCs w:val="0"/>
          <w:sz w:val="32"/>
          <w:szCs w:val="32"/>
        </w:rPr>
        <w:t>各类固体废物实行分类收集、处置</w:t>
      </w:r>
      <w:bookmarkEnd w:id="0"/>
      <w:r>
        <w:rPr>
          <w:rFonts w:hint="default" w:ascii="Times New Roman" w:hAnsi="Times New Roman" w:eastAsia="仿宋_GB2312" w:cs="Times New Roman"/>
          <w:b w:val="0"/>
          <w:bCs w:val="0"/>
          <w:sz w:val="32"/>
          <w:szCs w:val="32"/>
        </w:rPr>
        <w:t>。固体废物</w:t>
      </w:r>
      <w:r>
        <w:rPr>
          <w:rFonts w:hint="default" w:ascii="Times New Roman" w:hAnsi="Times New Roman" w:eastAsia="仿宋_GB2312" w:cs="Times New Roman"/>
          <w:b w:val="0"/>
          <w:bCs w:val="0"/>
          <w:sz w:val="32"/>
          <w:szCs w:val="32"/>
          <w:lang w:eastAsia="zh-CN"/>
        </w:rPr>
        <w:t>的贮存、堆放应按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w:t>
      </w:r>
      <w:r>
        <w:rPr>
          <w:rFonts w:hint="default" w:ascii="Times New Roman" w:hAnsi="Times New Roman" w:eastAsia="仿宋_GB2312" w:cs="Times New Roman"/>
          <w:b w:val="0"/>
          <w:bCs w:val="0"/>
          <w:color w:val="auto"/>
          <w:sz w:val="32"/>
          <w:szCs w:val="32"/>
          <w:lang w:eastAsia="zh-CN"/>
        </w:rPr>
        <w:t>危险废物应委托有资质的单位处置。</w:t>
      </w:r>
    </w:p>
    <w:bookmarkEnd w:id="1"/>
    <w:p w14:paraId="777E49A1">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五</w:t>
      </w:r>
      <w:r>
        <w:rPr>
          <w:rFonts w:hint="default" w:ascii="Times New Roman" w:hAnsi="Times New Roman" w:eastAsia="仿宋_GB2312" w:cs="Times New Roman"/>
          <w:b w:val="0"/>
          <w:bCs w:val="0"/>
          <w:color w:val="auto"/>
          <w:sz w:val="32"/>
          <w:szCs w:val="32"/>
          <w:highlight w:val="none"/>
        </w:rPr>
        <w:t>）加强环境风险防范和应急工作</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建立健全环境事故应急体系，落实各项环境风险防范与应急措施，确保</w:t>
      </w:r>
      <w:r>
        <w:rPr>
          <w:rFonts w:hint="default" w:ascii="Times New Roman" w:hAnsi="Times New Roman" w:eastAsia="仿宋_GB2312" w:cs="Times New Roman"/>
          <w:b w:val="0"/>
          <w:bCs w:val="0"/>
          <w:color w:val="auto"/>
          <w:sz w:val="32"/>
          <w:szCs w:val="32"/>
          <w:highlight w:val="none"/>
          <w:lang w:eastAsia="zh-CN"/>
        </w:rPr>
        <w:t>生态</w:t>
      </w:r>
      <w:r>
        <w:rPr>
          <w:rFonts w:hint="default" w:ascii="Times New Roman" w:hAnsi="Times New Roman" w:eastAsia="仿宋_GB2312" w:cs="Times New Roman"/>
          <w:b w:val="0"/>
          <w:bCs w:val="0"/>
          <w:color w:val="auto"/>
          <w:sz w:val="32"/>
          <w:szCs w:val="32"/>
          <w:highlight w:val="none"/>
        </w:rPr>
        <w:t>环境安全。</w:t>
      </w:r>
    </w:p>
    <w:p w14:paraId="33700F99">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CN"/>
        </w:rPr>
        <w:t>（六）</w:t>
      </w:r>
      <w:r>
        <w:rPr>
          <w:rFonts w:hint="default" w:ascii="Times New Roman" w:hAnsi="Times New Roman" w:eastAsia="仿宋_GB2312" w:cs="Times New Roman"/>
          <w:b w:val="0"/>
          <w:bCs w:val="0"/>
          <w:color w:val="auto"/>
          <w:sz w:val="32"/>
          <w:szCs w:val="32"/>
          <w:highlight w:val="none"/>
        </w:rPr>
        <w:t>加强运营期</w:t>
      </w:r>
      <w:r>
        <w:rPr>
          <w:rFonts w:hint="default" w:ascii="Times New Roman" w:hAnsi="Times New Roman" w:eastAsia="仿宋_GB2312" w:cs="Times New Roman"/>
          <w:b w:val="0"/>
          <w:bCs w:val="0"/>
          <w:color w:val="auto"/>
          <w:sz w:val="32"/>
          <w:szCs w:val="32"/>
          <w:highlight w:val="none"/>
          <w:lang w:eastAsia="zh-CN"/>
        </w:rPr>
        <w:t>环境保护</w:t>
      </w:r>
      <w:r>
        <w:rPr>
          <w:rFonts w:hint="default" w:ascii="Times New Roman" w:hAnsi="Times New Roman" w:eastAsia="仿宋_GB2312" w:cs="Times New Roman"/>
          <w:b w:val="0"/>
          <w:bCs w:val="0"/>
          <w:color w:val="auto"/>
          <w:sz w:val="32"/>
          <w:szCs w:val="32"/>
          <w:highlight w:val="none"/>
        </w:rPr>
        <w:t>管理，</w:t>
      </w:r>
      <w:r>
        <w:rPr>
          <w:rFonts w:hint="default" w:ascii="Times New Roman" w:hAnsi="Times New Roman" w:eastAsia="仿宋_GB2312" w:cs="Times New Roman"/>
          <w:b w:val="0"/>
          <w:bCs w:val="0"/>
          <w:color w:val="auto"/>
          <w:sz w:val="32"/>
          <w:szCs w:val="32"/>
          <w:highlight w:val="none"/>
          <w:lang w:eastAsia="zh-CN"/>
        </w:rPr>
        <w:t>确保各项污染物稳定达标排放，并</w:t>
      </w:r>
      <w:bookmarkStart w:id="2" w:name="OLE_LINK15"/>
      <w:r>
        <w:rPr>
          <w:rFonts w:hint="default" w:ascii="Times New Roman" w:hAnsi="Times New Roman" w:eastAsia="仿宋_GB2312" w:cs="Times New Roman"/>
          <w:b w:val="0"/>
          <w:bCs w:val="0"/>
          <w:color w:val="auto"/>
          <w:sz w:val="32"/>
          <w:szCs w:val="32"/>
          <w:highlight w:val="none"/>
          <w:lang w:eastAsia="zh-CN"/>
        </w:rPr>
        <w:t>按规定</w:t>
      </w:r>
      <w:r>
        <w:rPr>
          <w:rFonts w:hint="default" w:ascii="Times New Roman" w:hAnsi="Times New Roman" w:eastAsia="仿宋_GB2312" w:cs="Times New Roman"/>
          <w:b w:val="0"/>
          <w:bCs w:val="0"/>
          <w:color w:val="auto"/>
          <w:kern w:val="0"/>
          <w:sz w:val="32"/>
          <w:szCs w:val="32"/>
          <w:highlight w:val="none"/>
        </w:rPr>
        <w:t>做好污染物排放</w:t>
      </w:r>
      <w:r>
        <w:rPr>
          <w:rFonts w:hint="default" w:ascii="Times New Roman" w:hAnsi="Times New Roman" w:eastAsia="仿宋_GB2312" w:cs="Times New Roman"/>
          <w:b w:val="0"/>
          <w:bCs w:val="0"/>
          <w:color w:val="auto"/>
          <w:kern w:val="0"/>
          <w:sz w:val="32"/>
          <w:szCs w:val="32"/>
          <w:highlight w:val="none"/>
          <w:lang w:eastAsia="zh-CN"/>
        </w:rPr>
        <w:t>的自行</w:t>
      </w:r>
      <w:r>
        <w:rPr>
          <w:rFonts w:hint="default" w:ascii="Times New Roman" w:hAnsi="Times New Roman" w:eastAsia="仿宋_GB2312" w:cs="Times New Roman"/>
          <w:b w:val="0"/>
          <w:bCs w:val="0"/>
          <w:color w:val="auto"/>
          <w:kern w:val="0"/>
          <w:sz w:val="32"/>
          <w:szCs w:val="32"/>
          <w:highlight w:val="none"/>
        </w:rPr>
        <w:t>监测</w:t>
      </w:r>
      <w:r>
        <w:rPr>
          <w:rFonts w:hint="default" w:ascii="Times New Roman" w:hAnsi="Times New Roman" w:eastAsia="仿宋_GB2312" w:cs="Times New Roman"/>
          <w:b w:val="0"/>
          <w:bCs w:val="0"/>
          <w:color w:val="auto"/>
          <w:kern w:val="0"/>
          <w:sz w:val="32"/>
          <w:szCs w:val="32"/>
          <w:highlight w:val="none"/>
          <w:lang w:eastAsia="zh-CN"/>
        </w:rPr>
        <w:t>及信息公开工作</w:t>
      </w:r>
      <w:bookmarkEnd w:id="2"/>
      <w:r>
        <w:rPr>
          <w:rFonts w:hint="default" w:ascii="Times New Roman" w:hAnsi="Times New Roman" w:eastAsia="仿宋_GB2312" w:cs="Times New Roman"/>
          <w:b w:val="0"/>
          <w:bCs w:val="0"/>
          <w:color w:val="auto"/>
          <w:kern w:val="0"/>
          <w:sz w:val="32"/>
          <w:szCs w:val="32"/>
          <w:highlight w:val="none"/>
        </w:rPr>
        <w:t>。</w:t>
      </w:r>
    </w:p>
    <w:p w14:paraId="1616DBD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（七）该项目建成后新增污染物排放总量控制指标如下：</w:t>
      </w:r>
      <w:bookmarkStart w:id="3" w:name="OLE_LINK3"/>
      <w:r>
        <w:rPr>
          <w:rFonts w:hint="default" w:ascii="Times New Roman" w:hAnsi="Times New Roman" w:eastAsia="仿宋_GB2312" w:cs="Times New Roman"/>
          <w:b w:val="0"/>
          <w:bCs w:val="0"/>
          <w:color w:val="auto"/>
          <w:sz w:val="32"/>
          <w:szCs w:val="32"/>
          <w:highlight w:val="none"/>
          <w:lang w:eastAsia="zh-CN"/>
        </w:rPr>
        <w:t>挥发性有机物</w:t>
      </w:r>
      <w:bookmarkEnd w:id="3"/>
      <w:r>
        <w:rPr>
          <w:rFonts w:hint="default" w:ascii="Times New Roman" w:hAnsi="Times New Roman" w:eastAsia="仿宋_GB2312" w:cs="Times New Roman"/>
          <w:b w:val="0"/>
          <w:bCs w:val="0"/>
          <w:color w:val="auto"/>
          <w:sz w:val="32"/>
          <w:szCs w:val="32"/>
          <w:highlight w:val="none"/>
          <w:lang w:val="en-US" w:eastAsia="zh-CN"/>
        </w:rPr>
        <w:t>1.991</w:t>
      </w:r>
      <w:r>
        <w:rPr>
          <w:rFonts w:hint="default" w:ascii="Times New Roman" w:hAnsi="Times New Roman" w:eastAsia="仿宋_GB2312" w:cs="Times New Roman"/>
          <w:b w:val="0"/>
          <w:bCs w:val="0"/>
          <w:color w:val="auto"/>
          <w:sz w:val="32"/>
          <w:szCs w:val="32"/>
          <w:highlight w:val="none"/>
        </w:rPr>
        <w:t>吨/年。该</w:t>
      </w:r>
      <w:bookmarkStart w:id="4" w:name="OLE_LINK4"/>
      <w:r>
        <w:rPr>
          <w:rFonts w:hint="default" w:ascii="Times New Roman" w:hAnsi="Times New Roman" w:eastAsia="仿宋_GB2312" w:cs="Times New Roman"/>
          <w:b w:val="0"/>
          <w:bCs w:val="0"/>
          <w:color w:val="auto"/>
          <w:sz w:val="32"/>
          <w:szCs w:val="32"/>
          <w:highlight w:val="none"/>
        </w:rPr>
        <w:t>项目应实施</w:t>
      </w:r>
      <w:r>
        <w:rPr>
          <w:rFonts w:hint="default" w:ascii="Times New Roman" w:hAnsi="Times New Roman" w:eastAsia="仿宋_GB2312" w:cs="Times New Roman"/>
          <w:b w:val="0"/>
          <w:bCs w:val="0"/>
          <w:color w:val="auto"/>
          <w:sz w:val="32"/>
          <w:szCs w:val="32"/>
          <w:highlight w:val="none"/>
          <w:lang w:eastAsia="zh-CN"/>
        </w:rPr>
        <w:t>挥发性有机物</w:t>
      </w:r>
      <w:r>
        <w:rPr>
          <w:rFonts w:hint="default"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rPr>
        <w:t>倍替代</w:t>
      </w:r>
      <w:bookmarkEnd w:id="4"/>
      <w:r>
        <w:rPr>
          <w:rFonts w:hint="default" w:ascii="Times New Roman" w:hAnsi="Times New Roman" w:eastAsia="仿宋_GB2312" w:cs="Times New Roman"/>
          <w:b w:val="0"/>
          <w:bCs w:val="0"/>
          <w:color w:val="auto"/>
          <w:sz w:val="32"/>
          <w:szCs w:val="32"/>
          <w:highlight w:val="none"/>
        </w:rPr>
        <w:t>，所需</w:t>
      </w:r>
      <w:r>
        <w:rPr>
          <w:rFonts w:hint="default" w:ascii="Times New Roman" w:hAnsi="Times New Roman" w:eastAsia="仿宋_GB2312" w:cs="Times New Roman"/>
          <w:b w:val="0"/>
          <w:bCs w:val="0"/>
          <w:color w:val="auto"/>
          <w:sz w:val="32"/>
          <w:szCs w:val="32"/>
          <w:highlight w:val="none"/>
          <w:lang w:eastAsia="zh-CN"/>
        </w:rPr>
        <w:t>挥发性有机物</w:t>
      </w:r>
      <w:r>
        <w:rPr>
          <w:rFonts w:hint="default" w:ascii="Times New Roman" w:hAnsi="Times New Roman" w:eastAsia="仿宋_GB2312" w:cs="Times New Roman"/>
          <w:b w:val="0"/>
          <w:bCs w:val="0"/>
          <w:color w:val="auto"/>
          <w:sz w:val="32"/>
          <w:szCs w:val="32"/>
          <w:highlight w:val="none"/>
        </w:rPr>
        <w:t>替代指标</w:t>
      </w:r>
      <w:r>
        <w:rPr>
          <w:rFonts w:hint="default" w:ascii="Times New Roman" w:hAnsi="Times New Roman" w:eastAsia="仿宋_GB2312" w:cs="Times New Roman"/>
          <w:b w:val="0"/>
          <w:bCs w:val="0"/>
          <w:color w:val="auto"/>
          <w:sz w:val="32"/>
          <w:szCs w:val="32"/>
          <w:highlight w:val="none"/>
          <w:lang w:val="en-US" w:eastAsia="zh-CN"/>
        </w:rPr>
        <w:t>3.982</w:t>
      </w:r>
      <w:r>
        <w:rPr>
          <w:rFonts w:hint="default" w:ascii="Times New Roman" w:hAnsi="Times New Roman" w:eastAsia="仿宋_GB2312" w:cs="Times New Roman"/>
          <w:b w:val="0"/>
          <w:bCs w:val="0"/>
          <w:color w:val="auto"/>
          <w:sz w:val="32"/>
          <w:szCs w:val="32"/>
          <w:highlight w:val="none"/>
        </w:rPr>
        <w:t>吨/年。</w:t>
      </w:r>
      <w:r>
        <w:rPr>
          <w:rFonts w:hint="default" w:ascii="Times New Roman" w:hAnsi="Times New Roman" w:eastAsia="仿宋_GB2312" w:cs="Times New Roman"/>
          <w:b w:val="0"/>
          <w:bCs w:val="0"/>
          <w:color w:val="auto"/>
          <w:sz w:val="32"/>
          <w:szCs w:val="32"/>
          <w:highlight w:val="none"/>
          <w:lang w:eastAsia="zh-CN"/>
        </w:rPr>
        <w:t>项目建成后再根据实际排放及污染物总量控制要求予以核定。</w:t>
      </w:r>
    </w:p>
    <w:p w14:paraId="16F75DE3">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八</w:t>
      </w:r>
      <w:r>
        <w:rPr>
          <w:rFonts w:hint="default" w:ascii="Times New Roman" w:hAnsi="Times New Roman" w:eastAsia="仿宋_GB2312" w:cs="Times New Roman"/>
          <w:i w:val="0"/>
          <w:iCs w:val="0"/>
          <w:color w:val="auto"/>
          <w:sz w:val="32"/>
          <w:szCs w:val="32"/>
          <w:highlight w:val="none"/>
        </w:rPr>
        <w:t>）</w:t>
      </w:r>
      <w:bookmarkStart w:id="5" w:name="OLE_LINK21"/>
      <w:r>
        <w:rPr>
          <w:rFonts w:hint="default" w:ascii="Times New Roman" w:hAnsi="Times New Roman" w:eastAsia="仿宋_GB2312" w:cs="Times New Roman"/>
          <w:color w:val="auto"/>
          <w:sz w:val="32"/>
          <w:szCs w:val="32"/>
          <w:highlight w:val="none"/>
        </w:rPr>
        <w:t>项目建设</w:t>
      </w:r>
      <w:r>
        <w:rPr>
          <w:rFonts w:hint="default" w:ascii="Times New Roman" w:hAnsi="Times New Roman" w:eastAsia="仿宋_GB2312" w:cs="Times New Roman"/>
          <w:color w:val="auto"/>
          <w:sz w:val="32"/>
          <w:szCs w:val="32"/>
          <w:highlight w:val="none"/>
          <w:lang w:eastAsia="zh-CN"/>
        </w:rPr>
        <w:t>应</w:t>
      </w:r>
      <w:r>
        <w:rPr>
          <w:rFonts w:hint="default" w:ascii="Times New Roman" w:hAnsi="Times New Roman" w:eastAsia="仿宋_GB2312" w:cs="Times New Roman"/>
          <w:color w:val="auto"/>
          <w:sz w:val="32"/>
          <w:szCs w:val="32"/>
          <w:highlight w:val="none"/>
        </w:rPr>
        <w:t>符合法律、法规等要求，如涉及规划、水务、消防等</w:t>
      </w:r>
      <w:r>
        <w:rPr>
          <w:rFonts w:hint="default" w:ascii="Times New Roman" w:hAnsi="Times New Roman" w:eastAsia="仿宋_GB2312" w:cs="Times New Roman"/>
          <w:color w:val="auto"/>
          <w:sz w:val="32"/>
          <w:szCs w:val="32"/>
          <w:highlight w:val="none"/>
          <w:lang w:eastAsia="zh-CN"/>
        </w:rPr>
        <w:t>其他部门许可事项的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须依法办理相关手续</w:t>
      </w:r>
      <w:r>
        <w:rPr>
          <w:rFonts w:hint="default" w:ascii="Times New Roman" w:hAnsi="Times New Roman" w:eastAsia="仿宋_GB2312" w:cs="Times New Roman"/>
          <w:color w:val="auto"/>
          <w:sz w:val="32"/>
          <w:szCs w:val="32"/>
          <w:highlight w:val="none"/>
        </w:rPr>
        <w:t>。</w:t>
      </w:r>
      <w:bookmarkEnd w:id="5"/>
    </w:p>
    <w:p w14:paraId="74170BE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4AE9D0EE">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b w:val="0"/>
          <w:bCs w:val="0"/>
          <w:color w:val="auto"/>
          <w:sz w:val="32"/>
          <w:szCs w:val="32"/>
          <w:highlight w:val="none"/>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2799DFF0">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五、</w:t>
      </w:r>
      <w:r>
        <w:rPr>
          <w:rFonts w:hint="eastAsia" w:ascii="仿宋_GB2312" w:eastAsia="仿宋_GB2312"/>
          <w:color w:val="000000" w:themeColor="text1"/>
          <w:sz w:val="32"/>
          <w:szCs w:val="32"/>
          <w14:textFill>
            <w14:solidFill>
              <w14:schemeClr w14:val="tx1"/>
            </w14:solidFill>
          </w14:textFill>
        </w:rPr>
        <w:t>自本批复批准之日起</w:t>
      </w:r>
      <w:r>
        <w:rPr>
          <w:rFonts w:hint="eastAsia" w:ascii="Times New Roman" w:hAnsi="Times New Roman" w:eastAsia="仿宋_GB2312" w:cs="Times New Roman"/>
          <w:color w:val="auto"/>
          <w:sz w:val="32"/>
          <w:szCs w:val="32"/>
          <w:lang w:val="en-US" w:eastAsia="zh-CN"/>
        </w:rPr>
        <w:t>，原批复文件穗（番）环管影</w:t>
      </w:r>
      <w:r>
        <w:rPr>
          <w:rFonts w:hint="default" w:ascii="Times New Roman" w:hAnsi="Times New Roman" w:eastAsia="仿宋_GB2312" w:cs="Times New Roman"/>
          <w:color w:val="auto"/>
          <w:sz w:val="32"/>
          <w:szCs w:val="32"/>
        </w:rPr>
        <w:t>〔20</w:t>
      </w:r>
      <w:r>
        <w:rPr>
          <w:rFonts w:hint="eastAsia"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411</w:t>
      </w:r>
      <w:r>
        <w:rPr>
          <w:rFonts w:hint="default" w:ascii="Times New Roman" w:hAnsi="Times New Roman" w:eastAsia="仿宋_GB2312" w:cs="Times New Roman"/>
          <w:color w:val="auto"/>
          <w:sz w:val="32"/>
          <w:szCs w:val="32"/>
        </w:rPr>
        <w:t>号</w:t>
      </w:r>
      <w:r>
        <w:rPr>
          <w:rFonts w:hint="eastAsia" w:ascii="Times New Roman" w:hAnsi="Times New Roman" w:eastAsia="仿宋_GB2312" w:cs="Times New Roman"/>
          <w:color w:val="auto"/>
          <w:sz w:val="32"/>
          <w:szCs w:val="32"/>
          <w:lang w:val="en-US" w:eastAsia="zh-CN"/>
        </w:rPr>
        <w:t>同时废止。</w:t>
      </w:r>
    </w:p>
    <w:p w14:paraId="60D15471">
      <w:pPr>
        <w:keepNext w:val="0"/>
        <w:keepLines w:val="0"/>
        <w:pageBreakBefore w:val="0"/>
        <w:kinsoku/>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rPr>
      </w:pPr>
    </w:p>
    <w:p w14:paraId="4B5C78AD">
      <w:pPr>
        <w:keepNext w:val="0"/>
        <w:keepLines w:val="0"/>
        <w:pageBreakBefore w:val="0"/>
        <w:kinsoku/>
        <w:overflowPunct/>
        <w:topLinePunct w:val="0"/>
        <w:autoSpaceDE/>
        <w:autoSpaceDN/>
        <w:bidi w:val="0"/>
        <w:spacing w:line="560" w:lineRule="exact"/>
        <w:textAlignment w:val="auto"/>
        <w:rPr>
          <w:rFonts w:hint="eastAsia" w:ascii="Times New Roman" w:hAnsi="Times New Roman" w:eastAsia="仿宋_GB2312" w:cs="Times New Roman"/>
          <w:color w:val="auto"/>
          <w:sz w:val="32"/>
          <w:szCs w:val="32"/>
          <w:lang w:eastAsia="zh-CN"/>
        </w:rPr>
      </w:pPr>
    </w:p>
    <w:p w14:paraId="48EBAB9B">
      <w:pPr>
        <w:keepNext w:val="0"/>
        <w:keepLines w:val="0"/>
        <w:pageBreakBefore w:val="0"/>
        <w:kinsoku/>
        <w:overflowPunct/>
        <w:topLinePunct w:val="0"/>
        <w:autoSpaceDE/>
        <w:autoSpaceDN/>
        <w:bidi w:val="0"/>
        <w:spacing w:line="560" w:lineRule="exact"/>
        <w:textAlignment w:val="auto"/>
        <w:rPr>
          <w:rFonts w:hint="eastAsia" w:ascii="Times New Roman" w:hAnsi="Times New Roman" w:eastAsia="仿宋_GB2312" w:cs="Times New Roman"/>
          <w:color w:val="auto"/>
          <w:sz w:val="32"/>
          <w:szCs w:val="32"/>
          <w:lang w:eastAsia="zh-CN"/>
        </w:rPr>
      </w:pPr>
    </w:p>
    <w:p w14:paraId="7E90A0C7">
      <w:pPr>
        <w:keepNext w:val="0"/>
        <w:keepLines w:val="0"/>
        <w:pageBreakBefore w:val="0"/>
        <w:kinsoku/>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rPr>
        <w:t>日</w:t>
      </w:r>
    </w:p>
    <w:p w14:paraId="3AC5045B">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36DBBE00">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1F89B04B">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2A794DDD">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63F32805">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3B573B2B">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bookmarkStart w:id="7" w:name="_GoBack"/>
    </w:p>
    <w:bookmarkEnd w:id="7"/>
    <w:p w14:paraId="3E86AC15">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19E51EBB">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default" w:ascii="Times New Roman" w:hAnsi="Times New Roman" w:eastAsia="仿宋_GB2312" w:cs="Times New Roman"/>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公开方式：</w:t>
      </w:r>
      <w:r>
        <w:rPr>
          <w:rFonts w:hint="default" w:ascii="Times New Roman" w:hAnsi="Times New Roman" w:eastAsia="仿宋_GB2312" w:cs="Times New Roman"/>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rPr>
      </w:pPr>
    </w:p>
    <w:p w14:paraId="6452DAE3">
      <w:pPr>
        <w:keepNext w:val="0"/>
        <w:keepLines w:val="0"/>
        <w:pageBreakBefore w:val="0"/>
        <w:widowControl w:val="0"/>
        <w:kinsoku/>
        <w:wordWrap/>
        <w:overflowPunct/>
        <w:topLinePunct w:val="0"/>
        <w:autoSpaceDE/>
        <w:autoSpaceDN/>
        <w:bidi w:val="0"/>
        <w:adjustRightInd/>
        <w:snapToGrid w:val="0"/>
        <w:spacing w:line="500" w:lineRule="atLeast"/>
        <w:ind w:left="1119" w:leftChars="133" w:hanging="840" w:hangingChars="3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抄送：</w:t>
      </w:r>
      <w:bookmarkStart w:id="6" w:name="OLE_LINK13"/>
      <w:r>
        <w:rPr>
          <w:rFonts w:hint="default" w:ascii="Times New Roman" w:hAnsi="Times New Roman" w:eastAsia="仿宋_GB2312" w:cs="Times New Roman"/>
          <w:color w:val="auto"/>
          <w:sz w:val="28"/>
          <w:szCs w:val="28"/>
        </w:rPr>
        <w:t>广州市生态环境局番禺分局</w:t>
      </w:r>
      <w:r>
        <w:rPr>
          <w:rFonts w:hint="default" w:ascii="Times New Roman" w:hAnsi="Times New Roman" w:eastAsia="仿宋_GB2312" w:cs="Times New Roman"/>
          <w:color w:val="auto"/>
          <w:sz w:val="28"/>
          <w:szCs w:val="28"/>
          <w:lang w:val="en-US" w:eastAsia="zh-CN"/>
        </w:rPr>
        <w:t>监管三科、</w:t>
      </w:r>
      <w:r>
        <w:rPr>
          <w:rFonts w:hint="default" w:ascii="Times New Roman" w:hAnsi="Times New Roman" w:eastAsia="仿宋_GB2312" w:cs="Times New Roman"/>
          <w:color w:val="auto"/>
          <w:sz w:val="28"/>
          <w:szCs w:val="28"/>
        </w:rPr>
        <w:t>执法</w:t>
      </w:r>
      <w:r>
        <w:rPr>
          <w:rFonts w:hint="default" w:ascii="Times New Roman" w:hAnsi="Times New Roman" w:eastAsia="仿宋_GB2312" w:cs="Times New Roman"/>
          <w:color w:val="auto"/>
          <w:sz w:val="28"/>
          <w:szCs w:val="28"/>
          <w:lang w:val="en-US" w:eastAsia="zh-CN"/>
        </w:rPr>
        <w:t>二</w:t>
      </w:r>
      <w:r>
        <w:rPr>
          <w:rFonts w:hint="default" w:ascii="Times New Roman" w:hAnsi="Times New Roman" w:eastAsia="仿宋_GB2312" w:cs="Times New Roman"/>
          <w:color w:val="auto"/>
          <w:sz w:val="28"/>
          <w:szCs w:val="28"/>
        </w:rPr>
        <w:t>科</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广州市生态环境局</w:t>
      </w:r>
      <w:r>
        <w:rPr>
          <w:rFonts w:hint="default" w:ascii="Times New Roman" w:hAnsi="Times New Roman" w:eastAsia="仿宋_GB2312" w:cs="Times New Roman"/>
          <w:color w:val="auto"/>
          <w:sz w:val="28"/>
          <w:szCs w:val="28"/>
          <w:lang w:eastAsia="zh-CN"/>
        </w:rPr>
        <w:t>番禺</w:t>
      </w:r>
      <w:r>
        <w:rPr>
          <w:rFonts w:hint="default" w:ascii="Times New Roman" w:hAnsi="Times New Roman" w:eastAsia="仿宋_GB2312" w:cs="Times New Roman"/>
          <w:color w:val="auto"/>
          <w:sz w:val="28"/>
          <w:szCs w:val="28"/>
        </w:rPr>
        <w:t>第</w:t>
      </w:r>
      <w:r>
        <w:rPr>
          <w:rFonts w:hint="default" w:ascii="Times New Roman" w:hAnsi="Times New Roman" w:eastAsia="仿宋_GB2312" w:cs="Times New Roman"/>
          <w:color w:val="auto"/>
          <w:sz w:val="28"/>
          <w:szCs w:val="28"/>
          <w:lang w:val="en-US" w:eastAsia="zh-CN"/>
        </w:rPr>
        <w:t>四</w:t>
      </w:r>
      <w:r>
        <w:rPr>
          <w:rFonts w:hint="default" w:ascii="Times New Roman" w:hAnsi="Times New Roman" w:eastAsia="仿宋_GB2312" w:cs="Times New Roman"/>
          <w:color w:val="auto"/>
          <w:sz w:val="28"/>
          <w:szCs w:val="28"/>
        </w:rPr>
        <w:t>环保所</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番禺技术中心</w:t>
      </w:r>
      <w:r>
        <w:rPr>
          <w:rFonts w:hint="default" w:ascii="Times New Roman" w:hAnsi="Times New Roman" w:eastAsia="仿宋_GB2312" w:cs="Times New Roman"/>
          <w:color w:val="auto"/>
          <w:sz w:val="28"/>
          <w:szCs w:val="28"/>
          <w:highlight w:val="none"/>
        </w:rPr>
        <w:t>，</w:t>
      </w:r>
      <w:bookmarkEnd w:id="6"/>
      <w:r>
        <w:rPr>
          <w:rFonts w:hint="default" w:ascii="Times New Roman" w:hAnsi="Times New Roman" w:eastAsia="仿宋_GB2312" w:cs="Times New Roman"/>
          <w:color w:val="auto"/>
          <w:sz w:val="28"/>
          <w:szCs w:val="28"/>
          <w:highlight w:val="none"/>
        </w:rPr>
        <w:t>广州市共融环境工程有限公司</w:t>
      </w:r>
      <w:r>
        <w:rPr>
          <w:rFonts w:hint="default" w:ascii="Times New Roman" w:hAnsi="Times New Roman" w:eastAsia="仿宋_GB2312" w:cs="Times New Roman"/>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055A5"/>
    <w:multiLevelType w:val="singleLevel"/>
    <w:tmpl w:val="52A055A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1853DF"/>
    <w:rsid w:val="015B3B47"/>
    <w:rsid w:val="020C3600"/>
    <w:rsid w:val="02262A2C"/>
    <w:rsid w:val="02B50900"/>
    <w:rsid w:val="039E0DF7"/>
    <w:rsid w:val="03E531F1"/>
    <w:rsid w:val="068C5A4E"/>
    <w:rsid w:val="0765792F"/>
    <w:rsid w:val="084A6CA8"/>
    <w:rsid w:val="086055C9"/>
    <w:rsid w:val="08D33389"/>
    <w:rsid w:val="091574A4"/>
    <w:rsid w:val="094B1A14"/>
    <w:rsid w:val="0A590C06"/>
    <w:rsid w:val="0A5F7AC8"/>
    <w:rsid w:val="0A763824"/>
    <w:rsid w:val="0B0523A4"/>
    <w:rsid w:val="0B1F3303"/>
    <w:rsid w:val="0B475AF6"/>
    <w:rsid w:val="0BDF1D07"/>
    <w:rsid w:val="0C232088"/>
    <w:rsid w:val="0C7516B2"/>
    <w:rsid w:val="0C987E96"/>
    <w:rsid w:val="0CBD5E72"/>
    <w:rsid w:val="0CF2414E"/>
    <w:rsid w:val="0D573E72"/>
    <w:rsid w:val="0D72469C"/>
    <w:rsid w:val="0D8A0CD6"/>
    <w:rsid w:val="0DE36B99"/>
    <w:rsid w:val="0E3B3C64"/>
    <w:rsid w:val="0E4A2181"/>
    <w:rsid w:val="0E53500F"/>
    <w:rsid w:val="0EA24D8E"/>
    <w:rsid w:val="10BA31FF"/>
    <w:rsid w:val="10BF38FB"/>
    <w:rsid w:val="110B3F03"/>
    <w:rsid w:val="11B62D57"/>
    <w:rsid w:val="12737E91"/>
    <w:rsid w:val="12A237FF"/>
    <w:rsid w:val="12B94EC3"/>
    <w:rsid w:val="12DA5DA1"/>
    <w:rsid w:val="130F58D2"/>
    <w:rsid w:val="137974FF"/>
    <w:rsid w:val="14A04D63"/>
    <w:rsid w:val="14A3156B"/>
    <w:rsid w:val="14BC0E10"/>
    <w:rsid w:val="157D650A"/>
    <w:rsid w:val="158F5289"/>
    <w:rsid w:val="15CF3257"/>
    <w:rsid w:val="15D62BE2"/>
    <w:rsid w:val="16266D06"/>
    <w:rsid w:val="169E58DC"/>
    <w:rsid w:val="171E63FC"/>
    <w:rsid w:val="17E04526"/>
    <w:rsid w:val="18893D8F"/>
    <w:rsid w:val="191D5EC2"/>
    <w:rsid w:val="19B802BF"/>
    <w:rsid w:val="19D60FCE"/>
    <w:rsid w:val="1A532307"/>
    <w:rsid w:val="1A5F4EBC"/>
    <w:rsid w:val="1B132036"/>
    <w:rsid w:val="1B7D6926"/>
    <w:rsid w:val="1BC528C4"/>
    <w:rsid w:val="1C6E0CB4"/>
    <w:rsid w:val="1CAF251B"/>
    <w:rsid w:val="1CBE2FD4"/>
    <w:rsid w:val="1D4266B3"/>
    <w:rsid w:val="1DBB1753"/>
    <w:rsid w:val="1E537B54"/>
    <w:rsid w:val="1F4D7EC7"/>
    <w:rsid w:val="1F52359D"/>
    <w:rsid w:val="1F7A5EB1"/>
    <w:rsid w:val="20174E36"/>
    <w:rsid w:val="20CF4E76"/>
    <w:rsid w:val="20EC0598"/>
    <w:rsid w:val="221365B8"/>
    <w:rsid w:val="22D5123E"/>
    <w:rsid w:val="23011A1D"/>
    <w:rsid w:val="23241352"/>
    <w:rsid w:val="23E55A70"/>
    <w:rsid w:val="251251DD"/>
    <w:rsid w:val="2514663D"/>
    <w:rsid w:val="26B164C1"/>
    <w:rsid w:val="280443E1"/>
    <w:rsid w:val="28AE5DA0"/>
    <w:rsid w:val="296341F3"/>
    <w:rsid w:val="2A783D3B"/>
    <w:rsid w:val="2A801BE7"/>
    <w:rsid w:val="2B424A89"/>
    <w:rsid w:val="2BD53F58"/>
    <w:rsid w:val="2DA143BB"/>
    <w:rsid w:val="2F1A44FF"/>
    <w:rsid w:val="2FC17A65"/>
    <w:rsid w:val="2FEB4BBA"/>
    <w:rsid w:val="303A3EAC"/>
    <w:rsid w:val="307C5365"/>
    <w:rsid w:val="30A22B85"/>
    <w:rsid w:val="30F310DC"/>
    <w:rsid w:val="31AB088A"/>
    <w:rsid w:val="32734AB3"/>
    <w:rsid w:val="32743B56"/>
    <w:rsid w:val="32AB6999"/>
    <w:rsid w:val="334C7FB6"/>
    <w:rsid w:val="33C95D34"/>
    <w:rsid w:val="34A100EE"/>
    <w:rsid w:val="35D37D9D"/>
    <w:rsid w:val="361B48D1"/>
    <w:rsid w:val="36D37903"/>
    <w:rsid w:val="36DC47B5"/>
    <w:rsid w:val="38360444"/>
    <w:rsid w:val="38E73AEB"/>
    <w:rsid w:val="38EB77CC"/>
    <w:rsid w:val="392F1CE1"/>
    <w:rsid w:val="3A1D0EF5"/>
    <w:rsid w:val="3AA44A54"/>
    <w:rsid w:val="3AE822E0"/>
    <w:rsid w:val="3AFF08D7"/>
    <w:rsid w:val="3C333252"/>
    <w:rsid w:val="3C480C45"/>
    <w:rsid w:val="3C5C6BA4"/>
    <w:rsid w:val="3C8B0C00"/>
    <w:rsid w:val="3CC7607D"/>
    <w:rsid w:val="3CCA53AD"/>
    <w:rsid w:val="3CF81873"/>
    <w:rsid w:val="3D034824"/>
    <w:rsid w:val="3DE27716"/>
    <w:rsid w:val="3EBC4E7A"/>
    <w:rsid w:val="3EE73740"/>
    <w:rsid w:val="3EEA5570"/>
    <w:rsid w:val="3EFA2761"/>
    <w:rsid w:val="3FAA0BE9"/>
    <w:rsid w:val="3FAE7C86"/>
    <w:rsid w:val="403B0B6F"/>
    <w:rsid w:val="409A0B88"/>
    <w:rsid w:val="41171C7F"/>
    <w:rsid w:val="41767900"/>
    <w:rsid w:val="43006F28"/>
    <w:rsid w:val="431C44AA"/>
    <w:rsid w:val="439D247A"/>
    <w:rsid w:val="43BD29AF"/>
    <w:rsid w:val="44345E70"/>
    <w:rsid w:val="450F1F75"/>
    <w:rsid w:val="453C3F01"/>
    <w:rsid w:val="45A3734C"/>
    <w:rsid w:val="45BC2474"/>
    <w:rsid w:val="45E73322"/>
    <w:rsid w:val="467F5A35"/>
    <w:rsid w:val="47032A75"/>
    <w:rsid w:val="472B71D3"/>
    <w:rsid w:val="4AD43451"/>
    <w:rsid w:val="4AE22D88"/>
    <w:rsid w:val="4AED6579"/>
    <w:rsid w:val="4B455183"/>
    <w:rsid w:val="4B621286"/>
    <w:rsid w:val="4C58104F"/>
    <w:rsid w:val="4CC90409"/>
    <w:rsid w:val="4CDB6B18"/>
    <w:rsid w:val="4D1D2609"/>
    <w:rsid w:val="4DB85A75"/>
    <w:rsid w:val="4DBE6397"/>
    <w:rsid w:val="4DE818F3"/>
    <w:rsid w:val="4E305A20"/>
    <w:rsid w:val="4E8B4B4F"/>
    <w:rsid w:val="4EB11A7C"/>
    <w:rsid w:val="4EF9289C"/>
    <w:rsid w:val="4F5764B9"/>
    <w:rsid w:val="4F586ABA"/>
    <w:rsid w:val="4F9C166D"/>
    <w:rsid w:val="4FAD6EC7"/>
    <w:rsid w:val="4FB57524"/>
    <w:rsid w:val="51F77D06"/>
    <w:rsid w:val="5217603C"/>
    <w:rsid w:val="529E6199"/>
    <w:rsid w:val="52B3173E"/>
    <w:rsid w:val="53406164"/>
    <w:rsid w:val="534F2F21"/>
    <w:rsid w:val="5363025D"/>
    <w:rsid w:val="54211915"/>
    <w:rsid w:val="55AA541C"/>
    <w:rsid w:val="566F245E"/>
    <w:rsid w:val="567E16A6"/>
    <w:rsid w:val="571F0F7D"/>
    <w:rsid w:val="573C08AD"/>
    <w:rsid w:val="57B66EF2"/>
    <w:rsid w:val="58272CFA"/>
    <w:rsid w:val="593F0F77"/>
    <w:rsid w:val="596879A6"/>
    <w:rsid w:val="59774954"/>
    <w:rsid w:val="59F57B8E"/>
    <w:rsid w:val="59FA16AA"/>
    <w:rsid w:val="5AB20E59"/>
    <w:rsid w:val="5B4F1FDC"/>
    <w:rsid w:val="5B7E4A72"/>
    <w:rsid w:val="5BF213B3"/>
    <w:rsid w:val="5BF244BF"/>
    <w:rsid w:val="5C2A51C2"/>
    <w:rsid w:val="5C5E4398"/>
    <w:rsid w:val="5C7557DB"/>
    <w:rsid w:val="5D620742"/>
    <w:rsid w:val="5DEE3BA9"/>
    <w:rsid w:val="5DFE05C1"/>
    <w:rsid w:val="5E0559CD"/>
    <w:rsid w:val="5E811B87"/>
    <w:rsid w:val="5EC97B35"/>
    <w:rsid w:val="613A2DB2"/>
    <w:rsid w:val="61F15D0F"/>
    <w:rsid w:val="62973EAF"/>
    <w:rsid w:val="62BE08BB"/>
    <w:rsid w:val="62E462C1"/>
    <w:rsid w:val="63F6668D"/>
    <w:rsid w:val="643A5692"/>
    <w:rsid w:val="64693149"/>
    <w:rsid w:val="654827B7"/>
    <w:rsid w:val="654F3592"/>
    <w:rsid w:val="6586009D"/>
    <w:rsid w:val="65AA1556"/>
    <w:rsid w:val="65AC02DD"/>
    <w:rsid w:val="66130F86"/>
    <w:rsid w:val="66BA66DE"/>
    <w:rsid w:val="66D37837"/>
    <w:rsid w:val="670A7A3E"/>
    <w:rsid w:val="689B512C"/>
    <w:rsid w:val="68A7205E"/>
    <w:rsid w:val="693D2737"/>
    <w:rsid w:val="694158BA"/>
    <w:rsid w:val="699478C3"/>
    <w:rsid w:val="69C0748D"/>
    <w:rsid w:val="69EF3DF1"/>
    <w:rsid w:val="6A046C7D"/>
    <w:rsid w:val="6A1308C4"/>
    <w:rsid w:val="6ADD0B5E"/>
    <w:rsid w:val="6B2F71CC"/>
    <w:rsid w:val="6CC87405"/>
    <w:rsid w:val="6CD854A1"/>
    <w:rsid w:val="6CEE3CFF"/>
    <w:rsid w:val="6D8B22BF"/>
    <w:rsid w:val="6DAA1F76"/>
    <w:rsid w:val="6E5A5287"/>
    <w:rsid w:val="6F0931B7"/>
    <w:rsid w:val="6F927898"/>
    <w:rsid w:val="71D41C44"/>
    <w:rsid w:val="71D758D4"/>
    <w:rsid w:val="72064D9E"/>
    <w:rsid w:val="723536EF"/>
    <w:rsid w:val="726D186B"/>
    <w:rsid w:val="726E12CB"/>
    <w:rsid w:val="72B10ABA"/>
    <w:rsid w:val="72E67C90"/>
    <w:rsid w:val="73006EB1"/>
    <w:rsid w:val="73092B14"/>
    <w:rsid w:val="731B7CF4"/>
    <w:rsid w:val="73417714"/>
    <w:rsid w:val="747D1147"/>
    <w:rsid w:val="75EB6208"/>
    <w:rsid w:val="762C5749"/>
    <w:rsid w:val="764F47A9"/>
    <w:rsid w:val="765C5FCF"/>
    <w:rsid w:val="76985CAE"/>
    <w:rsid w:val="77977FC3"/>
    <w:rsid w:val="77A5337F"/>
    <w:rsid w:val="787D6BB1"/>
    <w:rsid w:val="78824C27"/>
    <w:rsid w:val="79442D41"/>
    <w:rsid w:val="7AEB4B37"/>
    <w:rsid w:val="7B331FDF"/>
    <w:rsid w:val="7BA515D0"/>
    <w:rsid w:val="7BE2184C"/>
    <w:rsid w:val="7CAD4798"/>
    <w:rsid w:val="7DFA7CBD"/>
    <w:rsid w:val="7E013DC5"/>
    <w:rsid w:val="7E4F6A23"/>
    <w:rsid w:val="7F012A6E"/>
    <w:rsid w:val="7F204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2162</Words>
  <Characters>2353</Characters>
  <Lines>19</Lines>
  <Paragraphs>5</Paragraphs>
  <TotalTime>8</TotalTime>
  <ScaleCrop>false</ScaleCrop>
  <LinksUpToDate>false</LinksUpToDate>
  <CharactersWithSpaces>2419</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2025-12-15T08:34:00Z</cp:lastPrinted>
  <dcterms:modified xsi:type="dcterms:W3CDTF">2025-12-19T01:33:44Z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402AB93B45E246E18D1652A1036F892A_13</vt:lpwstr>
  </property>
  <property fmtid="{D5CDD505-2E9C-101B-9397-08002B2CF9AE}" pid="5" name="KSOTemplateDocerSaveRecord">
    <vt:lpwstr>eyJoZGlkIjoiYTA3ZGY2MTAyNjdhZTEzYjEwNzE5YzVhN2UzOTFhZTUiLCJ1c2VySWQiOiI2OTQ0MzI4MDIifQ==</vt:lpwstr>
  </property>
</Properties>
</file>