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EFDE16">
      <w:pPr>
        <w:spacing w:line="580" w:lineRule="exact"/>
        <w:ind w:right="23" w:rightChars="11"/>
        <w:rPr>
          <w:rFonts w:hint="eastAsia" w:ascii="仿宋_GB2312" w:eastAsia="仿宋_GB2312"/>
          <w:sz w:val="32"/>
        </w:rPr>
      </w:pPr>
      <w:r>
        <w:rPr>
          <w:rFonts w:hint="eastAsia" w:eastAsia="仿宋_GB2312"/>
          <w:sz w:val="32"/>
        </w:rPr>
        <w:t xml:space="preserve">                                          </w:t>
      </w:r>
    </w:p>
    <w:p w14:paraId="18CDA06A">
      <w:pPr>
        <w:keepNext w:val="0"/>
        <w:keepLines w:val="0"/>
        <w:widowControl w:val="0"/>
        <w:suppressLineNumbers w:val="0"/>
        <w:spacing w:line="590" w:lineRule="exact"/>
        <w:jc w:val="right"/>
        <w:rPr>
          <w:rFonts w:ascii="Times New Roman" w:hAnsi="Times New Roman" w:eastAsia="仿宋_GB2312" w:cs="Times New Roman"/>
          <w:b w:val="0"/>
          <w:bCs w:val="0"/>
          <w:sz w:val="32"/>
          <w:szCs w:val="32"/>
        </w:rPr>
      </w:pPr>
      <w:bookmarkStart w:id="0" w:name="Content"/>
      <w:r>
        <w:rPr>
          <w:rFonts w:ascii="Times New Roman" w:hAnsi="Times New Roman" w:eastAsia="仿宋_GB2312" w:cs="Times New Roman"/>
          <w:b w:val="0"/>
          <w:bCs w:val="0"/>
          <w:i w:val="0"/>
          <w:iCs w:val="0"/>
          <w:caps w:val="0"/>
          <w:spacing w:val="0"/>
          <w:kern w:val="2"/>
          <w:sz w:val="32"/>
          <w:szCs w:val="32"/>
          <w:shd w:val="clear" w:color="auto" w:fill="auto"/>
          <w:lang w:val="en-US" w:eastAsia="zh-CN" w:bidi="ar"/>
        </w:rPr>
        <w:t>穗环管影</w:t>
      </w:r>
      <w:r>
        <w:rPr>
          <w:rFonts w:hint="eastAsia" w:eastAsia="仿宋_GB2312" w:cs="Times New Roman"/>
          <w:b w:val="0"/>
          <w:bCs w:val="0"/>
          <w:i w:val="0"/>
          <w:iCs w:val="0"/>
          <w:caps w:val="0"/>
          <w:spacing w:val="0"/>
          <w:kern w:val="2"/>
          <w:sz w:val="32"/>
          <w:szCs w:val="32"/>
          <w:shd w:val="clear" w:color="auto" w:fill="auto"/>
          <w:lang w:val="en-US" w:eastAsia="zh-CN" w:bidi="ar"/>
        </w:rPr>
        <w:t>（</w:t>
      </w:r>
      <w:r>
        <w:rPr>
          <w:rFonts w:hint="eastAsia" w:eastAsia="仿宋_GB2312" w:cs="Times New Roman"/>
          <w:b w:val="0"/>
          <w:bCs w:val="0"/>
          <w:i w:val="0"/>
          <w:iCs w:val="0"/>
          <w:caps w:val="0"/>
          <w:color w:val="auto"/>
          <w:spacing w:val="0"/>
          <w:kern w:val="2"/>
          <w:sz w:val="32"/>
          <w:szCs w:val="32"/>
          <w:shd w:val="clear" w:color="auto" w:fill="auto"/>
          <w:lang w:val="en-US" w:eastAsia="zh-CN" w:bidi="ar"/>
        </w:rPr>
        <w:t>番</w:t>
      </w:r>
      <w:r>
        <w:rPr>
          <w:rFonts w:hint="eastAsia" w:eastAsia="仿宋_GB2312" w:cs="Times New Roman"/>
          <w:b w:val="0"/>
          <w:bCs w:val="0"/>
          <w:i w:val="0"/>
          <w:iCs w:val="0"/>
          <w:caps w:val="0"/>
          <w:spacing w:val="0"/>
          <w:kern w:val="2"/>
          <w:sz w:val="32"/>
          <w:szCs w:val="32"/>
          <w:shd w:val="clear" w:color="auto" w:fill="auto"/>
          <w:lang w:val="en-US" w:eastAsia="zh-CN" w:bidi="ar"/>
        </w:rPr>
        <w:t>）</w:t>
      </w:r>
      <w:r>
        <w:rPr>
          <w:rFonts w:ascii="Times New Roman" w:hAnsi="Times New Roman" w:eastAsia="仿宋_GB2312" w:cs="Times New Roman"/>
          <w:b w:val="0"/>
          <w:bCs w:val="0"/>
          <w:i w:val="0"/>
          <w:iCs w:val="0"/>
          <w:caps w:val="0"/>
          <w:spacing w:val="0"/>
          <w:kern w:val="2"/>
          <w:sz w:val="32"/>
          <w:szCs w:val="32"/>
          <w:shd w:val="clear" w:color="auto" w:fill="auto"/>
          <w:lang w:val="en-US" w:eastAsia="zh-CN" w:bidi="ar"/>
        </w:rPr>
        <w:t>〔202</w:t>
      </w:r>
      <w:r>
        <w:rPr>
          <w:rFonts w:hint="eastAsia" w:eastAsia="仿宋_GB2312" w:cs="Times New Roman"/>
          <w:b w:val="0"/>
          <w:bCs w:val="0"/>
          <w:i w:val="0"/>
          <w:iCs w:val="0"/>
          <w:caps w:val="0"/>
          <w:spacing w:val="0"/>
          <w:kern w:val="2"/>
          <w:sz w:val="32"/>
          <w:szCs w:val="32"/>
          <w:shd w:val="clear" w:color="auto" w:fill="auto"/>
          <w:lang w:val="en-US" w:eastAsia="zh-CN" w:bidi="ar"/>
        </w:rPr>
        <w:t>5</w:t>
      </w:r>
      <w:r>
        <w:rPr>
          <w:rFonts w:ascii="Times New Roman" w:hAnsi="Times New Roman" w:eastAsia="仿宋_GB2312" w:cs="Times New Roman"/>
          <w:b w:val="0"/>
          <w:bCs w:val="0"/>
          <w:i w:val="0"/>
          <w:iCs w:val="0"/>
          <w:caps w:val="0"/>
          <w:spacing w:val="0"/>
          <w:kern w:val="2"/>
          <w:sz w:val="32"/>
          <w:szCs w:val="32"/>
          <w:shd w:val="clear" w:color="auto" w:fill="auto"/>
          <w:lang w:val="en-US" w:eastAsia="zh-CN" w:bidi="ar"/>
        </w:rPr>
        <w:t>〕</w:t>
      </w:r>
      <w:r>
        <w:rPr>
          <w:rFonts w:hint="eastAsia" w:eastAsia="仿宋_GB2312" w:cs="Times New Roman"/>
          <w:b w:val="0"/>
          <w:bCs w:val="0"/>
          <w:i w:val="0"/>
          <w:iCs w:val="0"/>
          <w:caps w:val="0"/>
          <w:spacing w:val="0"/>
          <w:kern w:val="2"/>
          <w:sz w:val="32"/>
          <w:szCs w:val="32"/>
          <w:shd w:val="clear" w:color="auto" w:fill="auto"/>
          <w:lang w:val="en-US" w:eastAsia="zh-CN" w:bidi="ar"/>
        </w:rPr>
        <w:t>157</w:t>
      </w:r>
      <w:r>
        <w:rPr>
          <w:rFonts w:ascii="Times New Roman" w:hAnsi="Times New Roman" w:eastAsia="仿宋_GB2312" w:cs="Times New Roman"/>
          <w:b w:val="0"/>
          <w:bCs w:val="0"/>
          <w:i w:val="0"/>
          <w:iCs w:val="0"/>
          <w:caps w:val="0"/>
          <w:spacing w:val="0"/>
          <w:kern w:val="2"/>
          <w:sz w:val="32"/>
          <w:szCs w:val="32"/>
          <w:shd w:val="clear" w:color="auto" w:fill="auto"/>
          <w:lang w:val="en-US" w:eastAsia="zh-CN" w:bidi="ar"/>
        </w:rPr>
        <w:t>号</w:t>
      </w:r>
    </w:p>
    <w:p w14:paraId="11CEDC0F">
      <w:pPr>
        <w:spacing w:line="590" w:lineRule="exact"/>
        <w:jc w:val="right"/>
        <w:rPr>
          <w:rFonts w:hint="default" w:ascii="Times New Roman" w:hAnsi="Times New Roman" w:eastAsia="仿宋_GB2312" w:cs="Times New Roman"/>
          <w:b/>
          <w:bCs/>
          <w:sz w:val="32"/>
          <w:szCs w:val="32"/>
        </w:rPr>
      </w:pPr>
      <w:bookmarkStart w:id="9" w:name="_GoBack"/>
      <w:bookmarkEnd w:id="9"/>
    </w:p>
    <w:p w14:paraId="0B7C17BF">
      <w:pPr>
        <w:spacing w:line="590" w:lineRule="exact"/>
        <w:jc w:val="right"/>
        <w:rPr>
          <w:rFonts w:hint="default" w:ascii="Times New Roman" w:hAnsi="Times New Roman" w:eastAsia="仿宋_GB2312" w:cs="Times New Roman"/>
          <w:b/>
          <w:bCs/>
          <w:sz w:val="32"/>
          <w:szCs w:val="32"/>
        </w:rPr>
      </w:pPr>
    </w:p>
    <w:p w14:paraId="01B6AC57">
      <w:pPr>
        <w:spacing w:line="590" w:lineRule="exact"/>
        <w:jc w:val="center"/>
        <w:outlineLvl w:val="0"/>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广州市生态环境局关于广州市爱新创宠物医院有限公司建设项目环境影响报告</w:t>
      </w:r>
      <w:bookmarkStart w:id="1" w:name="OLE_LINK17"/>
      <w:r>
        <w:rPr>
          <w:rFonts w:hint="eastAsia" w:ascii="方正小标宋简体" w:hAnsi="方正小标宋简体" w:eastAsia="方正小标宋简体" w:cs="方正小标宋简体"/>
          <w:b w:val="0"/>
          <w:bCs w:val="0"/>
          <w:sz w:val="44"/>
          <w:szCs w:val="44"/>
          <w:lang w:val="en-US" w:eastAsia="zh-CN"/>
        </w:rPr>
        <w:t>表</w:t>
      </w:r>
      <w:bookmarkEnd w:id="1"/>
      <w:r>
        <w:rPr>
          <w:rFonts w:hint="eastAsia" w:ascii="方正小标宋简体" w:hAnsi="方正小标宋简体" w:eastAsia="方正小标宋简体" w:cs="方正小标宋简体"/>
          <w:b w:val="0"/>
          <w:bCs w:val="0"/>
          <w:sz w:val="44"/>
          <w:szCs w:val="44"/>
        </w:rPr>
        <w:t>的批复</w:t>
      </w:r>
    </w:p>
    <w:p w14:paraId="4D33860A">
      <w:pPr>
        <w:spacing w:line="590" w:lineRule="exact"/>
        <w:ind w:firstLine="643" w:firstLineChars="200"/>
        <w:jc w:val="center"/>
        <w:rPr>
          <w:rFonts w:hint="eastAsia" w:ascii="Times New Roman" w:hAnsi="Times New Roman" w:eastAsia="仿宋_GB2312" w:cs="Times New Roman"/>
          <w:b/>
          <w:bCs/>
          <w:sz w:val="32"/>
          <w:szCs w:val="32"/>
          <w:lang w:eastAsia="zh-CN"/>
        </w:rPr>
      </w:pPr>
    </w:p>
    <w:p w14:paraId="6D182BDD">
      <w:pPr>
        <w:keepNext w:val="0"/>
        <w:keepLines w:val="0"/>
        <w:pageBreakBefore w:val="0"/>
        <w:widowControl w:val="0"/>
        <w:kinsoku/>
        <w:wordWrap/>
        <w:overflowPunct/>
        <w:topLinePunct w:val="0"/>
        <w:bidi w:val="0"/>
        <w:snapToGrid w:val="0"/>
        <w:spacing w:line="600" w:lineRule="exact"/>
        <w:jc w:val="left"/>
        <w:textAlignment w:val="auto"/>
        <w:rPr>
          <w:rFonts w:hint="default" w:ascii="Times New Roman" w:hAnsi="Times New Roman" w:eastAsia="仿宋_GB2312" w:cs="Times New Roman"/>
          <w:b w:val="0"/>
          <w:bCs w:val="0"/>
          <w:sz w:val="32"/>
          <w:szCs w:val="32"/>
        </w:rPr>
      </w:pPr>
      <w:r>
        <w:rPr>
          <w:rFonts w:hint="eastAsia" w:ascii="Times New Roman" w:hAnsi="Times New Roman" w:eastAsia="仿宋_GB2312" w:cs="Times New Roman"/>
          <w:b w:val="0"/>
          <w:bCs w:val="0"/>
          <w:sz w:val="32"/>
          <w:szCs w:val="32"/>
          <w:lang w:eastAsia="zh-CN"/>
        </w:rPr>
        <w:t>广州市爱新创宠物医院有限公司（91440113MA9YDKBBXQ）</w:t>
      </w:r>
      <w:r>
        <w:rPr>
          <w:rFonts w:hint="default" w:ascii="Times New Roman" w:hAnsi="Times New Roman" w:eastAsia="仿宋_GB2312" w:cs="Times New Roman"/>
          <w:b w:val="0"/>
          <w:bCs w:val="0"/>
          <w:sz w:val="32"/>
          <w:szCs w:val="32"/>
        </w:rPr>
        <w:t>：</w:t>
      </w:r>
    </w:p>
    <w:p w14:paraId="44A21656">
      <w:pPr>
        <w:keepNext w:val="0"/>
        <w:keepLines w:val="0"/>
        <w:pageBreakBefore w:val="0"/>
        <w:widowControl w:val="0"/>
        <w:kinsoku/>
        <w:wordWrap/>
        <w:overflowPunct/>
        <w:topLinePunct w:val="0"/>
        <w:bidi w:val="0"/>
        <w:spacing w:line="600" w:lineRule="exact"/>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 xml:space="preserve">    你公司报批的《广州市爱新创宠物医院有限公司建设项目环境影响报告</w:t>
      </w:r>
      <w:bookmarkStart w:id="2" w:name="OLE_LINK18"/>
      <w:r>
        <w:rPr>
          <w:rFonts w:hint="default" w:ascii="Times New Roman" w:hAnsi="Times New Roman" w:eastAsia="仿宋_GB2312" w:cs="Times New Roman"/>
          <w:b w:val="0"/>
          <w:bCs w:val="0"/>
          <w:sz w:val="32"/>
          <w:szCs w:val="32"/>
          <w:lang w:val="en-US" w:eastAsia="zh-CN"/>
        </w:rPr>
        <w:t>表</w:t>
      </w:r>
      <w:bookmarkEnd w:id="2"/>
      <w:r>
        <w:rPr>
          <w:rFonts w:hint="default" w:ascii="Times New Roman" w:hAnsi="Times New Roman" w:eastAsia="仿宋_GB2312" w:cs="Times New Roman"/>
          <w:b w:val="0"/>
          <w:bCs w:val="0"/>
          <w:sz w:val="32"/>
          <w:szCs w:val="32"/>
        </w:rPr>
        <w:t>》（以下简称《报告</w:t>
      </w:r>
      <w:r>
        <w:rPr>
          <w:rFonts w:hint="default" w:ascii="Times New Roman" w:hAnsi="Times New Roman" w:eastAsia="仿宋_GB2312" w:cs="Times New Roman"/>
          <w:b w:val="0"/>
          <w:bCs w:val="0"/>
          <w:sz w:val="32"/>
          <w:szCs w:val="32"/>
          <w:lang w:val="en-US" w:eastAsia="zh-CN"/>
        </w:rPr>
        <w:t>表</w:t>
      </w:r>
      <w:r>
        <w:rPr>
          <w:rFonts w:hint="default" w:ascii="Times New Roman" w:hAnsi="Times New Roman" w:eastAsia="仿宋_GB2312" w:cs="Times New Roman"/>
          <w:b w:val="0"/>
          <w:bCs w:val="0"/>
          <w:sz w:val="32"/>
          <w:szCs w:val="32"/>
        </w:rPr>
        <w:t>》）及相关资料收悉。经研究，批复如下：</w:t>
      </w:r>
    </w:p>
    <w:p w14:paraId="37BE7279">
      <w:pPr>
        <w:keepNext w:val="0"/>
        <w:keepLines w:val="0"/>
        <w:pageBreakBefore w:val="0"/>
        <w:widowControl w:val="0"/>
        <w:kinsoku/>
        <w:wordWrap/>
        <w:overflowPunct/>
        <w:topLinePunct w:val="0"/>
        <w:bidi w:val="0"/>
        <w:spacing w:line="600" w:lineRule="exact"/>
        <w:ind w:firstLine="972" w:firstLineChars="304"/>
        <w:textAlignment w:val="auto"/>
        <w:rPr>
          <w:rFonts w:hint="eastAsia" w:ascii="Times New Roman" w:hAnsi="Times New Roman" w:eastAsia="仿宋_GB2312" w:cs="Times New Roman"/>
          <w:b w:val="0"/>
          <w:bCs w:val="0"/>
          <w:color w:val="FF0000"/>
          <w:kern w:val="0"/>
          <w:sz w:val="32"/>
          <w:szCs w:val="32"/>
          <w:lang w:eastAsia="zh-CN"/>
        </w:rPr>
      </w:pPr>
      <w:r>
        <w:rPr>
          <w:rFonts w:hint="default" w:ascii="Times New Roman" w:hAnsi="Times New Roman" w:eastAsia="仿宋_GB2312" w:cs="Times New Roman"/>
          <w:b w:val="0"/>
          <w:bCs w:val="0"/>
          <w:sz w:val="32"/>
          <w:szCs w:val="32"/>
        </w:rPr>
        <w:t>一、广州市爱新创宠物医院有限公司建设项目位于广州</w:t>
      </w:r>
      <w:r>
        <w:rPr>
          <w:rFonts w:hint="eastAsia" w:eastAsia="仿宋_GB2312" w:cs="Times New Roman"/>
          <w:b w:val="0"/>
          <w:bCs w:val="0"/>
          <w:sz w:val="32"/>
          <w:szCs w:val="32"/>
          <w:lang w:val="en-US" w:eastAsia="zh-CN"/>
        </w:rPr>
        <w:t>市</w:t>
      </w:r>
      <w:r>
        <w:rPr>
          <w:rFonts w:hint="default" w:ascii="Times New Roman" w:hAnsi="Times New Roman" w:eastAsia="仿宋_GB2312" w:cs="Times New Roman"/>
          <w:b w:val="0"/>
          <w:bCs w:val="0"/>
          <w:sz w:val="32"/>
          <w:szCs w:val="32"/>
        </w:rPr>
        <w:t>番禺区钟村街锦绣花园西区一期春满园首层87、89号</w:t>
      </w:r>
      <w:r>
        <w:rPr>
          <w:rFonts w:hint="eastAsia" w:ascii="Times New Roman" w:hAnsi="Times New Roman" w:eastAsia="仿宋_GB2312" w:cs="Times New Roman"/>
          <w:b w:val="0"/>
          <w:bCs w:val="0"/>
          <w:sz w:val="32"/>
          <w:szCs w:val="32"/>
          <w:lang w:eastAsia="zh-CN"/>
        </w:rPr>
        <w:t>，申报内容为从事动物美容、洗浴、寄养、动物疾病预防、诊疗、治疗（包括三腔手术）、绝育手术和售卖猫狗粮等</w:t>
      </w:r>
      <w:r>
        <w:rPr>
          <w:rFonts w:hint="eastAsia" w:eastAsia="仿宋_GB2312" w:cs="Times New Roman"/>
          <w:b w:val="0"/>
          <w:bCs w:val="0"/>
          <w:sz w:val="32"/>
          <w:szCs w:val="32"/>
          <w:lang w:eastAsia="zh-CN"/>
        </w:rPr>
        <w:t>，本项目单日最大接诊、美容及</w:t>
      </w:r>
      <w:r>
        <w:rPr>
          <w:rFonts w:hint="eastAsia" w:eastAsia="仿宋_GB2312" w:cs="Times New Roman"/>
          <w:b w:val="0"/>
          <w:bCs w:val="0"/>
          <w:color w:val="auto"/>
          <w:sz w:val="32"/>
          <w:szCs w:val="32"/>
          <w:lang w:eastAsia="zh-CN"/>
        </w:rPr>
        <w:t>寄养宠物量共20只/天（5200只/年），其中宠物诊疗量（含住院）4只</w:t>
      </w:r>
      <w:r>
        <w:rPr>
          <w:rFonts w:hint="eastAsia" w:eastAsia="仿宋_GB2312" w:cs="Times New Roman"/>
          <w:b w:val="0"/>
          <w:bCs w:val="0"/>
          <w:color w:val="auto"/>
          <w:sz w:val="32"/>
          <w:szCs w:val="32"/>
          <w:lang w:val="en-US" w:eastAsia="zh-CN"/>
        </w:rPr>
        <w:t>/天</w:t>
      </w:r>
      <w:r>
        <w:rPr>
          <w:rFonts w:hint="eastAsia" w:eastAsia="仿宋_GB2312" w:cs="Times New Roman"/>
          <w:b w:val="0"/>
          <w:bCs w:val="0"/>
          <w:color w:val="auto"/>
          <w:sz w:val="32"/>
          <w:szCs w:val="32"/>
          <w:lang w:eastAsia="zh-CN"/>
        </w:rPr>
        <w:t>（即1040只/年）、美容宠物量6只</w:t>
      </w:r>
      <w:r>
        <w:rPr>
          <w:rFonts w:hint="eastAsia" w:eastAsia="仿宋_GB2312" w:cs="Times New Roman"/>
          <w:b w:val="0"/>
          <w:bCs w:val="0"/>
          <w:color w:val="auto"/>
          <w:sz w:val="32"/>
          <w:szCs w:val="32"/>
          <w:lang w:val="en-US" w:eastAsia="zh-CN"/>
        </w:rPr>
        <w:t>/天</w:t>
      </w:r>
      <w:r>
        <w:rPr>
          <w:rFonts w:hint="eastAsia" w:eastAsia="仿宋_GB2312" w:cs="Times New Roman"/>
          <w:b w:val="0"/>
          <w:bCs w:val="0"/>
          <w:color w:val="auto"/>
          <w:sz w:val="32"/>
          <w:szCs w:val="32"/>
          <w:lang w:eastAsia="zh-CN"/>
        </w:rPr>
        <w:t>（1560只/年）、寄养宠物量4只</w:t>
      </w:r>
      <w:r>
        <w:rPr>
          <w:rFonts w:hint="eastAsia" w:eastAsia="仿宋_GB2312" w:cs="Times New Roman"/>
          <w:b w:val="0"/>
          <w:bCs w:val="0"/>
          <w:color w:val="auto"/>
          <w:sz w:val="32"/>
          <w:szCs w:val="32"/>
          <w:lang w:val="en-US" w:eastAsia="zh-CN"/>
        </w:rPr>
        <w:t>/天</w:t>
      </w:r>
      <w:r>
        <w:rPr>
          <w:rFonts w:hint="eastAsia" w:eastAsia="仿宋_GB2312" w:cs="Times New Roman"/>
          <w:b w:val="0"/>
          <w:bCs w:val="0"/>
          <w:color w:val="auto"/>
          <w:sz w:val="32"/>
          <w:szCs w:val="32"/>
          <w:lang w:eastAsia="zh-CN"/>
        </w:rPr>
        <w:t>（1040只/年）、门诊疫苗6只/天（1560只/年）</w:t>
      </w:r>
      <w:r>
        <w:rPr>
          <w:rFonts w:hint="eastAsia" w:ascii="Times New Roman" w:hAnsi="Times New Roman" w:eastAsia="仿宋_GB2312" w:cs="Times New Roman"/>
          <w:b w:val="0"/>
          <w:bCs w:val="0"/>
          <w:color w:val="auto"/>
          <w:sz w:val="32"/>
          <w:szCs w:val="32"/>
          <w:lang w:eastAsia="zh-CN"/>
        </w:rPr>
        <w:t>。该项目占地面积99.48平方米，总建筑面积161.4平方米，租用一栋</w:t>
      </w:r>
      <w:r>
        <w:rPr>
          <w:rFonts w:hint="eastAsia" w:eastAsia="仿宋_GB2312" w:cs="Times New Roman"/>
          <w:b w:val="0"/>
          <w:bCs w:val="0"/>
          <w:color w:val="auto"/>
          <w:sz w:val="32"/>
          <w:szCs w:val="32"/>
          <w:lang w:val="en-US" w:eastAsia="zh-CN"/>
        </w:rPr>
        <w:t>六</w:t>
      </w:r>
      <w:r>
        <w:rPr>
          <w:rFonts w:hint="eastAsia" w:ascii="Times New Roman" w:hAnsi="Times New Roman" w:eastAsia="仿宋_GB2312" w:cs="Times New Roman"/>
          <w:b w:val="0"/>
          <w:bCs w:val="0"/>
          <w:color w:val="auto"/>
          <w:sz w:val="32"/>
          <w:szCs w:val="32"/>
          <w:lang w:eastAsia="zh-CN"/>
        </w:rPr>
        <w:t>层建筑物的第</w:t>
      </w:r>
      <w:r>
        <w:rPr>
          <w:rFonts w:hint="eastAsia" w:eastAsia="仿宋_GB2312" w:cs="Times New Roman"/>
          <w:b w:val="0"/>
          <w:bCs w:val="0"/>
          <w:color w:val="auto"/>
          <w:sz w:val="32"/>
          <w:szCs w:val="32"/>
          <w:lang w:val="en-US" w:eastAsia="zh-CN"/>
        </w:rPr>
        <w:t>一</w:t>
      </w:r>
      <w:r>
        <w:rPr>
          <w:rFonts w:hint="eastAsia" w:ascii="Times New Roman" w:hAnsi="Times New Roman" w:eastAsia="仿宋_GB2312" w:cs="Times New Roman"/>
          <w:b w:val="0"/>
          <w:bCs w:val="0"/>
          <w:color w:val="auto"/>
          <w:sz w:val="32"/>
          <w:szCs w:val="32"/>
          <w:lang w:eastAsia="zh-CN"/>
        </w:rPr>
        <w:t>层</w:t>
      </w:r>
      <w:r>
        <w:rPr>
          <w:rFonts w:hint="eastAsia" w:eastAsia="仿宋_GB2312" w:cs="Times New Roman"/>
          <w:b w:val="0"/>
          <w:bCs w:val="0"/>
          <w:color w:val="auto"/>
          <w:sz w:val="32"/>
          <w:szCs w:val="32"/>
          <w:lang w:eastAsia="zh-CN"/>
        </w:rPr>
        <w:t>（</w:t>
      </w:r>
      <w:r>
        <w:rPr>
          <w:rFonts w:hint="eastAsia" w:eastAsia="仿宋_GB2312" w:cs="Times New Roman"/>
          <w:b w:val="0"/>
          <w:bCs w:val="0"/>
          <w:color w:val="auto"/>
          <w:sz w:val="32"/>
          <w:szCs w:val="32"/>
          <w:lang w:val="en-US" w:eastAsia="zh-CN"/>
        </w:rPr>
        <w:t>含夹层</w:t>
      </w:r>
      <w:r>
        <w:rPr>
          <w:rFonts w:hint="eastAsia" w:eastAsia="仿宋_GB2312" w:cs="Times New Roman"/>
          <w:b w:val="0"/>
          <w:bCs w:val="0"/>
          <w:color w:val="auto"/>
          <w:sz w:val="32"/>
          <w:szCs w:val="32"/>
          <w:lang w:eastAsia="zh-CN"/>
        </w:rPr>
        <w:t>）的</w:t>
      </w:r>
      <w:r>
        <w:rPr>
          <w:rFonts w:hint="eastAsia" w:ascii="Times New Roman" w:hAnsi="Times New Roman" w:eastAsia="仿宋_GB2312" w:cs="Times New Roman"/>
          <w:b w:val="0"/>
          <w:bCs w:val="0"/>
          <w:color w:val="auto"/>
          <w:sz w:val="32"/>
          <w:szCs w:val="32"/>
          <w:lang w:eastAsia="zh-CN"/>
        </w:rPr>
        <w:t>部分区域进行建设；</w:t>
      </w:r>
      <w:r>
        <w:rPr>
          <w:rFonts w:hint="eastAsia" w:eastAsia="仿宋_GB2312" w:cs="Times New Roman"/>
          <w:b w:val="0"/>
          <w:bCs w:val="0"/>
          <w:color w:val="auto"/>
          <w:sz w:val="32"/>
          <w:szCs w:val="32"/>
          <w:lang w:val="en-US" w:eastAsia="zh-CN"/>
        </w:rPr>
        <w:t>主要设备</w:t>
      </w:r>
      <w:r>
        <w:rPr>
          <w:rFonts w:hint="eastAsia" w:ascii="Times New Roman" w:hAnsi="Times New Roman" w:eastAsia="仿宋_GB2312" w:cs="Times New Roman"/>
          <w:b w:val="0"/>
          <w:bCs w:val="0"/>
          <w:color w:val="auto"/>
          <w:sz w:val="32"/>
          <w:szCs w:val="32"/>
          <w:lang w:eastAsia="zh-CN"/>
        </w:rPr>
        <w:t>有生化分析仪</w:t>
      </w:r>
      <w:r>
        <w:rPr>
          <w:rFonts w:hint="eastAsia" w:eastAsia="仿宋_GB2312" w:cs="Times New Roman"/>
          <w:b w:val="0"/>
          <w:bCs w:val="0"/>
          <w:color w:val="auto"/>
          <w:sz w:val="32"/>
          <w:szCs w:val="32"/>
          <w:lang w:val="en-US" w:eastAsia="zh-CN"/>
        </w:rPr>
        <w:t>2台、基灵五分类血常规1台、</w:t>
      </w:r>
      <w:r>
        <w:rPr>
          <w:rFonts w:hint="eastAsia" w:ascii="Times New Roman" w:hAnsi="Times New Roman" w:eastAsia="仿宋_GB2312" w:cs="Times New Roman"/>
          <w:b w:val="0"/>
          <w:bCs w:val="0"/>
          <w:color w:val="auto"/>
          <w:sz w:val="32"/>
          <w:szCs w:val="32"/>
          <w:lang w:eastAsia="zh-CN"/>
        </w:rPr>
        <w:t>麻醉机1台、手术台1台、</w:t>
      </w:r>
      <w:r>
        <w:rPr>
          <w:rFonts w:hint="eastAsia" w:eastAsia="仿宋_GB2312" w:cs="Times New Roman"/>
          <w:b w:val="0"/>
          <w:bCs w:val="0"/>
          <w:color w:val="auto"/>
          <w:sz w:val="32"/>
          <w:szCs w:val="32"/>
          <w:lang w:val="en-US" w:eastAsia="zh-CN"/>
        </w:rPr>
        <w:t>离心机1台、</w:t>
      </w:r>
      <w:r>
        <w:rPr>
          <w:rFonts w:hint="eastAsia" w:ascii="Times New Roman" w:hAnsi="Times New Roman" w:eastAsia="仿宋_GB2312" w:cs="Times New Roman"/>
          <w:b w:val="0"/>
          <w:bCs w:val="0"/>
          <w:color w:val="auto"/>
          <w:sz w:val="32"/>
          <w:szCs w:val="32"/>
          <w:lang w:eastAsia="zh-CN"/>
        </w:rPr>
        <w:t>高压灭菌锅1台</w:t>
      </w:r>
      <w:r>
        <w:rPr>
          <w:rFonts w:hint="eastAsia" w:eastAsia="仿宋_GB2312" w:cs="Times New Roman"/>
          <w:b w:val="0"/>
          <w:bCs w:val="0"/>
          <w:color w:val="auto"/>
          <w:sz w:val="32"/>
          <w:szCs w:val="32"/>
          <w:lang w:eastAsia="zh-CN"/>
        </w:rPr>
        <w:t>、</w:t>
      </w:r>
      <w:r>
        <w:rPr>
          <w:rFonts w:hint="eastAsia" w:eastAsia="仿宋_GB2312" w:cs="Times New Roman"/>
          <w:b w:val="0"/>
          <w:bCs w:val="0"/>
          <w:color w:val="auto"/>
          <w:sz w:val="32"/>
          <w:szCs w:val="32"/>
          <w:lang w:val="en-US" w:eastAsia="zh-CN"/>
        </w:rPr>
        <w:t>宠物笼14个、</w:t>
      </w:r>
      <w:r>
        <w:rPr>
          <w:rFonts w:hint="default" w:ascii="Times New Roman" w:hAnsi="Times New Roman" w:eastAsia="仿宋_GB2312" w:cs="Times New Roman"/>
          <w:b w:val="0"/>
          <w:bCs w:val="0"/>
          <w:sz w:val="32"/>
          <w:szCs w:val="32"/>
          <w:lang w:val="en-US" w:eastAsia="zh-CN"/>
        </w:rPr>
        <w:t>电热鼓风干燥箱</w:t>
      </w:r>
      <w:r>
        <w:rPr>
          <w:rFonts w:hint="eastAsia" w:ascii="Times New Roman" w:hAnsi="Times New Roman" w:eastAsia="仿宋_GB2312" w:cs="Times New Roman"/>
          <w:b w:val="0"/>
          <w:bCs w:val="0"/>
          <w:sz w:val="32"/>
          <w:szCs w:val="32"/>
          <w:lang w:val="en-US" w:eastAsia="zh-CN"/>
        </w:rPr>
        <w:t>2个</w:t>
      </w:r>
      <w:r>
        <w:rPr>
          <w:rFonts w:hint="eastAsia" w:ascii="Times New Roman" w:hAnsi="Times New Roman" w:eastAsia="仿宋_GB2312" w:cs="Times New Roman"/>
          <w:b w:val="0"/>
          <w:bCs w:val="0"/>
          <w:sz w:val="32"/>
          <w:szCs w:val="32"/>
          <w:lang w:eastAsia="zh-CN"/>
        </w:rPr>
        <w:t>及医疗配套各式检查手术仪器一批等；员工</w:t>
      </w:r>
      <w:r>
        <w:rPr>
          <w:rFonts w:hint="eastAsia" w:eastAsia="仿宋_GB2312" w:cs="Times New Roman"/>
          <w:b w:val="0"/>
          <w:bCs w:val="0"/>
          <w:sz w:val="32"/>
          <w:szCs w:val="32"/>
          <w:lang w:val="en-US" w:eastAsia="zh-CN"/>
        </w:rPr>
        <w:t>7</w:t>
      </w:r>
      <w:r>
        <w:rPr>
          <w:rFonts w:hint="eastAsia" w:ascii="Times New Roman" w:hAnsi="Times New Roman" w:eastAsia="仿宋_GB2312" w:cs="Times New Roman"/>
          <w:b w:val="0"/>
          <w:bCs w:val="0"/>
          <w:sz w:val="32"/>
          <w:szCs w:val="32"/>
          <w:lang w:eastAsia="zh-CN"/>
        </w:rPr>
        <w:t>名，内部不安排食宿。该项目不涉及动物传染病，不涉及人畜共患病治疗科目；涉及的辐射内容不在本次评价范围内，另行单独办理相关环保手续</w:t>
      </w:r>
      <w:r>
        <w:rPr>
          <w:rFonts w:hint="default" w:ascii="Times New Roman" w:hAnsi="Times New Roman" w:eastAsia="仿宋_GB2312" w:cs="Times New Roman"/>
          <w:b w:val="0"/>
          <w:bCs w:val="0"/>
          <w:kern w:val="0"/>
          <w:sz w:val="32"/>
          <w:szCs w:val="32"/>
          <w:lang w:val="en-US" w:eastAsia="zh-CN"/>
        </w:rPr>
        <w:t>。</w:t>
      </w:r>
    </w:p>
    <w:p w14:paraId="5C2CA834">
      <w:pPr>
        <w:keepNext w:val="0"/>
        <w:keepLines w:val="0"/>
        <w:pageBreakBefore w:val="0"/>
        <w:widowControl w:val="0"/>
        <w:kinsoku/>
        <w:wordWrap/>
        <w:overflowPunct/>
        <w:topLinePunct w:val="0"/>
        <w:bidi w:val="0"/>
        <w:snapToGrid w:val="0"/>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w:t>
      </w:r>
      <w:r>
        <w:rPr>
          <w:rFonts w:hint="eastAsia" w:eastAsia="仿宋_GB2312" w:cs="Times New Roman"/>
          <w:b w:val="0"/>
          <w:bCs w:val="0"/>
          <w:sz w:val="32"/>
          <w:szCs w:val="32"/>
          <w:lang w:eastAsia="zh-CN"/>
        </w:rPr>
        <w:t>报告表</w:t>
      </w:r>
      <w:r>
        <w:rPr>
          <w:rFonts w:hint="default" w:ascii="Times New Roman" w:hAnsi="Times New Roman" w:eastAsia="仿宋_GB2312" w:cs="Times New Roman"/>
          <w:b w:val="0"/>
          <w:bCs w:val="0"/>
          <w:sz w:val="32"/>
          <w:szCs w:val="32"/>
        </w:rPr>
        <w:t>》评价结论认为，在全面落实《</w:t>
      </w:r>
      <w:r>
        <w:rPr>
          <w:rFonts w:hint="eastAsia" w:eastAsia="仿宋_GB2312" w:cs="Times New Roman"/>
          <w:b w:val="0"/>
          <w:bCs w:val="0"/>
          <w:sz w:val="32"/>
          <w:szCs w:val="32"/>
          <w:lang w:eastAsia="zh-CN"/>
        </w:rPr>
        <w:t>报告表</w:t>
      </w:r>
      <w:r>
        <w:rPr>
          <w:rFonts w:hint="default" w:ascii="Times New Roman" w:hAnsi="Times New Roman" w:eastAsia="仿宋_GB2312" w:cs="Times New Roman"/>
          <w:b w:val="0"/>
          <w:bCs w:val="0"/>
          <w:sz w:val="32"/>
          <w:szCs w:val="32"/>
        </w:rPr>
        <w:t>》提出的各项</w:t>
      </w:r>
      <w:r>
        <w:rPr>
          <w:rFonts w:hint="default" w:ascii="Times New Roman" w:hAnsi="Times New Roman" w:eastAsia="仿宋_GB2312" w:cs="Times New Roman"/>
          <w:b w:val="0"/>
          <w:bCs w:val="0"/>
          <w:sz w:val="32"/>
          <w:szCs w:val="32"/>
          <w:lang w:eastAsia="zh-CN"/>
        </w:rPr>
        <w:t>生态</w:t>
      </w:r>
      <w:r>
        <w:rPr>
          <w:rFonts w:hint="default" w:ascii="Times New Roman" w:hAnsi="Times New Roman" w:eastAsia="仿宋_GB2312" w:cs="Times New Roman"/>
          <w:b w:val="0"/>
          <w:bCs w:val="0"/>
          <w:sz w:val="32"/>
          <w:szCs w:val="32"/>
        </w:rPr>
        <w:t>环境保护措施和环境风险防范措施的前提下，该项目建设和运行过程中产生的不良环境影响能够得到有效控制，从环境保护角度，项目建设可行。经审查，我局同意《</w:t>
      </w:r>
      <w:r>
        <w:rPr>
          <w:rFonts w:hint="eastAsia" w:eastAsia="仿宋_GB2312" w:cs="Times New Roman"/>
          <w:b w:val="0"/>
          <w:bCs w:val="0"/>
          <w:sz w:val="32"/>
          <w:szCs w:val="32"/>
          <w:lang w:eastAsia="zh-CN"/>
        </w:rPr>
        <w:t>报告表</w:t>
      </w:r>
      <w:r>
        <w:rPr>
          <w:rFonts w:hint="default" w:ascii="Times New Roman" w:hAnsi="Times New Roman" w:eastAsia="仿宋_GB2312" w:cs="Times New Roman"/>
          <w:b w:val="0"/>
          <w:bCs w:val="0"/>
          <w:sz w:val="32"/>
          <w:szCs w:val="32"/>
        </w:rPr>
        <w:t xml:space="preserve">》的评价结论。 </w:t>
      </w:r>
    </w:p>
    <w:p w14:paraId="5C769E33">
      <w:pPr>
        <w:keepNext w:val="0"/>
        <w:keepLines w:val="0"/>
        <w:pageBreakBefore w:val="0"/>
        <w:widowControl w:val="0"/>
        <w:kinsoku/>
        <w:wordWrap/>
        <w:overflowPunct/>
        <w:topLinePunct w:val="0"/>
        <w:bidi w:val="0"/>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二、在项目建设和运营过程中，应认真落实《</w:t>
      </w:r>
      <w:r>
        <w:rPr>
          <w:rFonts w:hint="eastAsia" w:eastAsia="仿宋_GB2312" w:cs="Times New Roman"/>
          <w:b w:val="0"/>
          <w:bCs w:val="0"/>
          <w:sz w:val="32"/>
          <w:szCs w:val="32"/>
          <w:lang w:eastAsia="zh-CN"/>
        </w:rPr>
        <w:t>报告表</w:t>
      </w:r>
      <w:r>
        <w:rPr>
          <w:rFonts w:hint="default" w:ascii="Times New Roman" w:hAnsi="Times New Roman" w:eastAsia="仿宋_GB2312" w:cs="Times New Roman"/>
          <w:b w:val="0"/>
          <w:bCs w:val="0"/>
          <w:sz w:val="32"/>
          <w:szCs w:val="32"/>
        </w:rPr>
        <w:t>》提出的各项环境保护对策措施，重点做好以下工作：</w:t>
      </w:r>
    </w:p>
    <w:p w14:paraId="11A0B93C">
      <w:pPr>
        <w:keepNext w:val="0"/>
        <w:keepLines w:val="0"/>
        <w:pageBreakBefore w:val="0"/>
        <w:widowControl w:val="0"/>
        <w:kinsoku/>
        <w:wordWrap/>
        <w:overflowPunct/>
        <w:topLinePunct w:val="0"/>
        <w:bidi w:val="0"/>
        <w:spacing w:line="600" w:lineRule="exact"/>
        <w:ind w:firstLine="640" w:firstLineChars="200"/>
        <w:textAlignment w:val="auto"/>
        <w:rPr>
          <w:rFonts w:hint="eastAsia"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eastAsia="zh-CN"/>
        </w:rPr>
        <w:t>一</w:t>
      </w:r>
      <w:r>
        <w:rPr>
          <w:rFonts w:hint="default" w:ascii="Times New Roman" w:hAnsi="Times New Roman" w:eastAsia="仿宋_GB2312" w:cs="Times New Roman"/>
          <w:b w:val="0"/>
          <w:bCs w:val="0"/>
          <w:color w:val="auto"/>
          <w:sz w:val="32"/>
          <w:szCs w:val="32"/>
        </w:rPr>
        <w:t>）专人定期清洗排便和排尿盒</w:t>
      </w:r>
      <w:r>
        <w:rPr>
          <w:rFonts w:hint="eastAsia" w:eastAsia="仿宋_GB2312" w:cs="Times New Roman"/>
          <w:b w:val="0"/>
          <w:bCs w:val="0"/>
          <w:color w:val="auto"/>
          <w:sz w:val="32"/>
          <w:szCs w:val="32"/>
          <w:lang w:eastAsia="zh-CN"/>
        </w:rPr>
        <w:t>，</w:t>
      </w:r>
      <w:r>
        <w:rPr>
          <w:rFonts w:hint="eastAsia" w:ascii="仿宋_GB2312" w:hAnsi="仿宋_GB2312" w:eastAsia="仿宋_GB2312" w:cs="仿宋_GB2312"/>
          <w:color w:val="auto"/>
          <w:sz w:val="32"/>
          <w:szCs w:val="32"/>
        </w:rPr>
        <w:t>医疗废水处理设施采用密闭设计，室内采用移动式紫外线消毒装置消毒。经营过程产生的废气</w:t>
      </w:r>
      <w:r>
        <w:rPr>
          <w:rFonts w:hint="eastAsia" w:ascii="仿宋_GB2312" w:hAnsi="仿宋_GB2312" w:eastAsia="仿宋_GB2312" w:cs="仿宋_GB2312"/>
          <w:color w:val="auto"/>
          <w:sz w:val="32"/>
          <w:szCs w:val="32"/>
          <w:lang w:val="en-US" w:eastAsia="zh-CN"/>
        </w:rPr>
        <w:t>经通风系统</w:t>
      </w:r>
      <w:r>
        <w:rPr>
          <w:rFonts w:hint="eastAsia" w:ascii="仿宋_GB2312" w:hAnsi="仿宋_GB2312" w:eastAsia="仿宋_GB2312" w:cs="仿宋_GB2312"/>
          <w:color w:val="auto"/>
          <w:sz w:val="32"/>
          <w:szCs w:val="32"/>
        </w:rPr>
        <w:t>收集至活性炭</w:t>
      </w:r>
      <w:r>
        <w:rPr>
          <w:rFonts w:hint="eastAsia" w:ascii="仿宋_GB2312" w:hAnsi="仿宋_GB2312" w:eastAsia="仿宋_GB2312" w:cs="仿宋_GB2312"/>
          <w:color w:val="auto"/>
          <w:sz w:val="32"/>
          <w:szCs w:val="32"/>
          <w:lang w:val="en-US" w:eastAsia="zh-CN"/>
        </w:rPr>
        <w:t>吸附</w:t>
      </w:r>
      <w:r>
        <w:rPr>
          <w:rFonts w:hint="eastAsia" w:ascii="仿宋_GB2312" w:hAnsi="仿宋_GB2312" w:eastAsia="仿宋_GB2312" w:cs="仿宋_GB2312"/>
          <w:color w:val="auto"/>
          <w:sz w:val="32"/>
          <w:szCs w:val="32"/>
        </w:rPr>
        <w:t>装置</w:t>
      </w:r>
      <w:r>
        <w:rPr>
          <w:rFonts w:hint="eastAsia" w:ascii="仿宋_GB2312" w:hAnsi="仿宋_GB2312" w:eastAsia="仿宋_GB2312" w:cs="仿宋_GB2312"/>
          <w:color w:val="auto"/>
          <w:sz w:val="32"/>
          <w:szCs w:val="32"/>
          <w:lang w:val="en-US" w:eastAsia="zh-CN"/>
        </w:rPr>
        <w:t>处理</w:t>
      </w:r>
      <w:r>
        <w:rPr>
          <w:rFonts w:hint="eastAsia" w:ascii="仿宋_GB2312" w:hAnsi="仿宋_GB2312" w:eastAsia="仿宋_GB2312" w:cs="仿宋_GB2312"/>
          <w:color w:val="auto"/>
          <w:sz w:val="32"/>
          <w:szCs w:val="32"/>
        </w:rPr>
        <w:t>后引至室外无组织排放</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strike w:val="0"/>
          <w:dstrike w:val="0"/>
          <w:color w:val="auto"/>
          <w:sz w:val="32"/>
          <w:szCs w:val="32"/>
          <w:lang w:eastAsia="zh-CN"/>
        </w:rPr>
        <w:t>项目不设置废气排放口，</w:t>
      </w:r>
      <w:r>
        <w:rPr>
          <w:rFonts w:hint="eastAsia" w:ascii="仿宋_GB2312" w:hAnsi="仿宋_GB2312" w:eastAsia="仿宋_GB2312" w:cs="仿宋_GB2312"/>
          <w:strike w:val="0"/>
          <w:dstrike w:val="0"/>
          <w:color w:val="auto"/>
          <w:sz w:val="32"/>
          <w:szCs w:val="32"/>
          <w:lang w:val="en-US" w:eastAsia="zh-CN"/>
        </w:rPr>
        <w:t>通风系统</w:t>
      </w:r>
      <w:r>
        <w:rPr>
          <w:rFonts w:hint="eastAsia" w:ascii="仿宋_GB2312" w:hAnsi="仿宋_GB2312" w:eastAsia="仿宋_GB2312" w:cs="仿宋_GB2312"/>
          <w:color w:val="auto"/>
          <w:sz w:val="32"/>
          <w:szCs w:val="32"/>
          <w:lang w:val="en-US" w:eastAsia="zh-CN"/>
        </w:rPr>
        <w:t>排风口朝向西侧钟村钟兴路一侧，避开居民住宅窗户阳台和人群频繁活动区</w:t>
      </w:r>
      <w:r>
        <w:rPr>
          <w:rFonts w:hint="eastAsia" w:eastAsia="仿宋_GB2312" w:cs="Times New Roman"/>
          <w:b w:val="0"/>
          <w:bCs w:val="0"/>
          <w:color w:val="auto"/>
          <w:sz w:val="32"/>
          <w:szCs w:val="32"/>
          <w:lang w:eastAsia="zh-CN"/>
        </w:rPr>
        <w:t>；</w:t>
      </w:r>
      <w:r>
        <w:rPr>
          <w:rFonts w:hint="eastAsia" w:ascii="Times New Roman" w:hAnsi="Times New Roman" w:eastAsia="仿宋_GB2312" w:cs="Times New Roman"/>
          <w:b w:val="0"/>
          <w:bCs w:val="0"/>
          <w:color w:val="auto"/>
          <w:sz w:val="32"/>
          <w:szCs w:val="32"/>
          <w:lang w:eastAsia="zh-CN"/>
        </w:rPr>
        <w:t>加强项目边界无组织排放废气的监控，确保项目边界无组织排放监控点的废气达到相应标准限值的要求，监测超标时应加强对无组织排放废气进行收集、净化处理。</w:t>
      </w:r>
    </w:p>
    <w:p w14:paraId="5B916BBC">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非甲烷总烃排放执行广东省《大气污染物排放限值》</w:t>
      </w:r>
    </w:p>
    <w:p w14:paraId="0A3F84AC">
      <w:pPr>
        <w:keepNext w:val="0"/>
        <w:keepLines w:val="0"/>
        <w:pageBreakBefore w:val="0"/>
        <w:kinsoku/>
        <w:wordWrap/>
        <w:overflowPunct/>
        <w:topLinePunct w:val="0"/>
        <w:autoSpaceDE/>
        <w:autoSpaceDN/>
        <w:bidi w:val="0"/>
        <w:adjustRightInd/>
        <w:snapToGrid/>
        <w:spacing w:line="520" w:lineRule="exact"/>
        <w:textAlignment w:val="auto"/>
        <w:rPr>
          <w:rFonts w:hint="eastAsia" w:ascii="Times New Roman" w:hAnsi="Times New Roman" w:eastAsia="仿宋_GB2312" w:cs="Times New Roman"/>
          <w:b w:val="0"/>
          <w:bCs w:val="0"/>
          <w:sz w:val="32"/>
          <w:szCs w:val="32"/>
          <w:lang w:val="en-US" w:eastAsia="zh-CN"/>
        </w:rPr>
      </w:pPr>
      <w:r>
        <w:rPr>
          <w:rFonts w:hint="eastAsia" w:ascii="仿宋_GB2312" w:eastAsia="仿宋_GB2312"/>
          <w:color w:val="000000" w:themeColor="text1"/>
          <w:sz w:val="32"/>
          <w:szCs w:val="32"/>
          <w:highlight w:val="none"/>
          <w14:textFill>
            <w14:solidFill>
              <w14:schemeClr w14:val="tx1"/>
            </w14:solidFill>
          </w14:textFill>
        </w:rPr>
        <w:t>（DB44/27-2001）第二时段无组织排放监控浓度限值</w:t>
      </w:r>
      <w:r>
        <w:rPr>
          <w:rFonts w:hint="eastAsia" w:ascii="仿宋_GB2312" w:eastAsia="仿宋_GB2312"/>
          <w:color w:val="000000" w:themeColor="text1"/>
          <w:sz w:val="32"/>
          <w:szCs w:val="32"/>
          <w:highlight w:val="none"/>
          <w:lang w:eastAsia="zh-CN"/>
          <w14:textFill>
            <w14:solidFill>
              <w14:schemeClr w14:val="tx1"/>
            </w14:solidFill>
          </w14:textFill>
        </w:rPr>
        <w:t>。</w:t>
      </w:r>
      <w:r>
        <w:rPr>
          <w:rFonts w:hint="eastAsia" w:ascii="仿宋_GB2312" w:eastAsia="仿宋_GB2312"/>
          <w:color w:val="000000" w:themeColor="text1"/>
          <w:sz w:val="32"/>
          <w:szCs w:val="32"/>
          <w:highlight w:val="none"/>
          <w14:textFill>
            <w14:solidFill>
              <w14:schemeClr w14:val="tx1"/>
            </w14:solidFill>
          </w14:textFill>
        </w:rPr>
        <w:t>其他大气污染物排放执行《恶臭污染物排放标准》（GB14554-93）表1恶臭污染物厂界二级新扩改建标准</w:t>
      </w:r>
      <w:r>
        <w:rPr>
          <w:rFonts w:hint="eastAsia" w:ascii="仿宋_GB2312" w:eastAsia="仿宋_GB2312"/>
          <w:color w:val="000000" w:themeColor="text1"/>
          <w:sz w:val="32"/>
          <w:szCs w:val="32"/>
          <w:highlight w:val="none"/>
          <w:lang w:val="en-US" w:eastAsia="zh-CN"/>
          <w14:textFill>
            <w14:solidFill>
              <w14:schemeClr w14:val="tx1"/>
            </w14:solidFill>
          </w14:textFill>
        </w:rPr>
        <w:t>值</w:t>
      </w:r>
      <w:r>
        <w:rPr>
          <w:rFonts w:hint="eastAsia" w:ascii="Times New Roman" w:hAnsi="Times New Roman" w:eastAsia="仿宋_GB2312" w:cs="Times New Roman"/>
          <w:b w:val="0"/>
          <w:bCs w:val="0"/>
          <w:sz w:val="32"/>
          <w:szCs w:val="32"/>
          <w:lang w:eastAsia="zh-CN"/>
        </w:rPr>
        <w:t>。</w:t>
      </w:r>
    </w:p>
    <w:p w14:paraId="352D0C7B">
      <w:pPr>
        <w:keepNext w:val="0"/>
        <w:keepLines w:val="0"/>
        <w:pageBreakBefore w:val="0"/>
        <w:widowControl w:val="0"/>
        <w:numPr>
          <w:ilvl w:val="0"/>
          <w:numId w:val="3"/>
        </w:numPr>
        <w:kinsoku/>
        <w:wordWrap/>
        <w:overflowPunct/>
        <w:topLinePunct w:val="0"/>
        <w:bidi w:val="0"/>
        <w:spacing w:line="60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rPr>
        <w:t>排</w:t>
      </w:r>
      <w:r>
        <w:rPr>
          <w:rFonts w:hint="default" w:ascii="Times New Roman" w:hAnsi="Times New Roman" w:eastAsia="仿宋_GB2312" w:cs="Times New Roman"/>
          <w:b w:val="0"/>
          <w:bCs w:val="0"/>
          <w:sz w:val="32"/>
          <w:szCs w:val="32"/>
          <w:lang w:eastAsia="zh-CN"/>
        </w:rPr>
        <w:t>水系统采用雨污分流。</w:t>
      </w:r>
      <w:r>
        <w:rPr>
          <w:rFonts w:hint="eastAsia" w:ascii="仿宋_GB2312" w:eastAsia="仿宋_GB2312"/>
          <w:color w:val="000000" w:themeColor="text1"/>
          <w:sz w:val="32"/>
          <w:szCs w:val="32"/>
          <w14:textFill>
            <w14:solidFill>
              <w14:schemeClr w14:val="tx1"/>
            </w14:solidFill>
          </w14:textFill>
        </w:rPr>
        <w:t>医疗废水经医疗废水消毒处理设施处理后</w:t>
      </w:r>
      <w:r>
        <w:rPr>
          <w:rFonts w:hint="eastAsia" w:ascii="仿宋_GB2312" w:eastAsia="仿宋_GB2312"/>
          <w:color w:val="000000" w:themeColor="text1"/>
          <w:sz w:val="32"/>
          <w:szCs w:val="32"/>
          <w:lang w:val="en-US" w:eastAsia="zh-CN"/>
          <w14:textFill>
            <w14:solidFill>
              <w14:schemeClr w14:val="tx1"/>
            </w14:solidFill>
          </w14:textFill>
        </w:rPr>
        <w:t>与</w:t>
      </w:r>
      <w:r>
        <w:rPr>
          <w:rFonts w:hint="eastAsia" w:ascii="仿宋_GB2312" w:eastAsia="仿宋_GB2312"/>
          <w:color w:val="000000" w:themeColor="text1"/>
          <w:sz w:val="32"/>
          <w:szCs w:val="32"/>
          <w14:textFill>
            <w14:solidFill>
              <w14:schemeClr w14:val="tx1"/>
            </w14:solidFill>
          </w14:textFill>
        </w:rPr>
        <w:t>宠物洗浴废水</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宠物笼及排泄盒冲洗废水、生活污水、高压蒸汽灭菌锅废水、地面清洁废水</w:t>
      </w:r>
      <w:r>
        <w:rPr>
          <w:rFonts w:hint="eastAsia" w:ascii="仿宋_GB2312" w:eastAsia="仿宋_GB2312"/>
          <w:color w:val="000000" w:themeColor="text1"/>
          <w:sz w:val="32"/>
          <w:szCs w:val="32"/>
          <w:lang w:val="en-US" w:eastAsia="zh-CN"/>
          <w14:textFill>
            <w14:solidFill>
              <w14:schemeClr w14:val="tx1"/>
            </w14:solidFill>
          </w14:textFill>
        </w:rPr>
        <w:t>一同经三级化粪池预处理后排入市政集污管网</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送钟村</w:t>
      </w:r>
      <w:r>
        <w:rPr>
          <w:rFonts w:hint="eastAsia" w:ascii="仿宋_GB2312" w:eastAsia="仿宋_GB2312"/>
          <w:color w:val="000000" w:themeColor="text1"/>
          <w:sz w:val="32"/>
          <w:szCs w:val="32"/>
          <w14:textFill>
            <w14:solidFill>
              <w14:schemeClr w14:val="tx1"/>
            </w14:solidFill>
          </w14:textFill>
        </w:rPr>
        <w:t>净水厂集中处理。</w:t>
      </w:r>
      <w:r>
        <w:rPr>
          <w:rFonts w:hint="eastAsia" w:eastAsia="仿宋_GB2312" w:cs="Times New Roman"/>
          <w:b w:val="0"/>
          <w:bCs w:val="0"/>
          <w:sz w:val="32"/>
          <w:szCs w:val="32"/>
          <w:lang w:val="en-US" w:eastAsia="zh-CN"/>
        </w:rPr>
        <w:t>项目</w:t>
      </w:r>
      <w:r>
        <w:rPr>
          <w:rFonts w:hint="default" w:ascii="Times New Roman" w:hAnsi="Times New Roman" w:eastAsia="仿宋_GB2312" w:cs="Times New Roman"/>
          <w:b w:val="0"/>
          <w:bCs w:val="0"/>
          <w:sz w:val="32"/>
          <w:szCs w:val="32"/>
          <w:lang w:eastAsia="zh-CN"/>
        </w:rPr>
        <w:t>设置废水排放口</w:t>
      </w:r>
      <w:r>
        <w:rPr>
          <w:rFonts w:hint="eastAsia" w:eastAsia="仿宋_GB2312" w:cs="Times New Roman"/>
          <w:b w:val="0"/>
          <w:bCs w:val="0"/>
          <w:sz w:val="32"/>
          <w:szCs w:val="32"/>
          <w:lang w:val="en-US" w:eastAsia="zh-CN"/>
        </w:rPr>
        <w:t>2</w:t>
      </w:r>
      <w:r>
        <w:rPr>
          <w:rFonts w:hint="default" w:ascii="Times New Roman" w:hAnsi="Times New Roman" w:eastAsia="仿宋_GB2312" w:cs="Times New Roman"/>
          <w:b w:val="0"/>
          <w:bCs w:val="0"/>
          <w:sz w:val="32"/>
          <w:szCs w:val="32"/>
          <w:lang w:eastAsia="zh-CN"/>
        </w:rPr>
        <w:t>个。</w:t>
      </w:r>
      <w:bookmarkStart w:id="3" w:name="OLE_LINK20"/>
    </w:p>
    <w:p w14:paraId="322EFAD0">
      <w:pPr>
        <w:keepNext w:val="0"/>
        <w:keepLines w:val="0"/>
        <w:pageBreakBefore w:val="0"/>
        <w:widowControl w:val="0"/>
        <w:numPr>
          <w:ilvl w:val="0"/>
          <w:numId w:val="0"/>
        </w:numPr>
        <w:kinsoku/>
        <w:wordWrap/>
        <w:overflowPunct/>
        <w:topLinePunct w:val="0"/>
        <w:bidi w:val="0"/>
        <w:spacing w:line="600" w:lineRule="exact"/>
        <w:ind w:firstLine="640" w:firstLineChars="200"/>
        <w:textAlignment w:val="auto"/>
        <w:rPr>
          <w:rFonts w:hint="eastAsia" w:ascii="华文楷体" w:hAnsi="华文楷体" w:eastAsia="仿宋_GB2312" w:cs="华文楷体"/>
          <w:b w:val="0"/>
          <w:bCs w:val="0"/>
          <w:sz w:val="30"/>
          <w:szCs w:val="30"/>
          <w:lang w:val="en-US" w:eastAsia="zh-CN"/>
        </w:rPr>
      </w:pPr>
      <w:r>
        <w:rPr>
          <w:rFonts w:hint="eastAsia" w:ascii="仿宋_GB2312" w:eastAsia="仿宋_GB2312"/>
          <w:color w:val="000000" w:themeColor="text1"/>
          <w:sz w:val="32"/>
          <w:szCs w:val="32"/>
          <w14:textFill>
            <w14:solidFill>
              <w14:schemeClr w14:val="tx1"/>
            </w14:solidFill>
          </w14:textFill>
        </w:rPr>
        <w:t>宠物美容洗浴废水、宠物笼及排泄盒冲洗废水、生活污水、高压蒸汽灭菌锅产生的废水排放执行广东省《水污染物排放限值》（DB44/26-2001）第二时段三级标准。医疗废水排放执行《医疗机构水污染物排放标准》（GB18466-2005）表2综合医疗机构和其他医疗机构水污染物排放限值（日均值）预处理标准。综合废水排放量不超过</w:t>
      </w:r>
      <w:r>
        <w:rPr>
          <w:rFonts w:hint="eastAsia" w:ascii="仿宋_GB2312" w:eastAsia="仿宋_GB2312"/>
          <w:color w:val="000000" w:themeColor="text1"/>
          <w:sz w:val="32"/>
          <w:szCs w:val="32"/>
          <w:highlight w:val="none"/>
          <w:lang w:val="en-US" w:eastAsia="zh-CN"/>
          <w14:textFill>
            <w14:solidFill>
              <w14:schemeClr w14:val="tx1"/>
            </w14:solidFill>
          </w14:textFill>
        </w:rPr>
        <w:t>308.2</w:t>
      </w:r>
      <w:r>
        <w:rPr>
          <w:rFonts w:hint="eastAsia" w:ascii="仿宋_GB2312" w:eastAsia="仿宋_GB2312"/>
          <w:color w:val="000000" w:themeColor="text1"/>
          <w:sz w:val="32"/>
          <w:szCs w:val="32"/>
          <w:highlight w:val="none"/>
          <w14:textFill>
            <w14:solidFill>
              <w14:schemeClr w14:val="tx1"/>
            </w14:solidFill>
          </w14:textFill>
        </w:rPr>
        <w:t>吨/年，医疗废水排放量不超过</w:t>
      </w:r>
      <w:r>
        <w:rPr>
          <w:rFonts w:hint="eastAsia" w:ascii="仿宋_GB2312" w:eastAsia="仿宋_GB2312"/>
          <w:color w:val="000000" w:themeColor="text1"/>
          <w:sz w:val="32"/>
          <w:szCs w:val="32"/>
          <w:highlight w:val="none"/>
          <w:lang w:val="en-US" w:eastAsia="zh-CN"/>
          <w14:textFill>
            <w14:solidFill>
              <w14:schemeClr w14:val="tx1"/>
            </w14:solidFill>
          </w14:textFill>
        </w:rPr>
        <w:t>14.1</w:t>
      </w:r>
      <w:r>
        <w:rPr>
          <w:rFonts w:hint="eastAsia" w:ascii="仿宋_GB2312" w:eastAsia="仿宋_GB2312"/>
          <w:color w:val="000000" w:themeColor="text1"/>
          <w:sz w:val="32"/>
          <w:szCs w:val="32"/>
          <w:highlight w:val="none"/>
          <w14:textFill>
            <w14:solidFill>
              <w14:schemeClr w14:val="tx1"/>
            </w14:solidFill>
          </w14:textFill>
        </w:rPr>
        <w:t>吨/</w:t>
      </w:r>
      <w:r>
        <w:rPr>
          <w:rFonts w:hint="eastAsia" w:ascii="仿宋_GB2312" w:eastAsia="仿宋_GB2312"/>
          <w:color w:val="000000" w:themeColor="text1"/>
          <w:sz w:val="32"/>
          <w:szCs w:val="32"/>
          <w14:textFill>
            <w14:solidFill>
              <w14:schemeClr w14:val="tx1"/>
            </w14:solidFill>
          </w14:textFill>
        </w:rPr>
        <w:t>年。</w:t>
      </w:r>
    </w:p>
    <w:bookmarkEnd w:id="3"/>
    <w:p w14:paraId="2B803086">
      <w:pPr>
        <w:keepNext w:val="0"/>
        <w:keepLines w:val="0"/>
        <w:pageBreakBefore w:val="0"/>
        <w:kinsoku/>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rPr>
        <w:t>（三）</w:t>
      </w:r>
      <w:r>
        <w:rPr>
          <w:rFonts w:hint="eastAsia" w:ascii="仿宋_GB2312" w:eastAsia="仿宋_GB2312"/>
          <w:color w:val="000000" w:themeColor="text1"/>
          <w:sz w:val="32"/>
          <w:szCs w:val="32"/>
          <w14:textFill>
            <w14:solidFill>
              <w14:schemeClr w14:val="tx1"/>
            </w14:solidFill>
          </w14:textFill>
        </w:rPr>
        <w:t>边界噪声排放执行《社会生活环境噪声排放标准》（GB22337-2008）</w:t>
      </w:r>
      <w:r>
        <w:rPr>
          <w:rFonts w:hint="eastAsia" w:ascii="仿宋_GB2312" w:eastAsia="仿宋_GB2312"/>
          <w:color w:val="000000" w:themeColor="text1"/>
          <w:sz w:val="32"/>
          <w:szCs w:val="32"/>
          <w:lang w:val="en-US" w:eastAsia="zh-CN"/>
          <w14:textFill>
            <w14:solidFill>
              <w14:schemeClr w14:val="tx1"/>
            </w14:solidFill>
          </w14:textFill>
        </w:rPr>
        <w:t>2</w:t>
      </w:r>
      <w:r>
        <w:rPr>
          <w:rFonts w:hint="eastAsia" w:ascii="仿宋_GB2312" w:eastAsia="仿宋_GB2312"/>
          <w:color w:val="000000" w:themeColor="text1"/>
          <w:sz w:val="32"/>
          <w:szCs w:val="32"/>
          <w14:textFill>
            <w14:solidFill>
              <w14:schemeClr w14:val="tx1"/>
            </w14:solidFill>
          </w14:textFill>
        </w:rPr>
        <w:t>类区限值</w:t>
      </w:r>
      <w:r>
        <w:rPr>
          <w:rFonts w:hint="default" w:ascii="Times New Roman" w:hAnsi="Times New Roman" w:eastAsia="仿宋_GB2312" w:cs="Times New Roman"/>
          <w:b w:val="0"/>
          <w:bCs w:val="0"/>
          <w:sz w:val="32"/>
          <w:szCs w:val="32"/>
          <w:lang w:eastAsia="zh-CN"/>
        </w:rPr>
        <w:t>。</w:t>
      </w:r>
    </w:p>
    <w:p w14:paraId="1AC2DBC6">
      <w:pPr>
        <w:keepNext w:val="0"/>
        <w:keepLines w:val="0"/>
        <w:pageBreakBefore w:val="0"/>
        <w:widowControl w:val="0"/>
        <w:kinsoku/>
        <w:wordWrap/>
        <w:overflowPunct/>
        <w:topLinePunct w:val="0"/>
        <w:bidi w:val="0"/>
        <w:snapToGrid w:val="0"/>
        <w:spacing w:line="60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sz w:val="32"/>
          <w:szCs w:val="32"/>
        </w:rPr>
        <w:t>（四）</w:t>
      </w:r>
      <w:bookmarkStart w:id="4" w:name="OLE_LINK16"/>
      <w:r>
        <w:rPr>
          <w:rFonts w:hint="default" w:ascii="Times New Roman" w:hAnsi="Times New Roman" w:eastAsia="仿宋_GB2312" w:cs="Times New Roman"/>
          <w:b w:val="0"/>
          <w:bCs w:val="0"/>
          <w:sz w:val="32"/>
          <w:szCs w:val="32"/>
        </w:rPr>
        <w:t>各类固体废物实行分类收集、处置</w:t>
      </w:r>
      <w:bookmarkEnd w:id="4"/>
      <w:r>
        <w:rPr>
          <w:rFonts w:hint="default" w:ascii="Times New Roman" w:hAnsi="Times New Roman" w:eastAsia="仿宋_GB2312" w:cs="Times New Roman"/>
          <w:b w:val="0"/>
          <w:bCs w:val="0"/>
          <w:sz w:val="32"/>
          <w:szCs w:val="32"/>
        </w:rPr>
        <w:t>。</w:t>
      </w:r>
      <w:bookmarkStart w:id="5" w:name="OLE_LINK12"/>
      <w:r>
        <w:rPr>
          <w:rFonts w:hint="default" w:ascii="Times New Roman" w:hAnsi="Times New Roman" w:eastAsia="仿宋_GB2312" w:cs="Times New Roman"/>
          <w:b w:val="0"/>
          <w:bCs w:val="0"/>
          <w:color w:val="auto"/>
          <w:sz w:val="32"/>
          <w:szCs w:val="32"/>
        </w:rPr>
        <w:t>危险废物应委托有资质的单位处置</w:t>
      </w:r>
      <w:r>
        <w:rPr>
          <w:rFonts w:hint="eastAsia" w:eastAsia="仿宋_GB2312" w:cs="Times New Roman"/>
          <w:b w:val="0"/>
          <w:bCs w:val="0"/>
          <w:color w:val="auto"/>
          <w:sz w:val="32"/>
          <w:szCs w:val="32"/>
          <w:lang w:eastAsia="zh-CN"/>
        </w:rPr>
        <w:t>，贮存、堆放应</w:t>
      </w:r>
      <w:r>
        <w:rPr>
          <w:rFonts w:hint="default" w:ascii="Times New Roman" w:hAnsi="Times New Roman" w:eastAsia="仿宋_GB2312" w:cs="Times New Roman"/>
          <w:b w:val="0"/>
          <w:bCs w:val="0"/>
          <w:color w:val="auto"/>
          <w:sz w:val="32"/>
          <w:szCs w:val="32"/>
          <w:lang w:eastAsia="zh-CN"/>
        </w:rPr>
        <w:t>按</w:t>
      </w:r>
      <w:r>
        <w:rPr>
          <w:rFonts w:hint="default" w:ascii="Times New Roman" w:hAnsi="Times New Roman" w:eastAsia="仿宋_GB2312" w:cs="Times New Roman"/>
          <w:b w:val="0"/>
          <w:bCs w:val="0"/>
          <w:color w:val="auto"/>
          <w:sz w:val="32"/>
          <w:szCs w:val="32"/>
        </w:rPr>
        <w:t>《危险废物贮存污染控制标准》（GB18597-20</w:t>
      </w:r>
      <w:r>
        <w:rPr>
          <w:rFonts w:hint="default" w:ascii="Times New Roman" w:hAnsi="Times New Roman" w:eastAsia="仿宋_GB2312" w:cs="Times New Roman"/>
          <w:b w:val="0"/>
          <w:bCs w:val="0"/>
          <w:color w:val="auto"/>
          <w:sz w:val="32"/>
          <w:szCs w:val="32"/>
          <w:lang w:val="en-US" w:eastAsia="zh-CN"/>
        </w:rPr>
        <w:t>23</w:t>
      </w:r>
      <w:r>
        <w:rPr>
          <w:rFonts w:hint="default" w:ascii="Times New Roman" w:hAnsi="Times New Roman" w:eastAsia="仿宋_GB2312" w:cs="Times New Roman"/>
          <w:b w:val="0"/>
          <w:bCs w:val="0"/>
          <w:color w:val="auto"/>
          <w:sz w:val="32"/>
          <w:szCs w:val="32"/>
        </w:rPr>
        <w:t>）</w:t>
      </w:r>
      <w:r>
        <w:rPr>
          <w:rFonts w:hint="eastAsia" w:ascii="Times New Roman" w:hAnsi="Times New Roman" w:eastAsia="仿宋_GB2312" w:cs="Times New Roman"/>
          <w:b w:val="0"/>
          <w:bCs w:val="0"/>
          <w:color w:val="auto"/>
          <w:sz w:val="32"/>
          <w:szCs w:val="32"/>
          <w:lang w:val="en-US" w:eastAsia="zh-CN"/>
        </w:rPr>
        <w:t>管理</w:t>
      </w:r>
      <w:r>
        <w:rPr>
          <w:rFonts w:hint="eastAsia"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医疗废物参照《医疗废物管理条例》（2011年修订）、《医疗卫生机构医疗废物管理办法》、《医疗废物暂存间卫生管理规范》（DB4401/T252—2024）；动物尸体和组织器官依据《动物诊疗机构管理办法》（农业农村部令2022年第5号）、《病死及死因不明动物处置办法（试行）》（农医发〔2005〕25号）等的规定执行；美容废物、宠物粪便（含垫布）、废猫砂等喷洒消毒剂后和生活垃圾一起交由环卫部门统一清运。</w:t>
      </w:r>
    </w:p>
    <w:bookmarkEnd w:id="5"/>
    <w:p w14:paraId="1951DBBF">
      <w:pPr>
        <w:keepNext w:val="0"/>
        <w:keepLines w:val="0"/>
        <w:pageBreakBefore w:val="0"/>
        <w:widowControl w:val="0"/>
        <w:kinsoku/>
        <w:wordWrap/>
        <w:overflowPunct/>
        <w:topLinePunct w:val="0"/>
        <w:bidi w:val="0"/>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eastAsia="zh-CN"/>
        </w:rPr>
        <w:t>五</w:t>
      </w:r>
      <w:r>
        <w:rPr>
          <w:rFonts w:hint="default" w:ascii="Times New Roman" w:hAnsi="Times New Roman" w:eastAsia="仿宋_GB2312" w:cs="Times New Roman"/>
          <w:b w:val="0"/>
          <w:bCs w:val="0"/>
          <w:sz w:val="32"/>
          <w:szCs w:val="32"/>
        </w:rPr>
        <w:t>）加强环境风险防范和应急工作</w:t>
      </w:r>
      <w:r>
        <w:rPr>
          <w:rFonts w:hint="eastAsia"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建立健全环境事故应急体系，落实各项环境风险防范与应急措施，确保</w:t>
      </w:r>
      <w:r>
        <w:rPr>
          <w:rFonts w:hint="eastAsia" w:eastAsia="仿宋_GB2312" w:cs="Times New Roman"/>
          <w:b w:val="0"/>
          <w:bCs w:val="0"/>
          <w:sz w:val="32"/>
          <w:szCs w:val="32"/>
          <w:lang w:eastAsia="zh-CN"/>
        </w:rPr>
        <w:t>生态</w:t>
      </w:r>
      <w:r>
        <w:rPr>
          <w:rFonts w:hint="default" w:ascii="Times New Roman" w:hAnsi="Times New Roman" w:eastAsia="仿宋_GB2312" w:cs="Times New Roman"/>
          <w:b w:val="0"/>
          <w:bCs w:val="0"/>
          <w:sz w:val="32"/>
          <w:szCs w:val="32"/>
        </w:rPr>
        <w:t>环境安全。</w:t>
      </w:r>
    </w:p>
    <w:p w14:paraId="63449336">
      <w:pPr>
        <w:keepNext w:val="0"/>
        <w:keepLines w:val="0"/>
        <w:pageBreakBefore w:val="0"/>
        <w:widowControl w:val="0"/>
        <w:kinsoku/>
        <w:wordWrap/>
        <w:overflowPunct/>
        <w:topLinePunct w:val="0"/>
        <w:bidi w:val="0"/>
        <w:spacing w:line="60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lang w:eastAsia="zh-CN"/>
        </w:rPr>
        <w:t>（六）</w:t>
      </w:r>
      <w:r>
        <w:rPr>
          <w:rFonts w:hint="default" w:ascii="Times New Roman" w:hAnsi="Times New Roman" w:eastAsia="仿宋_GB2312" w:cs="Times New Roman"/>
          <w:b w:val="0"/>
          <w:bCs w:val="0"/>
          <w:color w:val="auto"/>
          <w:sz w:val="32"/>
          <w:szCs w:val="32"/>
        </w:rPr>
        <w:t>加强运营期</w:t>
      </w:r>
      <w:r>
        <w:rPr>
          <w:rFonts w:hint="default" w:ascii="Times New Roman" w:hAnsi="Times New Roman" w:eastAsia="仿宋_GB2312" w:cs="Times New Roman"/>
          <w:b w:val="0"/>
          <w:bCs w:val="0"/>
          <w:color w:val="auto"/>
          <w:sz w:val="32"/>
          <w:szCs w:val="32"/>
          <w:lang w:eastAsia="zh-CN"/>
        </w:rPr>
        <w:t>环境保护</w:t>
      </w:r>
      <w:r>
        <w:rPr>
          <w:rFonts w:hint="default" w:ascii="Times New Roman" w:hAnsi="Times New Roman" w:eastAsia="仿宋_GB2312" w:cs="Times New Roman"/>
          <w:b w:val="0"/>
          <w:bCs w:val="0"/>
          <w:color w:val="auto"/>
          <w:sz w:val="32"/>
          <w:szCs w:val="32"/>
        </w:rPr>
        <w:t>管理，</w:t>
      </w:r>
      <w:r>
        <w:rPr>
          <w:rFonts w:hint="default" w:ascii="Times New Roman" w:hAnsi="Times New Roman" w:eastAsia="仿宋_GB2312" w:cs="Times New Roman"/>
          <w:b w:val="0"/>
          <w:bCs w:val="0"/>
          <w:color w:val="auto"/>
          <w:sz w:val="32"/>
          <w:szCs w:val="32"/>
          <w:lang w:eastAsia="zh-CN"/>
        </w:rPr>
        <w:t>确保各项污染物稳定达标排放，并</w:t>
      </w:r>
      <w:bookmarkStart w:id="6" w:name="OLE_LINK15"/>
      <w:r>
        <w:rPr>
          <w:rFonts w:hint="eastAsia" w:eastAsia="仿宋_GB2312" w:cs="Times New Roman"/>
          <w:b w:val="0"/>
          <w:bCs w:val="0"/>
          <w:color w:val="auto"/>
          <w:sz w:val="32"/>
          <w:szCs w:val="32"/>
          <w:lang w:eastAsia="zh-CN"/>
        </w:rPr>
        <w:t>按规定</w:t>
      </w:r>
      <w:r>
        <w:rPr>
          <w:rFonts w:hint="default" w:ascii="Times New Roman" w:hAnsi="Times New Roman" w:eastAsia="仿宋_GB2312" w:cs="Times New Roman"/>
          <w:b w:val="0"/>
          <w:bCs w:val="0"/>
          <w:color w:val="auto"/>
          <w:kern w:val="0"/>
          <w:sz w:val="32"/>
          <w:szCs w:val="32"/>
        </w:rPr>
        <w:t>做好污染物排放</w:t>
      </w:r>
      <w:r>
        <w:rPr>
          <w:rFonts w:hint="default" w:ascii="Times New Roman" w:hAnsi="Times New Roman" w:eastAsia="仿宋_GB2312" w:cs="Times New Roman"/>
          <w:b w:val="0"/>
          <w:bCs w:val="0"/>
          <w:color w:val="auto"/>
          <w:kern w:val="0"/>
          <w:sz w:val="32"/>
          <w:szCs w:val="32"/>
          <w:lang w:eastAsia="zh-CN"/>
        </w:rPr>
        <w:t>的自行</w:t>
      </w:r>
      <w:r>
        <w:rPr>
          <w:rFonts w:hint="default" w:ascii="Times New Roman" w:hAnsi="Times New Roman" w:eastAsia="仿宋_GB2312" w:cs="Times New Roman"/>
          <w:b w:val="0"/>
          <w:bCs w:val="0"/>
          <w:color w:val="auto"/>
          <w:kern w:val="0"/>
          <w:sz w:val="32"/>
          <w:szCs w:val="32"/>
        </w:rPr>
        <w:t>监测</w:t>
      </w:r>
      <w:r>
        <w:rPr>
          <w:rFonts w:hint="default" w:ascii="Times New Roman" w:hAnsi="Times New Roman" w:eastAsia="仿宋_GB2312" w:cs="Times New Roman"/>
          <w:b w:val="0"/>
          <w:bCs w:val="0"/>
          <w:color w:val="auto"/>
          <w:kern w:val="0"/>
          <w:sz w:val="32"/>
          <w:szCs w:val="32"/>
          <w:lang w:eastAsia="zh-CN"/>
        </w:rPr>
        <w:t>及信息公开工作</w:t>
      </w:r>
      <w:bookmarkEnd w:id="6"/>
      <w:r>
        <w:rPr>
          <w:rFonts w:hint="default" w:ascii="Times New Roman" w:hAnsi="Times New Roman" w:eastAsia="仿宋_GB2312" w:cs="Times New Roman"/>
          <w:b w:val="0"/>
          <w:bCs w:val="0"/>
          <w:color w:val="auto"/>
          <w:kern w:val="0"/>
          <w:sz w:val="32"/>
          <w:szCs w:val="32"/>
        </w:rPr>
        <w:t>。</w:t>
      </w:r>
    </w:p>
    <w:p w14:paraId="4F92F2E2">
      <w:pPr>
        <w:keepNext w:val="0"/>
        <w:keepLines w:val="0"/>
        <w:pageBreakBefore w:val="0"/>
        <w:widowControl w:val="0"/>
        <w:kinsoku/>
        <w:wordWrap/>
        <w:overflowPunct/>
        <w:topLinePunct w:val="0"/>
        <w:autoSpaceDE/>
        <w:autoSpaceDN/>
        <w:bidi w:val="0"/>
        <w:adjustRightInd/>
        <w:snapToGrid w:val="0"/>
        <w:spacing w:beforeLines="0" w:afterLines="0" w:line="600" w:lineRule="exact"/>
        <w:ind w:firstLine="640" w:firstLineChars="200"/>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sz w:val="32"/>
          <w:szCs w:val="32"/>
        </w:rPr>
        <w:t>（七）</w:t>
      </w:r>
      <w:bookmarkStart w:id="7" w:name="OLE_LINK21"/>
      <w:r>
        <w:rPr>
          <w:rFonts w:hint="eastAsia" w:ascii="仿宋_GB2312" w:hAnsi="仿宋_GB2312" w:eastAsia="仿宋_GB2312" w:cs="仿宋_GB2312"/>
          <w:color w:val="auto"/>
          <w:sz w:val="32"/>
          <w:szCs w:val="32"/>
          <w:highlight w:val="none"/>
        </w:rPr>
        <w:t>项目建设</w:t>
      </w:r>
      <w:r>
        <w:rPr>
          <w:rFonts w:hint="eastAsia" w:ascii="仿宋_GB2312" w:hAnsi="仿宋_GB2312" w:eastAsia="仿宋_GB2312" w:cs="仿宋_GB2312"/>
          <w:color w:val="auto"/>
          <w:sz w:val="32"/>
          <w:szCs w:val="32"/>
          <w:highlight w:val="none"/>
          <w:lang w:eastAsia="zh-CN"/>
        </w:rPr>
        <w:t>应</w:t>
      </w:r>
      <w:r>
        <w:rPr>
          <w:rFonts w:hint="eastAsia" w:ascii="仿宋_GB2312" w:hAnsi="仿宋_GB2312" w:eastAsia="仿宋_GB2312" w:cs="仿宋_GB2312"/>
          <w:color w:val="auto"/>
          <w:sz w:val="32"/>
          <w:szCs w:val="32"/>
          <w:highlight w:val="none"/>
        </w:rPr>
        <w:t>符合法律、法规等要求，如涉及规划、水务、消防等</w:t>
      </w:r>
      <w:r>
        <w:rPr>
          <w:rFonts w:hint="eastAsia" w:ascii="仿宋_GB2312" w:hAnsi="仿宋_GB2312" w:eastAsia="仿宋_GB2312" w:cs="仿宋_GB2312"/>
          <w:color w:val="auto"/>
          <w:sz w:val="32"/>
          <w:szCs w:val="32"/>
          <w:highlight w:val="none"/>
          <w:lang w:eastAsia="zh-CN"/>
        </w:rPr>
        <w:t>其他部门许可事项的</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须依法办理相关手续</w:t>
      </w:r>
      <w:r>
        <w:rPr>
          <w:rFonts w:hint="eastAsia" w:ascii="仿宋_GB2312" w:hAnsi="仿宋_GB2312" w:eastAsia="仿宋_GB2312" w:cs="仿宋_GB2312"/>
          <w:color w:val="auto"/>
          <w:sz w:val="32"/>
          <w:szCs w:val="32"/>
          <w:highlight w:val="none"/>
        </w:rPr>
        <w:t>。</w:t>
      </w:r>
      <w:bookmarkEnd w:id="7"/>
    </w:p>
    <w:p w14:paraId="4C091AE7">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三、根据《建设项目环境保护管理条例》有关规定，建设项目需要配套建设的环境保护设施，必须与主体工程同时设计、同时施工、同时投产使用。项目竣工后，你公司应当按照国家和地方规定的标准和程序，对配套建设的环境保护设施进行验收，经验收合格后方可投入使用。</w:t>
      </w:r>
    </w:p>
    <w:p w14:paraId="253C6B24">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四、如不服上述行政许可决定，可以在收到文书之日起60日内向广州市人民政府行政复议机构（地址：广州市越秀区小北路183号金和大厦2楼市政府行政复议办公室窗口，电话：020-83555988）申请行政复议；或者在收到文书之日起6个月内直接向广州铁路运输法院提起行政诉讼。申请行政复议或提起行政诉讼的，不停止本决定的执行。</w:t>
      </w:r>
    </w:p>
    <w:p w14:paraId="52204B22">
      <w:pPr>
        <w:keepNext w:val="0"/>
        <w:keepLines w:val="0"/>
        <w:pageBreakBefore w:val="0"/>
        <w:widowControl w:val="0"/>
        <w:kinsoku/>
        <w:wordWrap/>
        <w:overflowPunct/>
        <w:topLinePunct w:val="0"/>
        <w:autoSpaceDE w:val="0"/>
        <w:autoSpaceDN w:val="0"/>
        <w:bidi w:val="0"/>
        <w:adjustRightInd w:val="0"/>
        <w:snapToGrid w:val="0"/>
        <w:spacing w:line="590" w:lineRule="exact"/>
        <w:ind w:firstLine="640" w:firstLineChars="200"/>
        <w:textAlignment w:val="auto"/>
        <w:rPr>
          <w:rFonts w:hint="default" w:ascii="Times New Roman" w:hAnsi="Times New Roman" w:eastAsia="仿宋_GB2312" w:cs="Times New Roman"/>
          <w:b w:val="0"/>
          <w:bCs w:val="0"/>
          <w:sz w:val="32"/>
          <w:szCs w:val="32"/>
        </w:rPr>
      </w:pPr>
    </w:p>
    <w:p w14:paraId="0B381D55">
      <w:pPr>
        <w:keepNext w:val="0"/>
        <w:keepLines w:val="0"/>
        <w:pageBreakBefore w:val="0"/>
        <w:widowControl w:val="0"/>
        <w:kinsoku/>
        <w:wordWrap/>
        <w:overflowPunct/>
        <w:topLinePunct w:val="0"/>
        <w:autoSpaceDE w:val="0"/>
        <w:autoSpaceDN w:val="0"/>
        <w:bidi w:val="0"/>
        <w:adjustRightInd w:val="0"/>
        <w:snapToGrid w:val="0"/>
        <w:spacing w:line="590" w:lineRule="exact"/>
        <w:ind w:firstLine="640" w:firstLineChars="200"/>
        <w:textAlignment w:val="auto"/>
        <w:rPr>
          <w:rFonts w:hint="default" w:ascii="Times New Roman" w:hAnsi="Times New Roman" w:eastAsia="仿宋_GB2312" w:cs="Times New Roman"/>
          <w:b w:val="0"/>
          <w:bCs w:val="0"/>
          <w:sz w:val="32"/>
          <w:szCs w:val="32"/>
        </w:rPr>
      </w:pPr>
    </w:p>
    <w:p w14:paraId="3C8A1BB5">
      <w:pPr>
        <w:keepNext w:val="0"/>
        <w:keepLines w:val="0"/>
        <w:pageBreakBefore w:val="0"/>
        <w:widowControl w:val="0"/>
        <w:kinsoku/>
        <w:wordWrap/>
        <w:overflowPunct/>
        <w:topLinePunct w:val="0"/>
        <w:bidi w:val="0"/>
        <w:spacing w:line="590" w:lineRule="exact"/>
        <w:jc w:val="center"/>
        <w:textAlignment w:val="auto"/>
        <w:outlineLvl w:val="0"/>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 xml:space="preserve">               </w:t>
      </w:r>
      <w:r>
        <w:rPr>
          <w:rFonts w:hint="eastAsia" w:ascii="Times New Roman" w:hAnsi="Times New Roman" w:eastAsia="仿宋_GB2312" w:cs="Times New Roman"/>
          <w:b w:val="0"/>
          <w:bCs w:val="0"/>
          <w:sz w:val="32"/>
          <w:szCs w:val="32"/>
          <w:lang w:val="en-US" w:eastAsia="zh-CN"/>
        </w:rPr>
        <w:t xml:space="preserve">      </w:t>
      </w:r>
      <w:r>
        <w:rPr>
          <w:rFonts w:hint="default" w:ascii="Times New Roman" w:hAnsi="Times New Roman" w:eastAsia="仿宋_GB2312" w:cs="Times New Roman"/>
          <w:b w:val="0"/>
          <w:bCs w:val="0"/>
          <w:sz w:val="32"/>
          <w:szCs w:val="32"/>
        </w:rPr>
        <w:t xml:space="preserve">        广州市生态环境局</w:t>
      </w:r>
    </w:p>
    <w:p w14:paraId="6588B29F">
      <w:pPr>
        <w:keepNext w:val="0"/>
        <w:keepLines w:val="0"/>
        <w:pageBreakBefore w:val="0"/>
        <w:widowControl w:val="0"/>
        <w:kinsoku/>
        <w:wordWrap/>
        <w:overflowPunct/>
        <w:topLinePunct w:val="0"/>
        <w:bidi w:val="0"/>
        <w:spacing w:line="590" w:lineRule="exact"/>
        <w:ind w:right="838" w:rightChars="399" w:firstLine="640" w:firstLineChars="200"/>
        <w:jc w:val="right"/>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202</w:t>
      </w:r>
      <w:r>
        <w:rPr>
          <w:rFonts w:hint="eastAsia" w:eastAsia="仿宋_GB2312" w:cs="Times New Roman"/>
          <w:b w:val="0"/>
          <w:bCs w:val="0"/>
          <w:sz w:val="32"/>
          <w:szCs w:val="32"/>
          <w:lang w:val="en-US" w:eastAsia="zh-CN"/>
        </w:rPr>
        <w:t>5</w:t>
      </w:r>
      <w:r>
        <w:rPr>
          <w:rFonts w:hint="default" w:ascii="Times New Roman" w:hAnsi="Times New Roman" w:eastAsia="仿宋_GB2312" w:cs="Times New Roman"/>
          <w:b w:val="0"/>
          <w:bCs w:val="0"/>
          <w:sz w:val="32"/>
          <w:szCs w:val="32"/>
        </w:rPr>
        <w:t>年</w:t>
      </w:r>
      <w:r>
        <w:rPr>
          <w:rFonts w:hint="eastAsia" w:eastAsia="仿宋_GB2312" w:cs="Times New Roman"/>
          <w:b w:val="0"/>
          <w:bCs w:val="0"/>
          <w:sz w:val="32"/>
          <w:szCs w:val="32"/>
          <w:lang w:val="en-US" w:eastAsia="zh-CN"/>
        </w:rPr>
        <w:t>12</w:t>
      </w:r>
      <w:r>
        <w:rPr>
          <w:rFonts w:hint="default" w:ascii="Times New Roman" w:hAnsi="Times New Roman" w:eastAsia="仿宋_GB2312" w:cs="Times New Roman"/>
          <w:b w:val="0"/>
          <w:bCs w:val="0"/>
          <w:sz w:val="32"/>
          <w:szCs w:val="32"/>
        </w:rPr>
        <w:t>月</w:t>
      </w:r>
      <w:r>
        <w:rPr>
          <w:rFonts w:hint="eastAsia" w:eastAsia="仿宋_GB2312" w:cs="Times New Roman"/>
          <w:b w:val="0"/>
          <w:bCs w:val="0"/>
          <w:sz w:val="32"/>
          <w:szCs w:val="32"/>
          <w:lang w:val="en-US" w:eastAsia="zh-CN"/>
        </w:rPr>
        <w:t>16</w:t>
      </w:r>
      <w:r>
        <w:rPr>
          <w:rFonts w:hint="default" w:ascii="Times New Roman" w:hAnsi="Times New Roman" w:eastAsia="仿宋_GB2312" w:cs="Times New Roman"/>
          <w:b w:val="0"/>
          <w:bCs w:val="0"/>
          <w:sz w:val="32"/>
          <w:szCs w:val="32"/>
        </w:rPr>
        <w:t>日</w:t>
      </w:r>
    </w:p>
    <w:p w14:paraId="6CA21602">
      <w:pPr>
        <w:keepNext w:val="0"/>
        <w:keepLines w:val="0"/>
        <w:pageBreakBefore w:val="0"/>
        <w:widowControl w:val="0"/>
        <w:kinsoku/>
        <w:wordWrap/>
        <w:overflowPunct/>
        <w:topLinePunct w:val="0"/>
        <w:bidi w:val="0"/>
        <w:spacing w:line="590" w:lineRule="exact"/>
        <w:ind w:right="838" w:rightChars="399" w:firstLine="640" w:firstLineChars="200"/>
        <w:jc w:val="right"/>
        <w:textAlignment w:val="auto"/>
        <w:rPr>
          <w:rFonts w:hint="default" w:ascii="Times New Roman" w:hAnsi="Times New Roman" w:eastAsia="仿宋_GB2312" w:cs="Times New Roman"/>
          <w:b w:val="0"/>
          <w:bCs w:val="0"/>
          <w:color w:val="FF0000"/>
          <w:sz w:val="32"/>
          <w:szCs w:val="32"/>
        </w:rPr>
      </w:pPr>
    </w:p>
    <w:p w14:paraId="17D8ACE9">
      <w:pPr>
        <w:keepNext w:val="0"/>
        <w:keepLines w:val="0"/>
        <w:pageBreakBefore w:val="0"/>
        <w:widowControl w:val="0"/>
        <w:kinsoku/>
        <w:wordWrap/>
        <w:overflowPunct/>
        <w:topLinePunct w:val="0"/>
        <w:bidi w:val="0"/>
        <w:spacing w:line="590" w:lineRule="exact"/>
        <w:ind w:right="838" w:rightChars="399" w:firstLine="640" w:firstLineChars="200"/>
        <w:jc w:val="right"/>
        <w:textAlignment w:val="auto"/>
        <w:rPr>
          <w:rFonts w:hint="default" w:ascii="Times New Roman" w:hAnsi="Times New Roman" w:eastAsia="仿宋_GB2312" w:cs="Times New Roman"/>
          <w:b w:val="0"/>
          <w:bCs w:val="0"/>
          <w:color w:val="FF0000"/>
          <w:sz w:val="32"/>
          <w:szCs w:val="32"/>
        </w:rPr>
      </w:pPr>
    </w:p>
    <w:p w14:paraId="0265677D">
      <w:pPr>
        <w:pStyle w:val="2"/>
        <w:rPr>
          <w:rFonts w:hint="default" w:ascii="Times New Roman" w:hAnsi="Times New Roman" w:eastAsia="仿宋_GB2312" w:cs="Times New Roman"/>
          <w:b w:val="0"/>
          <w:bCs w:val="0"/>
          <w:color w:val="FF0000"/>
          <w:sz w:val="32"/>
          <w:szCs w:val="32"/>
        </w:rPr>
      </w:pPr>
    </w:p>
    <w:p w14:paraId="1AB9FD38">
      <w:pPr>
        <w:pStyle w:val="2"/>
        <w:rPr>
          <w:rFonts w:hint="default" w:ascii="Times New Roman" w:hAnsi="Times New Roman" w:eastAsia="仿宋_GB2312" w:cs="Times New Roman"/>
          <w:b w:val="0"/>
          <w:bCs w:val="0"/>
          <w:color w:val="FF0000"/>
          <w:sz w:val="32"/>
          <w:szCs w:val="32"/>
        </w:rPr>
      </w:pPr>
    </w:p>
    <w:p w14:paraId="0AF55DF6">
      <w:pPr>
        <w:pStyle w:val="2"/>
        <w:rPr>
          <w:rFonts w:hint="default" w:ascii="Times New Roman" w:hAnsi="Times New Roman" w:eastAsia="仿宋_GB2312" w:cs="Times New Roman"/>
          <w:b w:val="0"/>
          <w:bCs w:val="0"/>
          <w:color w:val="FF0000"/>
          <w:sz w:val="32"/>
          <w:szCs w:val="32"/>
        </w:rPr>
      </w:pPr>
    </w:p>
    <w:p w14:paraId="0468B3C0">
      <w:pPr>
        <w:pStyle w:val="2"/>
        <w:rPr>
          <w:rFonts w:hint="default" w:ascii="Times New Roman" w:hAnsi="Times New Roman" w:eastAsia="仿宋_GB2312" w:cs="Times New Roman"/>
          <w:b w:val="0"/>
          <w:bCs w:val="0"/>
          <w:color w:val="FF0000"/>
          <w:sz w:val="32"/>
          <w:szCs w:val="32"/>
        </w:rPr>
      </w:pPr>
    </w:p>
    <w:p w14:paraId="3ACC25FC">
      <w:pPr>
        <w:pStyle w:val="2"/>
        <w:rPr>
          <w:rFonts w:hint="default" w:ascii="Times New Roman" w:hAnsi="Times New Roman" w:eastAsia="仿宋_GB2312" w:cs="Times New Roman"/>
          <w:b w:val="0"/>
          <w:bCs w:val="0"/>
          <w:color w:val="FF0000"/>
          <w:sz w:val="32"/>
          <w:szCs w:val="32"/>
        </w:rPr>
      </w:pPr>
    </w:p>
    <w:p w14:paraId="077FA0DC">
      <w:pPr>
        <w:pStyle w:val="2"/>
        <w:rPr>
          <w:rFonts w:hint="default" w:ascii="Times New Roman" w:hAnsi="Times New Roman" w:eastAsia="仿宋_GB2312" w:cs="Times New Roman"/>
          <w:b w:val="0"/>
          <w:bCs w:val="0"/>
          <w:color w:val="FF0000"/>
          <w:sz w:val="32"/>
          <w:szCs w:val="32"/>
        </w:rPr>
      </w:pPr>
    </w:p>
    <w:p w14:paraId="334665E0">
      <w:pPr>
        <w:pStyle w:val="2"/>
        <w:rPr>
          <w:rFonts w:hint="default" w:ascii="Times New Roman" w:hAnsi="Times New Roman" w:eastAsia="仿宋_GB2312" w:cs="Times New Roman"/>
          <w:b w:val="0"/>
          <w:bCs w:val="0"/>
          <w:color w:val="FF0000"/>
          <w:sz w:val="32"/>
          <w:szCs w:val="32"/>
        </w:rPr>
      </w:pPr>
    </w:p>
    <w:p w14:paraId="3628B2D6">
      <w:pPr>
        <w:pStyle w:val="2"/>
        <w:rPr>
          <w:rFonts w:hint="default" w:ascii="Times New Roman" w:hAnsi="Times New Roman" w:eastAsia="仿宋_GB2312" w:cs="Times New Roman"/>
          <w:b w:val="0"/>
          <w:bCs w:val="0"/>
          <w:color w:val="FF0000"/>
          <w:sz w:val="32"/>
          <w:szCs w:val="32"/>
        </w:rPr>
      </w:pPr>
    </w:p>
    <w:p w14:paraId="0A8743D5">
      <w:pPr>
        <w:pStyle w:val="2"/>
        <w:rPr>
          <w:rFonts w:hint="default" w:ascii="Times New Roman" w:hAnsi="Times New Roman" w:eastAsia="仿宋_GB2312" w:cs="Times New Roman"/>
          <w:b w:val="0"/>
          <w:bCs w:val="0"/>
          <w:color w:val="FF0000"/>
          <w:sz w:val="32"/>
          <w:szCs w:val="32"/>
        </w:rPr>
      </w:pPr>
    </w:p>
    <w:p w14:paraId="71BC05F2">
      <w:pPr>
        <w:pStyle w:val="2"/>
        <w:rPr>
          <w:rFonts w:hint="default" w:ascii="Times New Roman" w:hAnsi="Times New Roman" w:eastAsia="仿宋_GB2312" w:cs="Times New Roman"/>
          <w:b w:val="0"/>
          <w:bCs w:val="0"/>
          <w:color w:val="FF0000"/>
          <w:sz w:val="32"/>
          <w:szCs w:val="32"/>
        </w:rPr>
      </w:pPr>
    </w:p>
    <w:p w14:paraId="1C6C5D9F">
      <w:pPr>
        <w:pStyle w:val="2"/>
        <w:rPr>
          <w:rFonts w:hint="default" w:ascii="Times New Roman" w:hAnsi="Times New Roman" w:eastAsia="仿宋_GB2312" w:cs="Times New Roman"/>
          <w:b w:val="0"/>
          <w:bCs w:val="0"/>
          <w:color w:val="FF0000"/>
          <w:sz w:val="32"/>
          <w:szCs w:val="32"/>
        </w:rPr>
      </w:pPr>
    </w:p>
    <w:p w14:paraId="008E64DB">
      <w:pPr>
        <w:pStyle w:val="2"/>
        <w:rPr>
          <w:rFonts w:hint="default" w:ascii="Times New Roman" w:hAnsi="Times New Roman" w:eastAsia="仿宋_GB2312" w:cs="Times New Roman"/>
          <w:b w:val="0"/>
          <w:bCs w:val="0"/>
          <w:color w:val="FF0000"/>
          <w:sz w:val="32"/>
          <w:szCs w:val="32"/>
        </w:rPr>
      </w:pPr>
    </w:p>
    <w:p w14:paraId="1904BA80">
      <w:pPr>
        <w:pStyle w:val="2"/>
        <w:rPr>
          <w:rFonts w:hint="default" w:ascii="Times New Roman" w:hAnsi="Times New Roman" w:eastAsia="仿宋_GB2312" w:cs="Times New Roman"/>
          <w:b w:val="0"/>
          <w:bCs w:val="0"/>
          <w:color w:val="FF0000"/>
          <w:sz w:val="32"/>
          <w:szCs w:val="32"/>
        </w:rPr>
      </w:pPr>
    </w:p>
    <w:p w14:paraId="17B0855B">
      <w:pPr>
        <w:pStyle w:val="2"/>
        <w:rPr>
          <w:rFonts w:hint="default" w:ascii="Times New Roman" w:hAnsi="Times New Roman" w:eastAsia="仿宋_GB2312" w:cs="Times New Roman"/>
          <w:b w:val="0"/>
          <w:bCs w:val="0"/>
          <w:color w:val="FF0000"/>
          <w:sz w:val="32"/>
          <w:szCs w:val="32"/>
        </w:rPr>
      </w:pPr>
    </w:p>
    <w:p w14:paraId="622C663E">
      <w:pPr>
        <w:pStyle w:val="2"/>
        <w:rPr>
          <w:rFonts w:hint="default" w:ascii="Times New Roman" w:hAnsi="Times New Roman" w:eastAsia="仿宋_GB2312" w:cs="Times New Roman"/>
          <w:b w:val="0"/>
          <w:bCs w:val="0"/>
          <w:color w:val="FF0000"/>
          <w:sz w:val="32"/>
          <w:szCs w:val="32"/>
        </w:rPr>
      </w:pPr>
    </w:p>
    <w:p w14:paraId="2A7FC638">
      <w:pPr>
        <w:pStyle w:val="2"/>
        <w:rPr>
          <w:rFonts w:hint="default" w:ascii="Times New Roman" w:hAnsi="Times New Roman" w:eastAsia="仿宋_GB2312" w:cs="Times New Roman"/>
          <w:b w:val="0"/>
          <w:bCs w:val="0"/>
          <w:color w:val="FF0000"/>
          <w:sz w:val="32"/>
          <w:szCs w:val="32"/>
        </w:rPr>
      </w:pPr>
    </w:p>
    <w:p w14:paraId="223727B5">
      <w:pPr>
        <w:pStyle w:val="2"/>
        <w:rPr>
          <w:rFonts w:hint="default" w:ascii="Times New Roman" w:hAnsi="Times New Roman" w:eastAsia="仿宋_GB2312" w:cs="Times New Roman"/>
          <w:b w:val="0"/>
          <w:bCs w:val="0"/>
          <w:color w:val="FF0000"/>
          <w:sz w:val="32"/>
          <w:szCs w:val="32"/>
        </w:rPr>
      </w:pPr>
    </w:p>
    <w:p w14:paraId="0B0008E3">
      <w:pPr>
        <w:pStyle w:val="2"/>
        <w:rPr>
          <w:rFonts w:hint="default" w:ascii="Times New Roman" w:hAnsi="Times New Roman" w:eastAsia="仿宋_GB2312" w:cs="Times New Roman"/>
          <w:b w:val="0"/>
          <w:bCs w:val="0"/>
          <w:color w:val="FF0000"/>
          <w:sz w:val="32"/>
          <w:szCs w:val="32"/>
        </w:rPr>
      </w:pPr>
    </w:p>
    <w:p w14:paraId="3B71C25A">
      <w:pPr>
        <w:keepNext w:val="0"/>
        <w:keepLines w:val="0"/>
        <w:pageBreakBefore w:val="0"/>
        <w:widowControl w:val="0"/>
        <w:kinsoku/>
        <w:wordWrap/>
        <w:overflowPunct/>
        <w:topLinePunct w:val="0"/>
        <w:bidi w:val="0"/>
        <w:spacing w:line="590" w:lineRule="exact"/>
        <w:ind w:right="838" w:rightChars="399" w:firstLine="640" w:firstLineChars="200"/>
        <w:jc w:val="right"/>
        <w:textAlignment w:val="auto"/>
        <w:rPr>
          <w:rFonts w:hint="default" w:ascii="Times New Roman" w:hAnsi="Times New Roman" w:eastAsia="仿宋_GB2312" w:cs="Times New Roman"/>
          <w:b w:val="0"/>
          <w:bCs w:val="0"/>
          <w:color w:val="FF0000"/>
          <w:sz w:val="32"/>
          <w:szCs w:val="32"/>
        </w:rPr>
      </w:pPr>
    </w:p>
    <w:p w14:paraId="272A61D5">
      <w:pPr>
        <w:keepNext w:val="0"/>
        <w:keepLines w:val="0"/>
        <w:pageBreakBefore w:val="0"/>
        <w:widowControl w:val="0"/>
        <w:kinsoku/>
        <w:wordWrap/>
        <w:overflowPunct/>
        <w:topLinePunct w:val="0"/>
        <w:bidi w:val="0"/>
        <w:spacing w:line="590" w:lineRule="exact"/>
        <w:ind w:right="838" w:rightChars="399" w:firstLine="640" w:firstLineChars="200"/>
        <w:jc w:val="right"/>
        <w:textAlignment w:val="auto"/>
        <w:rPr>
          <w:rFonts w:hint="default" w:ascii="Times New Roman" w:hAnsi="Times New Roman" w:eastAsia="仿宋_GB2312" w:cs="Times New Roman"/>
          <w:b w:val="0"/>
          <w:bCs w:val="0"/>
          <w:color w:val="FF0000"/>
          <w:sz w:val="32"/>
          <w:szCs w:val="32"/>
        </w:rPr>
      </w:pPr>
    </w:p>
    <w:p w14:paraId="2D5B8CA8">
      <w:pPr>
        <w:keepNext w:val="0"/>
        <w:keepLines w:val="0"/>
        <w:pageBreakBefore w:val="0"/>
        <w:widowControl w:val="0"/>
        <w:kinsoku/>
        <w:wordWrap/>
        <w:overflowPunct/>
        <w:topLinePunct w:val="0"/>
        <w:autoSpaceDE/>
        <w:autoSpaceDN/>
        <w:bidi w:val="0"/>
        <w:adjustRightInd/>
        <w:spacing w:line="590" w:lineRule="exact"/>
        <w:textAlignment w:val="auto"/>
        <w:outlineLvl w:val="0"/>
        <w:rPr>
          <w:rFonts w:hint="default" w:ascii="Times New Roman" w:hAnsi="Times New Roman" w:eastAsia="仿宋_GB2312" w:cs="Times New Roman"/>
          <w:b w:val="0"/>
          <w:bCs w:val="0"/>
          <w:sz w:val="32"/>
          <w:szCs w:val="32"/>
        </w:rPr>
      </w:pPr>
      <w:r>
        <w:rPr>
          <w:rFonts w:hint="eastAsia" w:ascii="黑体" w:hAnsi="黑体" w:eastAsia="黑体" w:cs="黑体"/>
          <w:b w:val="0"/>
          <w:bCs w:val="0"/>
          <w:sz w:val="32"/>
          <w:szCs w:val="32"/>
        </w:rPr>
        <w:t>公开方式：</w:t>
      </w:r>
      <w:r>
        <w:rPr>
          <w:rFonts w:hint="default" w:ascii="Times New Roman" w:hAnsi="Times New Roman" w:eastAsia="仿宋_GB2312" w:cs="Times New Roman"/>
          <w:b w:val="0"/>
          <w:bCs w:val="0"/>
          <w:sz w:val="32"/>
          <w:szCs w:val="32"/>
        </w:rPr>
        <w:t>主动公开</w:t>
      </w:r>
    </w:p>
    <w:p w14:paraId="71F4F48B">
      <w:pPr>
        <w:keepNext w:val="0"/>
        <w:keepLines w:val="0"/>
        <w:pageBreakBefore w:val="0"/>
        <w:widowControl w:val="0"/>
        <w:kinsoku/>
        <w:wordWrap/>
        <w:overflowPunct/>
        <w:topLinePunct w:val="0"/>
        <w:autoSpaceDE/>
        <w:autoSpaceDN/>
        <w:bidi w:val="0"/>
        <w:adjustRightInd/>
        <w:spacing w:line="590" w:lineRule="exact"/>
        <w:textAlignment w:val="auto"/>
        <w:outlineLvl w:val="0"/>
        <w:rPr>
          <w:rFonts w:hint="default" w:ascii="Times New Roman" w:hAnsi="Times New Roman" w:eastAsia="仿宋_GB2312" w:cs="Times New Roman"/>
          <w:b w:val="0"/>
          <w:bCs w:val="0"/>
          <w:sz w:val="32"/>
          <w:szCs w:val="32"/>
        </w:rPr>
      </w:pPr>
    </w:p>
    <w:p w14:paraId="66DDA05D">
      <w:pPr>
        <w:keepNext w:val="0"/>
        <w:keepLines w:val="0"/>
        <w:pageBreakBefore w:val="0"/>
        <w:widowControl w:val="0"/>
        <w:kinsoku/>
        <w:wordWrap/>
        <w:overflowPunct/>
        <w:topLinePunct w:val="0"/>
        <w:autoSpaceDE/>
        <w:autoSpaceDN/>
        <w:bidi w:val="0"/>
        <w:adjustRightInd/>
        <w:snapToGrid w:val="0"/>
        <w:spacing w:line="590" w:lineRule="exact"/>
        <w:ind w:left="1119" w:leftChars="133" w:hanging="840" w:hangingChars="300"/>
        <w:jc w:val="left"/>
        <w:textAlignment w:val="auto"/>
        <w:rPr>
          <w:rFonts w:hint="eastAsia" w:ascii="华文楷体" w:hAnsi="华文楷体" w:eastAsia="华文楷体" w:cs="华文楷体"/>
          <w:b w:val="0"/>
          <w:bCs w:val="0"/>
          <w:sz w:val="30"/>
          <w:szCs w:val="30"/>
          <w:lang w:val="en-US" w:eastAsia="zh-CN"/>
        </w:rPr>
      </w:pPr>
      <w:r>
        <w:rPr>
          <w:rFonts w:hint="default" w:ascii="Times New Roman" w:hAnsi="Times New Roman" w:eastAsia="仿宋_GB2312" w:cs="Times New Roman"/>
          <w:b w:val="0"/>
          <w:bCs w:val="0"/>
          <w:sz w:val="28"/>
          <w:szCs w:val="28"/>
        </w:rPr>
        <w:t>抄送：广州市生态环境局番禺分局监管三科</w:t>
      </w:r>
      <w:r>
        <w:rPr>
          <w:rFonts w:hint="eastAsia" w:eastAsia="仿宋_GB2312" w:cs="Times New Roman"/>
          <w:b w:val="0"/>
          <w:bCs w:val="0"/>
          <w:sz w:val="28"/>
          <w:szCs w:val="28"/>
          <w:lang w:eastAsia="zh-CN"/>
        </w:rPr>
        <w:t>、执</w:t>
      </w:r>
      <w:r>
        <w:rPr>
          <w:rFonts w:hint="eastAsia" w:eastAsia="仿宋_GB2312" w:cs="Times New Roman"/>
          <w:b w:val="0"/>
          <w:bCs w:val="0"/>
          <w:color w:val="auto"/>
          <w:sz w:val="28"/>
          <w:szCs w:val="28"/>
          <w:lang w:eastAsia="zh-CN"/>
        </w:rPr>
        <w:t>法</w:t>
      </w:r>
      <w:r>
        <w:rPr>
          <w:rFonts w:hint="eastAsia" w:eastAsia="仿宋_GB2312" w:cs="Times New Roman"/>
          <w:b w:val="0"/>
          <w:bCs w:val="0"/>
          <w:color w:val="auto"/>
          <w:sz w:val="28"/>
          <w:szCs w:val="28"/>
          <w:lang w:val="en-US" w:eastAsia="zh-CN"/>
        </w:rPr>
        <w:t>一科、</w:t>
      </w:r>
      <w:r>
        <w:rPr>
          <w:rFonts w:hint="default" w:ascii="Times New Roman" w:hAnsi="Times New Roman" w:eastAsia="仿宋_GB2312" w:cs="Times New Roman"/>
          <w:b w:val="0"/>
          <w:bCs w:val="0"/>
          <w:color w:val="auto"/>
          <w:sz w:val="28"/>
          <w:szCs w:val="28"/>
        </w:rPr>
        <w:t>广州市生态环境局</w:t>
      </w:r>
      <w:r>
        <w:rPr>
          <w:rFonts w:hint="eastAsia" w:eastAsia="仿宋_GB2312" w:cs="Times New Roman"/>
          <w:b w:val="0"/>
          <w:bCs w:val="0"/>
          <w:color w:val="auto"/>
          <w:sz w:val="28"/>
          <w:szCs w:val="28"/>
          <w:lang w:val="en-US" w:eastAsia="zh-CN"/>
        </w:rPr>
        <w:t>番禺第二环保所</w:t>
      </w:r>
      <w:bookmarkStart w:id="8" w:name="OLE_LINK13"/>
      <w:r>
        <w:rPr>
          <w:rFonts w:hint="eastAsia" w:eastAsia="仿宋_GB2312" w:cs="Times New Roman"/>
          <w:b w:val="0"/>
          <w:bCs w:val="0"/>
          <w:color w:val="auto"/>
          <w:sz w:val="28"/>
          <w:szCs w:val="28"/>
          <w:lang w:eastAsia="zh-CN"/>
        </w:rPr>
        <w:t>、</w:t>
      </w:r>
      <w:r>
        <w:rPr>
          <w:rFonts w:hint="default" w:ascii="Times New Roman" w:hAnsi="Times New Roman" w:eastAsia="仿宋_GB2312" w:cs="Times New Roman"/>
          <w:b w:val="0"/>
          <w:bCs w:val="0"/>
          <w:color w:val="auto"/>
          <w:sz w:val="28"/>
          <w:szCs w:val="28"/>
        </w:rPr>
        <w:t>番禺技术中心，广东震宇节能环保技术有限公司</w:t>
      </w:r>
      <w:r>
        <w:rPr>
          <w:rFonts w:hint="default" w:ascii="Times New Roman" w:hAnsi="Times New Roman" w:eastAsia="仿宋_GB2312" w:cs="Times New Roman"/>
          <w:b w:val="0"/>
          <w:bCs w:val="0"/>
          <w:sz w:val="28"/>
          <w:szCs w:val="28"/>
        </w:rPr>
        <w:t>。</w:t>
      </w:r>
      <w:bookmarkEnd w:id="0"/>
      <w:bookmarkEnd w:id="8"/>
    </w:p>
    <w:sectPr>
      <w:headerReference r:id="rId3" w:type="default"/>
      <w:footerReference r:id="rId4" w:type="default"/>
      <w:footerReference r:id="rId5" w:type="even"/>
      <w:pgSz w:w="11906" w:h="16838"/>
      <w:pgMar w:top="1701" w:right="1417" w:bottom="1417" w:left="1417" w:header="1134" w:footer="1503" w:gutter="0"/>
      <w:cols w:space="720" w:num="1"/>
      <w:titlePg/>
      <w:docGrid w:type="lines" w:linePitch="312" w:charSpace="80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7A"/>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E3767D40-723B-49EE-A3CE-615A7BE4E41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5F440133-B31F-4702-803E-3A0CB1C3A5D8}"/>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embedRegular r:id="rId3" w:fontKey="{F2C7331F-90EE-42DB-9148-8822EEE80E5C}"/>
  </w:font>
  <w:font w:name="MS Mincho">
    <w:altName w:val="仓耳舒圆体 W03"/>
    <w:panose1 w:val="02020609040205080304"/>
    <w:charset w:val="80"/>
    <w:family w:val="modern"/>
    <w:pitch w:val="default"/>
    <w:sig w:usb0="00000000" w:usb1="00000000" w:usb2="00000010" w:usb3="00000000" w:csb0="4002009F" w:csb1="DFD70000"/>
  </w:font>
  <w:font w:name="仓耳舒圆体 W03">
    <w:panose1 w:val="02020400000000000000"/>
    <w:charset w:val="80"/>
    <w:family w:val="auto"/>
    <w:pitch w:val="default"/>
    <w:sig w:usb0="80000023" w:usb1="08C10458" w:usb2="00000012" w:usb3="00000000" w:csb0="00020001" w:csb1="00000000"/>
  </w:font>
  <w:font w:name="华文中宋">
    <w:panose1 w:val="02010600040101010101"/>
    <w:charset w:val="86"/>
    <w:family w:val="auto"/>
    <w:pitch w:val="default"/>
    <w:sig w:usb0="00000287" w:usb1="080F0000" w:usb2="00000000" w:usb3="00000000" w:csb0="0004009F" w:csb1="DFD70000"/>
  </w:font>
  <w:font w:name="汉鼎简书宋">
    <w:altName w:val="宋体"/>
    <w:panose1 w:val="0201060901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华文楷体">
    <w:panose1 w:val="02010600040101010101"/>
    <w:charset w:val="86"/>
    <w:family w:val="auto"/>
    <w:pitch w:val="default"/>
    <w:sig w:usb0="A00002BF" w:usb1="78CF7CFB" w:usb2="00000016" w:usb3="00000000" w:csb0="6006009F" w:csb1="DFD70000"/>
    <w:embedRegular r:id="rId4" w:fontKey="{3920AE82-9456-431A-A704-BC943A4B7DEC}"/>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68A68">
    <w:pPr>
      <w:pStyle w:val="2"/>
      <w:framePr w:wrap="around" w:vAnchor="text" w:hAnchor="margin" w:xAlign="outside" w:y="1"/>
      <w:rPr>
        <w:rStyle w:val="34"/>
        <w:rFonts w:hint="eastAsia"/>
        <w:sz w:val="28"/>
      </w:rPr>
    </w:pPr>
    <w:r>
      <w:rPr>
        <w:rStyle w:val="34"/>
        <w:rFonts w:hint="eastAsia" w:ascii="宋体" w:hAnsi="宋体"/>
        <w:sz w:val="28"/>
      </w:rPr>
      <w:t>―</w:t>
    </w:r>
    <w:r>
      <w:rPr>
        <w:rStyle w:val="34"/>
        <w:rFonts w:hint="eastAsia"/>
        <w:sz w:val="28"/>
      </w:rPr>
      <w:t xml:space="preserve"> </w:t>
    </w:r>
    <w:r>
      <w:rPr>
        <w:rStyle w:val="34"/>
        <w:sz w:val="28"/>
      </w:rPr>
      <w:fldChar w:fldCharType="begin"/>
    </w:r>
    <w:r>
      <w:rPr>
        <w:rStyle w:val="34"/>
        <w:sz w:val="28"/>
      </w:rPr>
      <w:instrText xml:space="preserve">PAGE  </w:instrText>
    </w:r>
    <w:r>
      <w:rPr>
        <w:rStyle w:val="34"/>
        <w:sz w:val="28"/>
      </w:rPr>
      <w:fldChar w:fldCharType="separate"/>
    </w:r>
    <w:r>
      <w:rPr>
        <w:rStyle w:val="34"/>
        <w:sz w:val="28"/>
      </w:rPr>
      <w:t>2</w:t>
    </w:r>
    <w:r>
      <w:rPr>
        <w:rStyle w:val="34"/>
        <w:sz w:val="28"/>
      </w:rPr>
      <w:fldChar w:fldCharType="end"/>
    </w:r>
    <w:r>
      <w:rPr>
        <w:rStyle w:val="34"/>
        <w:rFonts w:hint="eastAsia"/>
        <w:sz w:val="28"/>
      </w:rPr>
      <w:t xml:space="preserve"> </w:t>
    </w:r>
    <w:r>
      <w:rPr>
        <w:rStyle w:val="34"/>
        <w:rFonts w:hint="eastAsia" w:ascii="宋体" w:hAnsi="宋体"/>
        <w:sz w:val="28"/>
      </w:rPr>
      <w:t>―</w:t>
    </w:r>
  </w:p>
  <w:p w14:paraId="210104FE">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33707E">
    <w:pPr>
      <w:pStyle w:val="2"/>
      <w:framePr w:wrap="around" w:vAnchor="text" w:hAnchor="margin" w:xAlign="outside" w:y="1"/>
      <w:rPr>
        <w:rStyle w:val="34"/>
      </w:rPr>
    </w:pPr>
    <w:r>
      <w:rPr>
        <w:rStyle w:val="34"/>
      </w:rPr>
      <w:fldChar w:fldCharType="begin"/>
    </w:r>
    <w:r>
      <w:rPr>
        <w:rStyle w:val="34"/>
      </w:rPr>
      <w:instrText xml:space="preserve">PAGE  </w:instrText>
    </w:r>
    <w:r>
      <w:rPr>
        <w:rStyle w:val="34"/>
      </w:rPr>
      <w:fldChar w:fldCharType="end"/>
    </w:r>
  </w:p>
  <w:p w14:paraId="0C065787">
    <w:pPr>
      <w:pStyle w:val="2"/>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E6E785">
    <w:pPr>
      <w:pStyle w:val="2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753AF0"/>
    <w:multiLevelType w:val="multilevel"/>
    <w:tmpl w:val="C6753AF0"/>
    <w:lvl w:ilvl="0" w:tentative="0">
      <w:start w:val="1"/>
      <w:numFmt w:val="decimal"/>
      <w:suff w:val="nothing"/>
      <w:lvlText w:val="%1"/>
      <w:lvlJc w:val="left"/>
      <w:pPr>
        <w:tabs>
          <w:tab w:val="left" w:pos="0"/>
        </w:tabs>
        <w:ind w:left="432" w:hanging="432"/>
      </w:pPr>
      <w:rPr>
        <w:rFonts w:hint="default" w:ascii="Times New Roman" w:hAnsi="Times New Roman" w:eastAsia="宋体" w:cs="宋体"/>
      </w:rPr>
    </w:lvl>
    <w:lvl w:ilvl="1" w:tentative="0">
      <w:start w:val="1"/>
      <w:numFmt w:val="decimal"/>
      <w:pStyle w:val="3"/>
      <w:isLgl/>
      <w:lvlText w:val="%1.%2."/>
      <w:lvlJc w:val="left"/>
      <w:pPr>
        <w:ind w:left="575" w:hanging="575"/>
      </w:pPr>
      <w:rPr>
        <w:rFonts w:hint="eastAsia"/>
      </w:rPr>
    </w:lvl>
    <w:lvl w:ilvl="2" w:tentative="0">
      <w:start w:val="1"/>
      <w:numFmt w:val="decimal"/>
      <w:isLgl/>
      <w:suff w:val="nothing"/>
      <w:lvlText w:val="%1.%2.%3."/>
      <w:lvlJc w:val="left"/>
      <w:pPr>
        <w:tabs>
          <w:tab w:val="left" w:pos="0"/>
        </w:tabs>
        <w:ind w:left="1200" w:hanging="1200"/>
      </w:pPr>
      <w:rPr>
        <w:rFonts w:hint="eastAsia"/>
      </w:rPr>
    </w:lvl>
    <w:lvl w:ilvl="3" w:tentative="0">
      <w:start w:val="1"/>
      <w:numFmt w:val="decimal"/>
      <w:isLgl/>
      <w:lvlText w:val="%1.%2.%3.%4."/>
      <w:lvlJc w:val="left"/>
      <w:pPr>
        <w:ind w:left="864" w:hanging="864"/>
      </w:pPr>
      <w:rPr>
        <w:rFonts w:hint="eastAsia"/>
      </w:rPr>
    </w:lvl>
    <w:lvl w:ilvl="4" w:tentative="0">
      <w:start w:val="1"/>
      <w:numFmt w:val="decimal"/>
      <w:isLgl/>
      <w:lvlText w:val="%1.%2.%3.%4.%5."/>
      <w:lvlJc w:val="left"/>
      <w:pPr>
        <w:ind w:left="1008" w:hanging="1008"/>
      </w:pPr>
      <w:rPr>
        <w:rFonts w:hint="eastAsia"/>
      </w:rPr>
    </w:lvl>
    <w:lvl w:ilvl="5" w:tentative="0">
      <w:start w:val="1"/>
      <w:numFmt w:val="decimal"/>
      <w:isLgl/>
      <w:lvlText w:val="%1.%2.%3.%4.%5.%6."/>
      <w:lvlJc w:val="left"/>
      <w:pPr>
        <w:ind w:left="1151" w:hanging="1151"/>
      </w:pPr>
      <w:rPr>
        <w:rFonts w:hint="eastAsia"/>
      </w:rPr>
    </w:lvl>
    <w:lvl w:ilvl="6" w:tentative="0">
      <w:start w:val="1"/>
      <w:numFmt w:val="decimal"/>
      <w:isLgl/>
      <w:lvlText w:val="%1.%2.%3.%4.%5.%6.%7."/>
      <w:lvlJc w:val="left"/>
      <w:pPr>
        <w:ind w:left="1296" w:hanging="1296"/>
      </w:pPr>
      <w:rPr>
        <w:rFonts w:hint="eastAsia"/>
      </w:rPr>
    </w:lvl>
    <w:lvl w:ilvl="7" w:tentative="0">
      <w:start w:val="1"/>
      <w:numFmt w:val="decimal"/>
      <w:isLgl/>
      <w:lvlText w:val="%1.%2.%3.%4.%5.%6.%7.%8."/>
      <w:lvlJc w:val="left"/>
      <w:pPr>
        <w:ind w:left="1440" w:hanging="1440"/>
      </w:pPr>
      <w:rPr>
        <w:rFonts w:hint="eastAsia"/>
      </w:rPr>
    </w:lvl>
    <w:lvl w:ilvl="8" w:tentative="0">
      <w:start w:val="1"/>
      <w:numFmt w:val="decimal"/>
      <w:isLgl/>
      <w:lvlText w:val="%1.%2.%3.%4.%5.%6.%7.%8.%9."/>
      <w:lvlJc w:val="left"/>
      <w:pPr>
        <w:ind w:left="1583" w:hanging="1583"/>
      </w:pPr>
      <w:rPr>
        <w:rFonts w:hint="eastAsia"/>
      </w:rPr>
    </w:lvl>
  </w:abstractNum>
  <w:abstractNum w:abstractNumId="1">
    <w:nsid w:val="5D141AAB"/>
    <w:multiLevelType w:val="multilevel"/>
    <w:tmpl w:val="5D141AAB"/>
    <w:lvl w:ilvl="0" w:tentative="0">
      <w:start w:val="1"/>
      <w:numFmt w:val="decimal"/>
      <w:lvlText w:val="%1"/>
      <w:lvlJc w:val="left"/>
      <w:pPr>
        <w:tabs>
          <w:tab w:val="left" w:pos="432"/>
        </w:tabs>
        <w:ind w:left="432" w:hanging="432"/>
      </w:pPr>
      <w:rPr>
        <w:rFonts w:hint="eastAsia"/>
      </w:rPr>
    </w:lvl>
    <w:lvl w:ilvl="1" w:tentative="0">
      <w:start w:val="1"/>
      <w:numFmt w:val="decimal"/>
      <w:isLgl/>
      <w:lvlText w:val="%1.%2."/>
      <w:lvlJc w:val="left"/>
      <w:pPr>
        <w:tabs>
          <w:tab w:val="left" w:pos="576"/>
        </w:tabs>
        <w:ind w:left="576" w:hanging="576"/>
      </w:pPr>
      <w:rPr>
        <w:rFonts w:hint="eastAsia"/>
        <w:sz w:val="32"/>
        <w:szCs w:val="32"/>
      </w:rPr>
    </w:lvl>
    <w:lvl w:ilvl="2" w:tentative="0">
      <w:start w:val="1"/>
      <w:numFmt w:val="decimal"/>
      <w:isLgl/>
      <w:lvlText w:val="%1.%2.%3."/>
      <w:lvlJc w:val="left"/>
      <w:pPr>
        <w:tabs>
          <w:tab w:val="left" w:pos="720"/>
        </w:tabs>
        <w:ind w:left="720" w:hanging="720"/>
      </w:pPr>
      <w:rPr>
        <w:rFonts w:hint="eastAsia"/>
        <w:sz w:val="30"/>
        <w:szCs w:val="30"/>
      </w:rPr>
    </w:lvl>
    <w:lvl w:ilvl="3" w:tentative="0">
      <w:start w:val="1"/>
      <w:numFmt w:val="decimal"/>
      <w:pStyle w:val="20"/>
      <w:isLgl/>
      <w:lvlText w:val="%1.%2.%3.%4."/>
      <w:lvlJc w:val="left"/>
      <w:pPr>
        <w:tabs>
          <w:tab w:val="left" w:pos="864"/>
        </w:tabs>
        <w:ind w:left="1677"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2">
    <w:nsid w:val="6039BD14"/>
    <w:multiLevelType w:val="singleLevel"/>
    <w:tmpl w:val="6039BD14"/>
    <w:lvl w:ilvl="0" w:tentative="0">
      <w:start w:val="2"/>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896"/>
    <w:rsid w:val="000001CF"/>
    <w:rsid w:val="00026628"/>
    <w:rsid w:val="00041246"/>
    <w:rsid w:val="000C0CFE"/>
    <w:rsid w:val="000D348E"/>
    <w:rsid w:val="00126DCF"/>
    <w:rsid w:val="00192134"/>
    <w:rsid w:val="001A7002"/>
    <w:rsid w:val="001A7E25"/>
    <w:rsid w:val="001C13B6"/>
    <w:rsid w:val="00270B56"/>
    <w:rsid w:val="003B41D3"/>
    <w:rsid w:val="003D2929"/>
    <w:rsid w:val="003F52EE"/>
    <w:rsid w:val="00487AF2"/>
    <w:rsid w:val="00491F01"/>
    <w:rsid w:val="004D452A"/>
    <w:rsid w:val="004F2B80"/>
    <w:rsid w:val="00554313"/>
    <w:rsid w:val="00562512"/>
    <w:rsid w:val="00567C32"/>
    <w:rsid w:val="00595D18"/>
    <w:rsid w:val="005D2912"/>
    <w:rsid w:val="005F112D"/>
    <w:rsid w:val="006344D0"/>
    <w:rsid w:val="0063597A"/>
    <w:rsid w:val="0066536E"/>
    <w:rsid w:val="00667561"/>
    <w:rsid w:val="00677A86"/>
    <w:rsid w:val="006C0566"/>
    <w:rsid w:val="00735456"/>
    <w:rsid w:val="007953FD"/>
    <w:rsid w:val="007E3C40"/>
    <w:rsid w:val="00831320"/>
    <w:rsid w:val="00846DB3"/>
    <w:rsid w:val="009330B6"/>
    <w:rsid w:val="0097541C"/>
    <w:rsid w:val="00994641"/>
    <w:rsid w:val="009D6C7F"/>
    <w:rsid w:val="00A40126"/>
    <w:rsid w:val="00AA5976"/>
    <w:rsid w:val="00AF591F"/>
    <w:rsid w:val="00B5082A"/>
    <w:rsid w:val="00B51081"/>
    <w:rsid w:val="00B72159"/>
    <w:rsid w:val="00B84328"/>
    <w:rsid w:val="00BB3F36"/>
    <w:rsid w:val="00BD5E65"/>
    <w:rsid w:val="00BF67C2"/>
    <w:rsid w:val="00C062D9"/>
    <w:rsid w:val="00CE520B"/>
    <w:rsid w:val="00D14896"/>
    <w:rsid w:val="00D42C38"/>
    <w:rsid w:val="00D961F1"/>
    <w:rsid w:val="00DE27FA"/>
    <w:rsid w:val="00DE2C98"/>
    <w:rsid w:val="00E505ED"/>
    <w:rsid w:val="00E85BE3"/>
    <w:rsid w:val="00EC342A"/>
    <w:rsid w:val="00F161F5"/>
    <w:rsid w:val="00F970DF"/>
    <w:rsid w:val="0726573F"/>
    <w:rsid w:val="09CA1181"/>
    <w:rsid w:val="0D4F2AE5"/>
    <w:rsid w:val="0DEB5A37"/>
    <w:rsid w:val="0E640050"/>
    <w:rsid w:val="0F52122C"/>
    <w:rsid w:val="0F6F1094"/>
    <w:rsid w:val="115B4DE3"/>
    <w:rsid w:val="128379F6"/>
    <w:rsid w:val="12856FF3"/>
    <w:rsid w:val="13C979FA"/>
    <w:rsid w:val="16153CF4"/>
    <w:rsid w:val="17D84309"/>
    <w:rsid w:val="19FE60C7"/>
    <w:rsid w:val="1A1914F5"/>
    <w:rsid w:val="1B176524"/>
    <w:rsid w:val="1BED373D"/>
    <w:rsid w:val="1C663D97"/>
    <w:rsid w:val="1DE13B91"/>
    <w:rsid w:val="1E765922"/>
    <w:rsid w:val="1F0D7671"/>
    <w:rsid w:val="1FDE71AF"/>
    <w:rsid w:val="20BA50E3"/>
    <w:rsid w:val="220E557A"/>
    <w:rsid w:val="232609F0"/>
    <w:rsid w:val="252D1EE5"/>
    <w:rsid w:val="260A4701"/>
    <w:rsid w:val="269D7E97"/>
    <w:rsid w:val="27CB7E09"/>
    <w:rsid w:val="284E34A5"/>
    <w:rsid w:val="291649F7"/>
    <w:rsid w:val="291B3F52"/>
    <w:rsid w:val="29FA00EA"/>
    <w:rsid w:val="2A7501F0"/>
    <w:rsid w:val="2BFC0D17"/>
    <w:rsid w:val="2D3E219F"/>
    <w:rsid w:val="2D9B4434"/>
    <w:rsid w:val="2F502040"/>
    <w:rsid w:val="2FC737F6"/>
    <w:rsid w:val="30025200"/>
    <w:rsid w:val="30870396"/>
    <w:rsid w:val="31B62063"/>
    <w:rsid w:val="339B5615"/>
    <w:rsid w:val="340D18C0"/>
    <w:rsid w:val="35CF0225"/>
    <w:rsid w:val="368707A0"/>
    <w:rsid w:val="36E8706D"/>
    <w:rsid w:val="37FF4F0E"/>
    <w:rsid w:val="38A97D85"/>
    <w:rsid w:val="39F645B3"/>
    <w:rsid w:val="3A282EC7"/>
    <w:rsid w:val="3A53380B"/>
    <w:rsid w:val="3D957DFF"/>
    <w:rsid w:val="3DFE29E0"/>
    <w:rsid w:val="402A1393"/>
    <w:rsid w:val="40EE14B1"/>
    <w:rsid w:val="41680404"/>
    <w:rsid w:val="42007882"/>
    <w:rsid w:val="42B875A4"/>
    <w:rsid w:val="438576C5"/>
    <w:rsid w:val="439F0BBE"/>
    <w:rsid w:val="461D3EE6"/>
    <w:rsid w:val="4732045C"/>
    <w:rsid w:val="476D05EC"/>
    <w:rsid w:val="48BC7A7A"/>
    <w:rsid w:val="4A6E3965"/>
    <w:rsid w:val="4D037CA5"/>
    <w:rsid w:val="4D4D6CAD"/>
    <w:rsid w:val="4E100354"/>
    <w:rsid w:val="4E823E3F"/>
    <w:rsid w:val="4EC05A55"/>
    <w:rsid w:val="50775E7B"/>
    <w:rsid w:val="51463C84"/>
    <w:rsid w:val="51EC39BC"/>
    <w:rsid w:val="526D1882"/>
    <w:rsid w:val="54535B9B"/>
    <w:rsid w:val="56D90809"/>
    <w:rsid w:val="575E5E0B"/>
    <w:rsid w:val="576C3EC8"/>
    <w:rsid w:val="58F4010C"/>
    <w:rsid w:val="599125D0"/>
    <w:rsid w:val="5D0C3D95"/>
    <w:rsid w:val="5E175DB4"/>
    <w:rsid w:val="5E3E7416"/>
    <w:rsid w:val="5F63425D"/>
    <w:rsid w:val="633A1D77"/>
    <w:rsid w:val="63C51FC3"/>
    <w:rsid w:val="642D3FF2"/>
    <w:rsid w:val="6534300B"/>
    <w:rsid w:val="66013B47"/>
    <w:rsid w:val="670856A2"/>
    <w:rsid w:val="689D4DD3"/>
    <w:rsid w:val="690E7254"/>
    <w:rsid w:val="69271CDD"/>
    <w:rsid w:val="69FC3374"/>
    <w:rsid w:val="6ABE0F32"/>
    <w:rsid w:val="6B743DD4"/>
    <w:rsid w:val="6BB20BEF"/>
    <w:rsid w:val="6BFA5CBF"/>
    <w:rsid w:val="6CB93980"/>
    <w:rsid w:val="6E193FCD"/>
    <w:rsid w:val="6E273EB7"/>
    <w:rsid w:val="70EB61B4"/>
    <w:rsid w:val="719E1C2B"/>
    <w:rsid w:val="71F25EB7"/>
    <w:rsid w:val="721533D8"/>
    <w:rsid w:val="722E37CE"/>
    <w:rsid w:val="72630943"/>
    <w:rsid w:val="734F6D9E"/>
    <w:rsid w:val="75691B60"/>
    <w:rsid w:val="75B46566"/>
    <w:rsid w:val="75B66322"/>
    <w:rsid w:val="77A3353E"/>
    <w:rsid w:val="784E3B62"/>
    <w:rsid w:val="793D1A06"/>
    <w:rsid w:val="79AE53C9"/>
    <w:rsid w:val="7A1811CF"/>
    <w:rsid w:val="7AE349E1"/>
    <w:rsid w:val="7B615D46"/>
    <w:rsid w:val="7BE0008B"/>
    <w:rsid w:val="7CBDF9E3"/>
    <w:rsid w:val="7D52649A"/>
    <w:rsid w:val="7D865D8F"/>
    <w:rsid w:val="7E6D6AA6"/>
    <w:rsid w:val="7EE201BD"/>
    <w:rsid w:val="7F195567"/>
    <w:rsid w:val="D98E85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unhideWhenUsed/>
    <w:qFormat/>
    <w:uiPriority w:val="0"/>
    <w:pPr>
      <w:keepNext/>
      <w:keepLines/>
      <w:numPr>
        <w:ilvl w:val="1"/>
        <w:numId w:val="1"/>
      </w:numPr>
      <w:spacing w:before="160" w:after="160" w:line="240" w:lineRule="auto"/>
      <w:ind w:left="0" w:firstLine="0" w:firstLineChars="0"/>
      <w:outlineLvl w:val="1"/>
    </w:pPr>
    <w:rPr>
      <w:rFonts w:ascii="Times New Roman" w:hAnsi="Times New Roman" w:eastAsia="宋体" w:cs="Times New Roman"/>
      <w:b/>
      <w:bCs/>
      <w:sz w:val="30"/>
      <w:szCs w:val="32"/>
    </w:rPr>
  </w:style>
  <w:style w:type="character" w:default="1" w:styleId="31">
    <w:name w:val="Default Paragraph Font"/>
    <w:link w:val="32"/>
    <w:semiHidden/>
    <w:qFormat/>
    <w:uiPriority w:val="0"/>
  </w:style>
  <w:style w:type="table" w:default="1" w:styleId="29">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4">
    <w:name w:val="E-mail Signature"/>
    <w:basedOn w:val="1"/>
    <w:next w:val="5"/>
    <w:qFormat/>
    <w:uiPriority w:val="0"/>
    <w:pPr>
      <w:spacing w:line="460" w:lineRule="exact"/>
      <w:ind w:firstLine="200"/>
    </w:pPr>
  </w:style>
  <w:style w:type="paragraph" w:customStyle="1" w:styleId="5">
    <w:name w:val="文章"/>
    <w:basedOn w:val="6"/>
    <w:next w:val="9"/>
    <w:qFormat/>
    <w:uiPriority w:val="0"/>
    <w:pPr>
      <w:widowControl/>
      <w:tabs>
        <w:tab w:val="left" w:pos="5180"/>
      </w:tabs>
      <w:ind w:left="0" w:firstLine="480"/>
      <w:jc w:val="center"/>
    </w:pPr>
    <w:rPr>
      <w:rFonts w:ascii="Times New Roman"/>
      <w:sz w:val="26"/>
    </w:rPr>
  </w:style>
  <w:style w:type="paragraph" w:styleId="6">
    <w:name w:val="Body Text Indent"/>
    <w:basedOn w:val="1"/>
    <w:next w:val="7"/>
    <w:qFormat/>
    <w:uiPriority w:val="0"/>
    <w:pPr>
      <w:spacing w:line="560" w:lineRule="exact"/>
      <w:ind w:firstLine="600" w:firstLineChars="200"/>
      <w:outlineLvl w:val="0"/>
    </w:pPr>
    <w:rPr>
      <w:rFonts w:ascii="仿宋_GB2312" w:eastAsia="仿宋_GB2312"/>
      <w:sz w:val="30"/>
    </w:rPr>
  </w:style>
  <w:style w:type="paragraph" w:customStyle="1" w:styleId="7">
    <w:name w:val="表格编号"/>
    <w:basedOn w:val="1"/>
    <w:next w:val="8"/>
    <w:qFormat/>
    <w:uiPriority w:val="0"/>
    <w:pPr>
      <w:spacing w:line="60" w:lineRule="atLeast"/>
      <w:jc w:val="left"/>
    </w:pPr>
    <w:rPr>
      <w:spacing w:val="10"/>
      <w:kern w:val="0"/>
      <w:szCs w:val="21"/>
    </w:rPr>
  </w:style>
  <w:style w:type="paragraph" w:customStyle="1" w:styleId="8">
    <w:name w:val="表格文字"/>
    <w:basedOn w:val="1"/>
    <w:next w:val="1"/>
    <w:qFormat/>
    <w:uiPriority w:val="0"/>
    <w:pPr>
      <w:tabs>
        <w:tab w:val="left" w:pos="-2848"/>
      </w:tabs>
      <w:spacing w:before="40" w:after="40" w:line="240" w:lineRule="atLeast"/>
      <w:jc w:val="center"/>
    </w:pPr>
    <w:rPr>
      <w:position w:val="-10"/>
      <w:sz w:val="21"/>
      <w:szCs w:val="20"/>
    </w:rPr>
  </w:style>
  <w:style w:type="paragraph" w:styleId="9">
    <w:name w:val="List"/>
    <w:basedOn w:val="1"/>
    <w:next w:val="1"/>
    <w:unhideWhenUsed/>
    <w:qFormat/>
    <w:uiPriority w:val="99"/>
    <w:pPr>
      <w:ind w:left="200" w:hanging="200" w:hangingChars="200"/>
    </w:pPr>
  </w:style>
  <w:style w:type="paragraph" w:styleId="10">
    <w:name w:val="annotation text"/>
    <w:basedOn w:val="1"/>
    <w:qFormat/>
    <w:uiPriority w:val="0"/>
    <w:pPr>
      <w:jc w:val="left"/>
    </w:pPr>
  </w:style>
  <w:style w:type="paragraph" w:styleId="11">
    <w:name w:val="Body Text"/>
    <w:basedOn w:val="1"/>
    <w:link w:val="44"/>
    <w:qFormat/>
    <w:uiPriority w:val="0"/>
    <w:pPr>
      <w:autoSpaceDE w:val="0"/>
      <w:autoSpaceDN w:val="0"/>
      <w:adjustRightInd w:val="0"/>
      <w:jc w:val="center"/>
    </w:pPr>
    <w:rPr>
      <w:rFonts w:ascii="方正小标宋简体" w:hAnsi="Times New Roman" w:eastAsia="方正小标宋简体" w:cs="方正小标宋简体"/>
      <w:sz w:val="44"/>
      <w:szCs w:val="44"/>
    </w:rPr>
  </w:style>
  <w:style w:type="paragraph" w:styleId="12">
    <w:name w:val="Plain Text"/>
    <w:basedOn w:val="1"/>
    <w:next w:val="13"/>
    <w:qFormat/>
    <w:uiPriority w:val="0"/>
    <w:rPr>
      <w:rFonts w:ascii="宋体" w:hAnsi="Courier New" w:eastAsia="宋体"/>
      <w:kern w:val="2"/>
      <w:sz w:val="21"/>
      <w:lang w:val="en-US" w:eastAsia="zh-CN" w:bidi="ar-SA"/>
    </w:rPr>
  </w:style>
  <w:style w:type="paragraph" w:customStyle="1" w:styleId="13">
    <w:name w:val="Default"/>
    <w:basedOn w:val="14"/>
    <w:next w:val="15"/>
    <w:qFormat/>
    <w:uiPriority w:val="0"/>
    <w:pPr>
      <w:widowControl w:val="0"/>
      <w:autoSpaceDE w:val="0"/>
      <w:autoSpaceDN w:val="0"/>
    </w:pPr>
    <w:rPr>
      <w:rFonts w:hint="eastAsia" w:ascii="黑体" w:hAnsi="黑体" w:eastAsia="黑体"/>
      <w:color w:val="000000"/>
      <w:sz w:val="24"/>
      <w:lang w:val="en-US" w:eastAsia="zh-CN" w:bidi="ar-SA"/>
    </w:rPr>
  </w:style>
  <w:style w:type="paragraph" w:customStyle="1" w:styleId="14">
    <w:name w:val="纯文本1"/>
    <w:basedOn w:val="1"/>
    <w:next w:val="12"/>
    <w:qFormat/>
    <w:uiPriority w:val="0"/>
    <w:pPr>
      <w:adjustRightInd w:val="0"/>
      <w:textAlignment w:val="baseline"/>
    </w:pPr>
    <w:rPr>
      <w:rFonts w:ascii="宋体" w:hAnsi="Courier New"/>
      <w:szCs w:val="20"/>
    </w:rPr>
  </w:style>
  <w:style w:type="paragraph" w:customStyle="1" w:styleId="15">
    <w:name w:val="样式35"/>
    <w:basedOn w:val="16"/>
    <w:next w:val="22"/>
    <w:qFormat/>
    <w:uiPriority w:val="0"/>
    <w:pPr>
      <w:widowControl w:val="0"/>
      <w:tabs>
        <w:tab w:val="left" w:pos="0"/>
        <w:tab w:val="left" w:pos="360"/>
        <w:tab w:val="left" w:pos="540"/>
        <w:tab w:val="left" w:pos="567"/>
        <w:tab w:val="left" w:pos="864"/>
      </w:tabs>
      <w:spacing w:before="0" w:after="0" w:line="312" w:lineRule="auto"/>
      <w:ind w:left="0" w:firstLine="567"/>
      <w:jc w:val="both"/>
    </w:pPr>
    <w:rPr>
      <w:rFonts w:eastAsia="宋体"/>
    </w:rPr>
  </w:style>
  <w:style w:type="paragraph" w:customStyle="1" w:styleId="16">
    <w:name w:val="样式26"/>
    <w:basedOn w:val="17"/>
    <w:qFormat/>
    <w:uiPriority w:val="0"/>
    <w:pPr>
      <w:tabs>
        <w:tab w:val="left" w:pos="0"/>
        <w:tab w:val="left" w:pos="360"/>
        <w:tab w:val="left" w:pos="540"/>
        <w:tab w:val="left" w:pos="567"/>
        <w:tab w:val="left" w:pos="864"/>
      </w:tabs>
    </w:pPr>
  </w:style>
  <w:style w:type="paragraph" w:customStyle="1" w:styleId="17">
    <w:name w:val="样式21"/>
    <w:basedOn w:val="18"/>
    <w:qFormat/>
    <w:uiPriority w:val="0"/>
    <w:pPr>
      <w:tabs>
        <w:tab w:val="left" w:pos="360"/>
        <w:tab w:val="left" w:pos="567"/>
        <w:tab w:val="left" w:pos="864"/>
      </w:tabs>
      <w:spacing w:before="120" w:after="120"/>
      <w:ind w:hanging="992"/>
    </w:pPr>
  </w:style>
  <w:style w:type="paragraph" w:customStyle="1" w:styleId="18">
    <w:name w:val="样式5"/>
    <w:basedOn w:val="19"/>
    <w:qFormat/>
    <w:uiPriority w:val="0"/>
    <w:pPr>
      <w:widowControl/>
      <w:tabs>
        <w:tab w:val="left" w:pos="360"/>
        <w:tab w:val="left" w:pos="864"/>
      </w:tabs>
      <w:jc w:val="center"/>
    </w:pPr>
    <w:rPr>
      <w:rFonts w:ascii="宋体" w:hAnsi="宋体" w:cs="宋体"/>
      <w:szCs w:val="21"/>
    </w:rPr>
  </w:style>
  <w:style w:type="paragraph" w:customStyle="1" w:styleId="19">
    <w:name w:val="样式12"/>
    <w:basedOn w:val="20"/>
    <w:qFormat/>
    <w:uiPriority w:val="0"/>
    <w:pPr>
      <w:keepNext/>
      <w:keepLines/>
      <w:tabs>
        <w:tab w:val="left" w:pos="360"/>
        <w:tab w:val="left" w:pos="864"/>
      </w:tabs>
      <w:spacing w:before="156" w:beforeLines="50" w:after="156" w:afterLines="50"/>
      <w:ind w:left="567" w:hanging="567"/>
      <w:outlineLvl w:val="1"/>
    </w:pPr>
    <w:rPr>
      <w:rFonts w:eastAsia="MS Mincho"/>
      <w:kern w:val="0"/>
      <w:sz w:val="28"/>
      <w:szCs w:val="28"/>
    </w:rPr>
  </w:style>
  <w:style w:type="paragraph" w:customStyle="1" w:styleId="20">
    <w:name w:val="第2级标题"/>
    <w:basedOn w:val="3"/>
    <w:next w:val="21"/>
    <w:qFormat/>
    <w:uiPriority w:val="0"/>
    <w:pPr>
      <w:numPr>
        <w:ilvl w:val="3"/>
        <w:numId w:val="2"/>
      </w:numPr>
      <w:spacing w:before="100" w:beforeAutospacing="1" w:after="100" w:afterAutospacing="1" w:line="500" w:lineRule="exact"/>
    </w:pPr>
    <w:rPr>
      <w:rFonts w:eastAsia="华文中宋"/>
    </w:rPr>
  </w:style>
  <w:style w:type="paragraph" w:customStyle="1" w:styleId="21">
    <w:name w:val="[正文格式]"/>
    <w:basedOn w:val="1"/>
    <w:qFormat/>
    <w:uiPriority w:val="0"/>
    <w:pPr>
      <w:spacing w:line="440" w:lineRule="exact"/>
      <w:ind w:firstLine="500" w:firstLineChars="200"/>
    </w:pPr>
    <w:rPr>
      <w:rFonts w:ascii="Times New Roman" w:cs="宋体"/>
      <w:kern w:val="2"/>
      <w:sz w:val="24"/>
    </w:rPr>
  </w:style>
  <w:style w:type="paragraph" w:customStyle="1" w:styleId="22">
    <w:name w:val="font6"/>
    <w:basedOn w:val="1"/>
    <w:next w:val="23"/>
    <w:qFormat/>
    <w:uiPriority w:val="0"/>
    <w:pPr>
      <w:widowControl/>
      <w:spacing w:before="100" w:beforeAutospacing="1" w:after="100" w:afterAutospacing="1"/>
      <w:jc w:val="left"/>
    </w:pPr>
    <w:rPr>
      <w:kern w:val="0"/>
    </w:rPr>
  </w:style>
  <w:style w:type="paragraph" w:styleId="23">
    <w:name w:val="toc 2"/>
    <w:basedOn w:val="1"/>
    <w:next w:val="4"/>
    <w:qFormat/>
    <w:uiPriority w:val="1"/>
    <w:pPr>
      <w:spacing w:before="8"/>
      <w:ind w:left="100"/>
    </w:pPr>
    <w:rPr>
      <w:rFonts w:ascii="宋体" w:hAnsi="宋体" w:eastAsia="宋体"/>
      <w:sz w:val="24"/>
      <w:szCs w:val="24"/>
    </w:rPr>
  </w:style>
  <w:style w:type="paragraph" w:styleId="24">
    <w:name w:val="Date"/>
    <w:basedOn w:val="1"/>
    <w:next w:val="1"/>
    <w:qFormat/>
    <w:uiPriority w:val="0"/>
    <w:pPr>
      <w:ind w:left="100" w:leftChars="2500"/>
    </w:pPr>
    <w:rPr>
      <w:rFonts w:eastAsia="仿宋_GB2312"/>
      <w:w w:val="99"/>
      <w:sz w:val="32"/>
    </w:rPr>
  </w:style>
  <w:style w:type="paragraph" w:styleId="25">
    <w:name w:val="Body Text Indent 2"/>
    <w:basedOn w:val="1"/>
    <w:qFormat/>
    <w:uiPriority w:val="0"/>
    <w:pPr>
      <w:snapToGrid w:val="0"/>
      <w:spacing w:line="600" w:lineRule="exact"/>
      <w:ind w:firstLine="640" w:firstLineChars="200"/>
    </w:pPr>
    <w:rPr>
      <w:rFonts w:ascii="仿宋_GB2312" w:eastAsia="仿宋_GB2312"/>
      <w:color w:val="FF0000"/>
      <w:sz w:val="32"/>
      <w:szCs w:val="32"/>
    </w:rPr>
  </w:style>
  <w:style w:type="paragraph" w:styleId="26">
    <w:name w:val="Balloon Text"/>
    <w:basedOn w:val="1"/>
    <w:semiHidden/>
    <w:qFormat/>
    <w:uiPriority w:val="0"/>
    <w:rPr>
      <w:sz w:val="18"/>
      <w:szCs w:val="18"/>
    </w:rPr>
  </w:style>
  <w:style w:type="paragraph" w:styleId="2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8">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table" w:styleId="30">
    <w:name w:val="Table Grid"/>
    <w:basedOn w:val="2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2">
    <w:name w:val="Char"/>
    <w:basedOn w:val="1"/>
    <w:link w:val="31"/>
    <w:qFormat/>
    <w:uiPriority w:val="0"/>
  </w:style>
  <w:style w:type="character" w:styleId="33">
    <w:name w:val="Strong"/>
    <w:basedOn w:val="31"/>
    <w:qFormat/>
    <w:uiPriority w:val="22"/>
    <w:rPr>
      <w:rFonts w:ascii="Times New Roman" w:hAnsi="Times New Roman" w:eastAsia="宋体" w:cs="Times New Roman"/>
      <w:b/>
      <w:bCs/>
    </w:rPr>
  </w:style>
  <w:style w:type="character" w:styleId="34">
    <w:name w:val="page number"/>
    <w:basedOn w:val="31"/>
    <w:qFormat/>
    <w:uiPriority w:val="0"/>
  </w:style>
  <w:style w:type="character" w:styleId="35">
    <w:name w:val="Hyperlink"/>
    <w:basedOn w:val="31"/>
    <w:qFormat/>
    <w:uiPriority w:val="0"/>
    <w:rPr>
      <w:rFonts w:ascii="Times New Roman" w:hAnsi="Times New Roman" w:eastAsia="宋体" w:cs="Times New Roman"/>
      <w:color w:val="0000FF"/>
      <w:u w:val="single"/>
    </w:rPr>
  </w:style>
  <w:style w:type="paragraph" w:customStyle="1" w:styleId="36">
    <w:name w:val="正文文字 6"/>
    <w:basedOn w:val="37"/>
    <w:next w:val="1"/>
    <w:qFormat/>
    <w:uiPriority w:val="0"/>
    <w:pPr>
      <w:widowControl w:val="0"/>
      <w:ind w:left="240"/>
      <w:jc w:val="both"/>
    </w:pPr>
    <w:rPr>
      <w:rFonts w:ascii="宋体" w:hAnsi="Times New Roman" w:eastAsia="宋体" w:cs="Times New Roman"/>
      <w:bCs/>
      <w:kern w:val="2"/>
      <w:sz w:val="32"/>
      <w:szCs w:val="32"/>
      <w:lang w:val="en-US" w:eastAsia="zh-CN" w:bidi="ar-SA"/>
    </w:rPr>
  </w:style>
  <w:style w:type="paragraph" w:customStyle="1" w:styleId="37">
    <w:name w:val="TT标题"/>
    <w:basedOn w:val="1"/>
    <w:qFormat/>
    <w:uiPriority w:val="0"/>
    <w:pPr>
      <w:jc w:val="center"/>
    </w:pPr>
    <w:rPr>
      <w:rFonts w:cs="宋体"/>
      <w:b/>
      <w:szCs w:val="20"/>
    </w:rPr>
  </w:style>
  <w:style w:type="paragraph" w:customStyle="1" w:styleId="38">
    <w:name w:val="Q-正文"/>
    <w:basedOn w:val="1"/>
    <w:next w:val="1"/>
    <w:qFormat/>
    <w:uiPriority w:val="0"/>
    <w:pPr>
      <w:ind w:firstLine="200"/>
    </w:pPr>
    <w:rPr>
      <w:rFonts w:ascii="Times New Roman" w:hAnsi="Times New Roman" w:eastAsia="宋体" w:cs="Courier New"/>
      <w:sz w:val="21"/>
      <w:szCs w:val="22"/>
    </w:rPr>
  </w:style>
  <w:style w:type="paragraph" w:customStyle="1" w:styleId="39">
    <w:name w:val="A正文-lcc"/>
    <w:basedOn w:val="1"/>
    <w:link w:val="42"/>
    <w:qFormat/>
    <w:uiPriority w:val="0"/>
    <w:pPr>
      <w:widowControl/>
      <w:spacing w:line="360" w:lineRule="auto"/>
      <w:ind w:firstLine="200" w:firstLineChars="200"/>
      <w:jc w:val="left"/>
    </w:pPr>
    <w:rPr>
      <w:rFonts w:ascii="Times New Roman" w:hAnsi="Times New Roman" w:eastAsia="宋体" w:cs="Times New Roman"/>
      <w:color w:val="000000"/>
      <w:kern w:val="0"/>
      <w:sz w:val="24"/>
      <w:szCs w:val="24"/>
    </w:rPr>
  </w:style>
  <w:style w:type="paragraph" w:customStyle="1" w:styleId="40">
    <w:name w:val="默认段落字体 Para Char"/>
    <w:basedOn w:val="1"/>
    <w:next w:val="1"/>
    <w:qFormat/>
    <w:uiPriority w:val="0"/>
    <w:pPr>
      <w:spacing w:line="360" w:lineRule="auto"/>
      <w:ind w:firstLine="200" w:firstLineChars="200"/>
    </w:pPr>
    <w:rPr>
      <w:rFonts w:ascii="宋体" w:hAnsi="宋体" w:eastAsia="汉鼎简书宋" w:cs="宋体"/>
      <w:sz w:val="24"/>
      <w:szCs w:val="24"/>
    </w:rPr>
  </w:style>
  <w:style w:type="paragraph" w:customStyle="1" w:styleId="41">
    <w:name w:val=" Char"/>
    <w:basedOn w:val="1"/>
    <w:qFormat/>
    <w:uiPriority w:val="0"/>
    <w:pPr>
      <w:spacing w:line="360" w:lineRule="auto"/>
    </w:pPr>
    <w:rPr>
      <w:rFonts w:ascii="Tahoma" w:hAnsi="Tahoma" w:eastAsia="宋体" w:cs="Times New Roman"/>
      <w:sz w:val="28"/>
      <w:szCs w:val="20"/>
    </w:rPr>
  </w:style>
  <w:style w:type="character" w:customStyle="1" w:styleId="42">
    <w:name w:val="A正文-lcc Char"/>
    <w:link w:val="39"/>
    <w:qFormat/>
    <w:uiPriority w:val="0"/>
    <w:rPr>
      <w:rFonts w:ascii="Times New Roman" w:hAnsi="Times New Roman" w:eastAsia="宋体" w:cs="Times New Roman"/>
      <w:color w:val="000000"/>
      <w:kern w:val="0"/>
      <w:sz w:val="24"/>
      <w:szCs w:val="24"/>
    </w:rPr>
  </w:style>
  <w:style w:type="character" w:customStyle="1" w:styleId="43">
    <w:name w:val="content1"/>
    <w:basedOn w:val="31"/>
    <w:qFormat/>
    <w:uiPriority w:val="0"/>
    <w:rPr>
      <w:rFonts w:ascii="Times New Roman" w:hAnsi="Times New Roman" w:eastAsia="宋体" w:cs="Times New Roman"/>
      <w:sz w:val="21"/>
      <w:szCs w:val="21"/>
    </w:rPr>
  </w:style>
  <w:style w:type="character" w:customStyle="1" w:styleId="44">
    <w:name w:val="正文文本 Char"/>
    <w:basedOn w:val="31"/>
    <w:link w:val="11"/>
    <w:semiHidden/>
    <w:qFormat/>
    <w:locked/>
    <w:uiPriority w:val="0"/>
    <w:rPr>
      <w:rFonts w:ascii="方正小标宋简体" w:hAnsi="Times New Roman" w:eastAsia="方正小标宋简体" w:cs="方正小标宋简体"/>
      <w:sz w:val="44"/>
      <w:szCs w:val="44"/>
    </w:rPr>
  </w:style>
  <w:style w:type="character" w:customStyle="1" w:styleId="45">
    <w:name w:val="样式 楷体_GB2312 黑色"/>
    <w:qFormat/>
    <w:uiPriority w:val="0"/>
    <w:rPr>
      <w:rFonts w:ascii="楷体_GB2312" w:hAnsi="宋体" w:eastAsia="楷体_GB2312" w:cs="Times New Roman"/>
      <w:b/>
      <w:color w:val="000000"/>
      <w:sz w:val="24"/>
      <w:lang w:val="en-US" w:eastAsia="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gzepb</Company>
  <Pages>5</Pages>
  <Words>2041</Words>
  <Characters>2203</Characters>
  <Lines>16</Lines>
  <Paragraphs>4</Paragraphs>
  <TotalTime>97</TotalTime>
  <ScaleCrop>false</ScaleCrop>
  <LinksUpToDate>false</LinksUpToDate>
  <CharactersWithSpaces>2279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2021-12-16T10:42:00Z</dcterms:created>
  <dc:creator>张春菊</dc:creator>
  <cp:lastModifiedBy>圆圈圈儿 ࿔</cp:lastModifiedBy>
  <cp:lastPrinted>2025-11-05T07:57:00Z</cp:lastPrinted>
  <dcterms:modified xsi:type="dcterms:W3CDTF">2025-12-16T03:41:06Z</dcterms:modified>
  <dc:title>                                   穗府办函〔2006〕号</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6DF517E250BF4ABDAB7B409BE7DE8577_13</vt:lpwstr>
  </property>
  <property fmtid="{D5CDD505-2E9C-101B-9397-08002B2CF9AE}" pid="4" name="KSOTemplateDocerSaveRecord">
    <vt:lpwstr>eyJoZGlkIjoiODdkOTNkZGUwYWU4YWU0YzViNWEwNmQ1ODczOTg2ZTkiLCJ1c2VySWQiOiIxNzIzMDIxNzY5In0=</vt:lpwstr>
  </property>
</Properties>
</file>