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26890E">
      <w:pPr>
        <w:keepNext w:val="0"/>
        <w:keepLines w:val="0"/>
        <w:widowControl w:val="0"/>
        <w:suppressLineNumbers w:val="0"/>
        <w:spacing w:line="590" w:lineRule="exact"/>
        <w:jc w:val="right"/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</w:pPr>
      <w:bookmarkStart w:id="0" w:name="Content"/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穗环管影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（番）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〔202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5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〕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153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号</w:t>
      </w:r>
    </w:p>
    <w:p w14:paraId="2349E7F5">
      <w:pPr>
        <w:spacing w:line="590" w:lineRule="exact"/>
        <w:jc w:val="right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 w14:paraId="2A08A4C9">
      <w:pPr>
        <w:spacing w:line="590" w:lineRule="exact"/>
        <w:jc w:val="right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</w:p>
    <w:p w14:paraId="79FA7B0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广州市生态环境局关于</w:t>
      </w:r>
      <w:r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  <w:t>广州市金亨塑料制品</w:t>
      </w:r>
    </w:p>
    <w:p w14:paraId="4E12A3E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  <w:t>有限公司90吨/年塑料制品生产线建设</w:t>
      </w:r>
    </w:p>
    <w:p w14:paraId="7FA3759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  <w:t>项目</w:t>
      </w:r>
      <w:r>
        <w:rPr>
          <w:rFonts w:hint="eastAsia" w:ascii="方正小标宋简体" w:eastAsia="方正小标宋简体"/>
          <w:color w:val="auto"/>
          <w:sz w:val="44"/>
          <w:szCs w:val="44"/>
        </w:rPr>
        <w:t>环境影响</w:t>
      </w:r>
      <w:r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  <w:t>报告表</w:t>
      </w:r>
      <w:r>
        <w:rPr>
          <w:rFonts w:hint="eastAsia" w:ascii="方正小标宋简体" w:eastAsia="方正小标宋简体"/>
          <w:color w:val="auto"/>
          <w:sz w:val="44"/>
          <w:szCs w:val="44"/>
        </w:rPr>
        <w:t>的批复</w:t>
      </w:r>
    </w:p>
    <w:p w14:paraId="40C32911">
      <w:pPr>
        <w:spacing w:line="590" w:lineRule="exact"/>
        <w:ind w:firstLine="643" w:firstLineChars="200"/>
        <w:jc w:val="center"/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</w:pPr>
    </w:p>
    <w:p w14:paraId="35A7E3D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napToGrid w:val="0"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广州市金亨塑料制品有限公司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（914401135818725784）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：</w:t>
      </w:r>
    </w:p>
    <w:p w14:paraId="1A4C06C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pacing w:line="6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 xml:space="preserve">    你公司报批的《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广州市金亨塑料制品有限公司90吨/年塑料制品生产线建设项目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环境影响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报告表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》（以下简称《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报告表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》）及相关资料收悉。经研究，批复如下：</w:t>
      </w:r>
    </w:p>
    <w:p w14:paraId="5278DA6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pacing w:line="600" w:lineRule="exact"/>
        <w:ind w:firstLine="972" w:firstLineChars="304"/>
        <w:textAlignment w:val="auto"/>
        <w:rPr>
          <w:rFonts w:hint="eastAsia" w:ascii="仿宋_GB2312" w:hAnsi="仿宋_GB2312" w:eastAsia="仿宋_GB2312" w:cs="仿宋_GB2312"/>
          <w:b w:val="0"/>
          <w:bCs w:val="0"/>
          <w:color w:val="FF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一、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广州市金亨塑料制品有限公司90吨/年塑料制品生产线建设项目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（以下简称“该项目”）位于广州市番禺区沙湾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街道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沙渡公路9号，申报内容为从事塑料制品生产，年产塑料零部件90吨。该项目占地面积1554.9平方米，总建筑面积1659.5平方米，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租用一厂区2栋的一二层、3栋的东半层、4栋的一层和厂区内部空地进行建设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；主要设备有混料机3台、注塑机18台、破碎机2台、钻床2台、磨床1台、电火花机1台、空压机组1台、冷却塔2台等；员工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20名，内部不安排食宿。该项目注塑工艺仅使用PP、PE树脂，不使用再生塑料作为原料。</w:t>
      </w:r>
    </w:p>
    <w:p w14:paraId="5934E4C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报告表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》评价结论认为，在全面落实《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报告表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》提出的各项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生态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环境保护措施和环境风险防范措施的前提下，该项目建设和运行过程中产生的不良环境影响能够得到有效控制，从环境保护角度，项目建设可行。经审查，我局同意《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报告表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 xml:space="preserve">》的评价结论。 </w:t>
      </w:r>
    </w:p>
    <w:p w14:paraId="1FF7193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二、在项目建设和运营过程中，应认真落实《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报告表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》提出的各项环境保护对策措施，重点做好以下工作：</w:t>
      </w:r>
    </w:p>
    <w:p w14:paraId="00ABDC9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废气经集气罩收集至二级活性炭吸附装置处理，通过专用管道引至高空排放，排放口高度不低于15米。项目设置废气排放口1个。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加强车间边界无组织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排放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废气的监控，确保车间边界无组织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排放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监控点的废气达到相应标准限值的要求，监测超标时应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加强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对无组织排放废气进行收集、净化处理。</w:t>
      </w:r>
    </w:p>
    <w:p w14:paraId="777AA62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非甲烷总烃排放执行《合成树脂工业污染物排放标准》（GB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31572-2015）及2024年修改单表5大气污染物特别排放限值；臭气浓度排放执行《恶臭污染物排放标准》（GB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14554-93）表1厂界新扩改建二级标准限值和表2排放标准值；颗粒物排放执行广东省《大气污染物排放限值》（DB 44/27-2001）第二时段无组织排放监控浓度限值；厂区内非甲烷总烃排放执行《挥发性有机物无组织排放控制标准》（GB 37822-2019）表A.1特别排放限值。</w:t>
      </w:r>
    </w:p>
    <w:p w14:paraId="1A2974A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）排水系统采用雨污分流。生活污水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经三级化粪池预处理后与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冷却废水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分别排入市政集污管网，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送前锋净水厂进一步处理。项目设置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生活污水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排放口1个、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冷却废水排放口1个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。生活污水排放执行广东省《水污染物排放限值》（DB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44/26-2001）第二时段三级标准限值要求；冷却废水排放执行《合成树脂工业污染物排放标准》（GB 31572-2015及2024年修改单）表1  水污染物排放限值的直接排放标准限值要求。生活污水排放量不超过180吨/年，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冷却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废水排放量不超过21吨/年。</w:t>
      </w:r>
    </w:p>
    <w:p w14:paraId="67BCD35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（三）噪声排放执行《工业企业厂界环境噪声排放标准》（GB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12348-2008）</w:t>
      </w:r>
      <w:bookmarkStart w:id="1" w:name="OLE_LINK22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标准</w:t>
      </w:r>
      <w:bookmarkEnd w:id="1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3E1C7A6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（四）</w:t>
      </w:r>
      <w:bookmarkStart w:id="2" w:name="OLE_LINK16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各类固体废物实行分类收集、处置</w:t>
      </w:r>
      <w:bookmarkEnd w:id="2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bookmarkStart w:id="3" w:name="OLE_LINK12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固体废物的贮存、堆放应按《危险废物贮存污染控制标准》（GB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18597-20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）、《一般工业固体废物贮存和填埋污染控制标准》(GB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18599-2020)要求进行管理危险废物应委托有资质的单位处置。</w:t>
      </w:r>
    </w:p>
    <w:bookmarkEnd w:id="3"/>
    <w:p w14:paraId="777E49A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）加强环境风险防范和应急工作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建立健全环境事故应急体系，落实各项环境风险防范与应急措施，确保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生态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环境安全。</w:t>
      </w:r>
    </w:p>
    <w:p w14:paraId="33700F9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（六）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加强运营期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环境保护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管理，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确保各项污染物稳定达标排放，并</w:t>
      </w:r>
      <w:bookmarkStart w:id="4" w:name="OLE_LINK15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按规定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</w:rPr>
        <w:t>做好污染物排放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eastAsia="zh-CN"/>
        </w:rPr>
        <w:t>的自行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</w:rPr>
        <w:t>监测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eastAsia="zh-CN"/>
        </w:rPr>
        <w:t>及信息公开工作</w:t>
      </w:r>
      <w:bookmarkEnd w:id="4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</w:rPr>
        <w:t>。</w:t>
      </w:r>
    </w:p>
    <w:p w14:paraId="16F75DE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beforeLines="0" w:afterLines="0"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i w:val="0"/>
          <w:iCs w:val="0"/>
          <w:color w:val="auto"/>
          <w:sz w:val="32"/>
          <w:szCs w:val="32"/>
        </w:rPr>
        <w:t>）</w:t>
      </w:r>
      <w:bookmarkStart w:id="5" w:name="OLE_LINK21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项目建设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符合法律、法规等要求，如涉及规划、水务、消防等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其他部门许可事项的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须依法办理相关手续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  <w:bookmarkEnd w:id="5"/>
    </w:p>
    <w:p w14:paraId="74170BE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三、根据《建设项目环境保护管理条例》有关规定，建设项目需要配套建设的环境保护设施，必须与主体工程同时设计、同时施工、同时投产使用。项目竣工后，你公司应当按照国家和地方规定的标准和程序，对配套建设的环境保护设施进行验收，经验收合格后方可投入使用。</w:t>
      </w:r>
    </w:p>
    <w:p w14:paraId="0BD7DA4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四、如不服上述行政许可决定，可以在收到文书之日起60日内向广州市人民政府行政复议机构（地址：广州市越秀区小北路183号金和大厦2楼市政府行政复议办公室窗口，电话：020-83555988）申请行政复议；或者在收到文书之日起6个月内直接向广州铁路运输法院提起行政诉讼。申请行政复议或提起行政诉讼的，不停止本决定的执行。</w:t>
      </w:r>
    </w:p>
    <w:p w14:paraId="69B86FC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796E8AD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49A3917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pacing w:line="590" w:lineRule="exact"/>
        <w:jc w:val="center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广州市生态环境局</w:t>
      </w:r>
    </w:p>
    <w:p w14:paraId="4C71BDF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9</w:t>
      </w:r>
      <w:bookmarkStart w:id="7" w:name="_GoBack"/>
      <w:bookmarkEnd w:id="7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日</w:t>
      </w:r>
    </w:p>
    <w:p w14:paraId="2839ADE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518C301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2EEFC55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05E8576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4D0316D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70B4F16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64E47C4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1E0D58F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bidi w:val="0"/>
        <w:spacing w:line="590" w:lineRule="exact"/>
        <w:ind w:right="838" w:rightChars="399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</w:rPr>
      </w:pPr>
    </w:p>
    <w:p w14:paraId="5FFEEEC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pacing w:line="59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公开方式：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主动公开</w:t>
      </w:r>
    </w:p>
    <w:p w14:paraId="782C34F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pacing w:line="59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p w14:paraId="51518D1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90" w:lineRule="exact"/>
        <w:ind w:left="1119" w:leftChars="133" w:hanging="840" w:hangingChars="3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抄送：</w:t>
      </w:r>
      <w:r>
        <w:rPr>
          <w:rFonts w:hint="eastAsia" w:ascii="仿宋_GB2312" w:hAnsi="Times New Roman" w:eastAsia="仿宋_GB2312" w:cs="Times New Roman"/>
          <w:sz w:val="28"/>
          <w:szCs w:val="28"/>
        </w:rPr>
        <w:t>广州市生态环境局番禺分局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监管三科、</w:t>
      </w:r>
      <w:r>
        <w:rPr>
          <w:rFonts w:hint="eastAsia" w:ascii="仿宋_GB2312" w:hAnsi="Times New Roman" w:eastAsia="仿宋_GB2312" w:cs="Times New Roman"/>
          <w:sz w:val="28"/>
          <w:szCs w:val="28"/>
        </w:rPr>
        <w:t>执法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二</w:t>
      </w:r>
      <w:r>
        <w:rPr>
          <w:rFonts w:hint="eastAsia" w:ascii="仿宋_GB2312" w:hAnsi="Times New Roman" w:eastAsia="仿宋_GB2312" w:cs="Times New Roman"/>
          <w:sz w:val="28"/>
          <w:szCs w:val="28"/>
        </w:rPr>
        <w:t>科、广州市生态环境局</w:t>
      </w:r>
      <w:r>
        <w:rPr>
          <w:rFonts w:hint="default" w:ascii="仿宋_GB2312" w:hAnsi="Times New Roman" w:eastAsia="仿宋_GB2312" w:cs="Times New Roman"/>
          <w:sz w:val="28"/>
          <w:szCs w:val="28"/>
        </w:rPr>
        <w:t>番禺技术中心</w:t>
      </w:r>
      <w:r>
        <w:rPr>
          <w:rFonts w:hint="eastAsia" w:ascii="仿宋_GB2312" w:hAnsi="Times New Roman" w:eastAsia="仿宋_GB2312" w:cs="Times New Roman"/>
          <w:sz w:val="28"/>
          <w:szCs w:val="28"/>
          <w:lang w:eastAsia="zh-CN"/>
        </w:rPr>
        <w:t>、番禺</w:t>
      </w:r>
      <w:r>
        <w:rPr>
          <w:rFonts w:hint="eastAsia" w:ascii="仿宋_GB2312" w:hAnsi="Times New Roman" w:eastAsia="仿宋_GB2312" w:cs="Times New Roman"/>
          <w:sz w:val="28"/>
          <w:szCs w:val="28"/>
        </w:rPr>
        <w:t>第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五</w:t>
      </w:r>
      <w:r>
        <w:rPr>
          <w:rFonts w:hint="eastAsia" w:ascii="仿宋_GB2312" w:hAnsi="Times New Roman" w:eastAsia="仿宋_GB2312" w:cs="Times New Roman"/>
          <w:sz w:val="28"/>
          <w:szCs w:val="28"/>
        </w:rPr>
        <w:t>环保所</w:t>
      </w:r>
      <w:r>
        <w:rPr>
          <w:rFonts w:hint="default" w:ascii="仿宋_GB2312" w:hAnsi="Times New Roman" w:eastAsia="仿宋_GB2312" w:cs="Times New Roman"/>
          <w:sz w:val="28"/>
          <w:szCs w:val="28"/>
        </w:rPr>
        <w:t>，</w:t>
      </w:r>
      <w:bookmarkStart w:id="6" w:name="OLE_LINK13"/>
      <w:r>
        <w:rPr>
          <w:rFonts w:hint="default" w:ascii="仿宋_GB2312" w:hAnsi="Times New Roman" w:eastAsia="仿宋_GB2312" w:cs="Times New Roman"/>
          <w:sz w:val="28"/>
          <w:szCs w:val="28"/>
        </w:rPr>
        <w:t>广州市碧航环保技术有限公司。</w:t>
      </w:r>
      <w:bookmarkEnd w:id="0"/>
      <w:bookmarkEnd w:id="6"/>
    </w:p>
    <w:p w14:paraId="13E4F1D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 w:val="0"/>
        <w:spacing w:line="590" w:lineRule="exact"/>
        <w:ind w:left="1196" w:leftChars="284" w:hanging="600" w:hangingChars="200"/>
        <w:jc w:val="left"/>
        <w:textAlignment w:val="auto"/>
        <w:rPr>
          <w:rFonts w:hint="eastAsia" w:ascii="华文楷体" w:hAnsi="华文楷体" w:eastAsia="华文楷体" w:cs="华文楷体"/>
          <w:b w:val="0"/>
          <w:bCs w:val="0"/>
          <w:sz w:val="30"/>
          <w:szCs w:val="30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701" w:right="1417" w:bottom="1417" w:left="1417" w:header="1134" w:footer="1503" w:gutter="0"/>
      <w:cols w:space="720" w:num="1"/>
      <w:titlePg/>
      <w:docGrid w:type="lines" w:linePitch="312" w:charSpace="8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鼎简书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768E51">
    <w:pPr>
      <w:pStyle w:val="9"/>
      <w:framePr w:wrap="around" w:vAnchor="text" w:hAnchor="margin" w:xAlign="outside" w:y="1"/>
      <w:rPr>
        <w:rStyle w:val="17"/>
        <w:rFonts w:hint="eastAsia"/>
        <w:sz w:val="28"/>
      </w:rPr>
    </w:pPr>
    <w:r>
      <w:rPr>
        <w:rStyle w:val="17"/>
        <w:rFonts w:hint="eastAsia" w:ascii="宋体" w:hAnsi="宋体"/>
        <w:sz w:val="28"/>
      </w:rPr>
      <w:t>―</w:t>
    </w:r>
    <w:r>
      <w:rPr>
        <w:rStyle w:val="17"/>
        <w:rFonts w:hint="eastAsia"/>
        <w:sz w:val="28"/>
      </w:rPr>
      <w:t xml:space="preserve"> </w:t>
    </w:r>
    <w:r>
      <w:rPr>
        <w:rStyle w:val="17"/>
        <w:sz w:val="28"/>
      </w:rPr>
      <w:fldChar w:fldCharType="begin"/>
    </w:r>
    <w:r>
      <w:rPr>
        <w:rStyle w:val="17"/>
        <w:sz w:val="28"/>
      </w:rPr>
      <w:instrText xml:space="preserve">PAGE  </w:instrText>
    </w:r>
    <w:r>
      <w:rPr>
        <w:rStyle w:val="17"/>
        <w:sz w:val="28"/>
      </w:rPr>
      <w:fldChar w:fldCharType="separate"/>
    </w:r>
    <w:r>
      <w:rPr>
        <w:rStyle w:val="17"/>
        <w:sz w:val="28"/>
      </w:rPr>
      <w:t>2</w:t>
    </w:r>
    <w:r>
      <w:rPr>
        <w:rStyle w:val="17"/>
        <w:sz w:val="28"/>
      </w:rPr>
      <w:fldChar w:fldCharType="end"/>
    </w:r>
    <w:r>
      <w:rPr>
        <w:rStyle w:val="17"/>
        <w:rFonts w:hint="eastAsia"/>
        <w:sz w:val="28"/>
      </w:rPr>
      <w:t xml:space="preserve"> </w:t>
    </w:r>
    <w:r>
      <w:rPr>
        <w:rStyle w:val="17"/>
        <w:rFonts w:hint="eastAsia" w:ascii="宋体" w:hAnsi="宋体"/>
        <w:sz w:val="28"/>
      </w:rPr>
      <w:t>―</w:t>
    </w:r>
  </w:p>
  <w:p w14:paraId="5A2D853F">
    <w:pPr>
      <w:pStyle w:val="9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79D3FE">
    <w:pPr>
      <w:pStyle w:val="9"/>
      <w:framePr w:wrap="around" w:vAnchor="text" w:hAnchor="margin" w:xAlign="outside" w:y="1"/>
      <w:rPr>
        <w:rStyle w:val="17"/>
      </w:rPr>
    </w:pPr>
    <w:r>
      <w:rPr>
        <w:rStyle w:val="17"/>
      </w:rPr>
      <w:fldChar w:fldCharType="begin"/>
    </w:r>
    <w:r>
      <w:rPr>
        <w:rStyle w:val="17"/>
      </w:rPr>
      <w:instrText xml:space="preserve">PAGE  </w:instrText>
    </w:r>
    <w:r>
      <w:rPr>
        <w:rStyle w:val="17"/>
      </w:rPr>
      <w:fldChar w:fldCharType="end"/>
    </w:r>
  </w:p>
  <w:p w14:paraId="29F93B6E">
    <w:pPr>
      <w:pStyle w:val="9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811CEE"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896"/>
    <w:rsid w:val="000001CF"/>
    <w:rsid w:val="00026628"/>
    <w:rsid w:val="00041246"/>
    <w:rsid w:val="000C0CFE"/>
    <w:rsid w:val="000D348E"/>
    <w:rsid w:val="00126DCF"/>
    <w:rsid w:val="00192134"/>
    <w:rsid w:val="001A7002"/>
    <w:rsid w:val="001A7E25"/>
    <w:rsid w:val="001C13B6"/>
    <w:rsid w:val="00270B56"/>
    <w:rsid w:val="003B41D3"/>
    <w:rsid w:val="003D2929"/>
    <w:rsid w:val="003F52EE"/>
    <w:rsid w:val="00487AF2"/>
    <w:rsid w:val="00491F01"/>
    <w:rsid w:val="004D452A"/>
    <w:rsid w:val="004F2B80"/>
    <w:rsid w:val="00554313"/>
    <w:rsid w:val="00562512"/>
    <w:rsid w:val="00567C32"/>
    <w:rsid w:val="00595D18"/>
    <w:rsid w:val="005D2912"/>
    <w:rsid w:val="005F112D"/>
    <w:rsid w:val="006344D0"/>
    <w:rsid w:val="0063597A"/>
    <w:rsid w:val="0066536E"/>
    <w:rsid w:val="00667561"/>
    <w:rsid w:val="00677A86"/>
    <w:rsid w:val="006C0566"/>
    <w:rsid w:val="00735456"/>
    <w:rsid w:val="007953FD"/>
    <w:rsid w:val="007E3C40"/>
    <w:rsid w:val="00831320"/>
    <w:rsid w:val="00846DB3"/>
    <w:rsid w:val="009330B6"/>
    <w:rsid w:val="0097541C"/>
    <w:rsid w:val="00994641"/>
    <w:rsid w:val="009D6C7F"/>
    <w:rsid w:val="00A40126"/>
    <w:rsid w:val="00AA5976"/>
    <w:rsid w:val="00AF591F"/>
    <w:rsid w:val="00B5082A"/>
    <w:rsid w:val="00B51081"/>
    <w:rsid w:val="00B72159"/>
    <w:rsid w:val="00B84328"/>
    <w:rsid w:val="00BB3F36"/>
    <w:rsid w:val="00BD5E65"/>
    <w:rsid w:val="00BF67C2"/>
    <w:rsid w:val="00C062D9"/>
    <w:rsid w:val="00CE520B"/>
    <w:rsid w:val="00D14896"/>
    <w:rsid w:val="00D42C38"/>
    <w:rsid w:val="00D961F1"/>
    <w:rsid w:val="00DE27FA"/>
    <w:rsid w:val="00DE2C98"/>
    <w:rsid w:val="00E505ED"/>
    <w:rsid w:val="00E85BE3"/>
    <w:rsid w:val="00EC342A"/>
    <w:rsid w:val="00F161F5"/>
    <w:rsid w:val="00F970DF"/>
    <w:rsid w:val="0726573F"/>
    <w:rsid w:val="09CA1181"/>
    <w:rsid w:val="0A125676"/>
    <w:rsid w:val="0B000F60"/>
    <w:rsid w:val="0D4F2AE5"/>
    <w:rsid w:val="0DA701FE"/>
    <w:rsid w:val="0DEB5A37"/>
    <w:rsid w:val="0E640050"/>
    <w:rsid w:val="0F52122C"/>
    <w:rsid w:val="0F6F1094"/>
    <w:rsid w:val="106060E2"/>
    <w:rsid w:val="120E1C01"/>
    <w:rsid w:val="128379F6"/>
    <w:rsid w:val="12856FF3"/>
    <w:rsid w:val="13C979FA"/>
    <w:rsid w:val="13CB0119"/>
    <w:rsid w:val="151046BB"/>
    <w:rsid w:val="16153CF4"/>
    <w:rsid w:val="16DE74E5"/>
    <w:rsid w:val="17D84309"/>
    <w:rsid w:val="19FE60C7"/>
    <w:rsid w:val="1A1914F5"/>
    <w:rsid w:val="1B176524"/>
    <w:rsid w:val="1BED373D"/>
    <w:rsid w:val="1C663D97"/>
    <w:rsid w:val="1D8863A2"/>
    <w:rsid w:val="1E765922"/>
    <w:rsid w:val="1F0D7671"/>
    <w:rsid w:val="1FDE71AF"/>
    <w:rsid w:val="20BA50E3"/>
    <w:rsid w:val="220E557A"/>
    <w:rsid w:val="232609F0"/>
    <w:rsid w:val="252D1EE5"/>
    <w:rsid w:val="252D21E0"/>
    <w:rsid w:val="260A4701"/>
    <w:rsid w:val="269D7E97"/>
    <w:rsid w:val="27CB7E09"/>
    <w:rsid w:val="284E34A5"/>
    <w:rsid w:val="287A5F8F"/>
    <w:rsid w:val="291475E8"/>
    <w:rsid w:val="291649F7"/>
    <w:rsid w:val="291B3F52"/>
    <w:rsid w:val="29FA00EA"/>
    <w:rsid w:val="2A56543D"/>
    <w:rsid w:val="2A7501F0"/>
    <w:rsid w:val="2BFC0D17"/>
    <w:rsid w:val="2D3E219F"/>
    <w:rsid w:val="2D9B4434"/>
    <w:rsid w:val="2F9741F9"/>
    <w:rsid w:val="2FC737F6"/>
    <w:rsid w:val="30025200"/>
    <w:rsid w:val="306A531E"/>
    <w:rsid w:val="30870396"/>
    <w:rsid w:val="31B62063"/>
    <w:rsid w:val="325E7BE3"/>
    <w:rsid w:val="339B5615"/>
    <w:rsid w:val="349B0E30"/>
    <w:rsid w:val="355549D6"/>
    <w:rsid w:val="368707A0"/>
    <w:rsid w:val="36E8706D"/>
    <w:rsid w:val="37FF4F0E"/>
    <w:rsid w:val="38A97D85"/>
    <w:rsid w:val="3A282EC7"/>
    <w:rsid w:val="3A53380B"/>
    <w:rsid w:val="3D957DFF"/>
    <w:rsid w:val="3DFE29E0"/>
    <w:rsid w:val="402A1393"/>
    <w:rsid w:val="40374367"/>
    <w:rsid w:val="40EE14B1"/>
    <w:rsid w:val="41680404"/>
    <w:rsid w:val="42007882"/>
    <w:rsid w:val="42B875A4"/>
    <w:rsid w:val="438576C5"/>
    <w:rsid w:val="439F0BBE"/>
    <w:rsid w:val="461D3EE6"/>
    <w:rsid w:val="4732045C"/>
    <w:rsid w:val="476D05EC"/>
    <w:rsid w:val="48BC7A7A"/>
    <w:rsid w:val="49137253"/>
    <w:rsid w:val="4D037CA5"/>
    <w:rsid w:val="4D4D6CAD"/>
    <w:rsid w:val="4DD86643"/>
    <w:rsid w:val="4E100354"/>
    <w:rsid w:val="4E823E3F"/>
    <w:rsid w:val="50775E7B"/>
    <w:rsid w:val="51463C84"/>
    <w:rsid w:val="51EC39BC"/>
    <w:rsid w:val="526D1882"/>
    <w:rsid w:val="527D3E2F"/>
    <w:rsid w:val="54535B9B"/>
    <w:rsid w:val="56D90809"/>
    <w:rsid w:val="575E5E0B"/>
    <w:rsid w:val="576C3EC8"/>
    <w:rsid w:val="58F4010C"/>
    <w:rsid w:val="599125D0"/>
    <w:rsid w:val="5A7B4474"/>
    <w:rsid w:val="5AAD190B"/>
    <w:rsid w:val="5D0C3D95"/>
    <w:rsid w:val="5E175DB4"/>
    <w:rsid w:val="5E3E7416"/>
    <w:rsid w:val="5F63425D"/>
    <w:rsid w:val="613B6166"/>
    <w:rsid w:val="633A1D77"/>
    <w:rsid w:val="63C51FC3"/>
    <w:rsid w:val="64175E49"/>
    <w:rsid w:val="6534300B"/>
    <w:rsid w:val="66013B47"/>
    <w:rsid w:val="670856A2"/>
    <w:rsid w:val="69112693"/>
    <w:rsid w:val="69271CDD"/>
    <w:rsid w:val="69FC3374"/>
    <w:rsid w:val="6ABE0F32"/>
    <w:rsid w:val="6B743DD4"/>
    <w:rsid w:val="6BB20BEF"/>
    <w:rsid w:val="6BFA5CBF"/>
    <w:rsid w:val="6CB93980"/>
    <w:rsid w:val="6E193FCD"/>
    <w:rsid w:val="6E273EB7"/>
    <w:rsid w:val="70EB61B4"/>
    <w:rsid w:val="71833BD0"/>
    <w:rsid w:val="719E1C2B"/>
    <w:rsid w:val="71F25EB7"/>
    <w:rsid w:val="721533D8"/>
    <w:rsid w:val="734F6D9E"/>
    <w:rsid w:val="741144D9"/>
    <w:rsid w:val="74940A3D"/>
    <w:rsid w:val="75B46566"/>
    <w:rsid w:val="75B66322"/>
    <w:rsid w:val="75C54E5B"/>
    <w:rsid w:val="77525D78"/>
    <w:rsid w:val="77A3353E"/>
    <w:rsid w:val="784E3B62"/>
    <w:rsid w:val="793D1A06"/>
    <w:rsid w:val="79AE53C9"/>
    <w:rsid w:val="79D14569"/>
    <w:rsid w:val="7A1811CF"/>
    <w:rsid w:val="7AE349E1"/>
    <w:rsid w:val="7B615D46"/>
    <w:rsid w:val="7BE0008B"/>
    <w:rsid w:val="7CBDF9E3"/>
    <w:rsid w:val="7D52649A"/>
    <w:rsid w:val="7D865D8F"/>
    <w:rsid w:val="7E6D6AA6"/>
    <w:rsid w:val="7EE201BD"/>
    <w:rsid w:val="7F195567"/>
    <w:rsid w:val="D98E85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link w:val="15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link w:val="29"/>
    <w:qFormat/>
    <w:uiPriority w:val="0"/>
    <w:pPr>
      <w:autoSpaceDE w:val="0"/>
      <w:autoSpaceDN w:val="0"/>
      <w:adjustRightInd w:val="0"/>
      <w:jc w:val="center"/>
    </w:pPr>
    <w:rPr>
      <w:rFonts w:ascii="方正小标宋简体" w:hAnsi="Times New Roman" w:eastAsia="方正小标宋简体" w:cs="方正小标宋简体"/>
      <w:sz w:val="44"/>
      <w:szCs w:val="44"/>
    </w:rPr>
  </w:style>
  <w:style w:type="paragraph" w:styleId="4">
    <w:name w:val="Body Text Indent"/>
    <w:basedOn w:val="1"/>
    <w:qFormat/>
    <w:uiPriority w:val="0"/>
    <w:pPr>
      <w:spacing w:line="560" w:lineRule="exact"/>
      <w:ind w:firstLine="600" w:firstLineChars="200"/>
      <w:outlineLvl w:val="0"/>
    </w:pPr>
    <w:rPr>
      <w:rFonts w:ascii="仿宋_GB2312" w:eastAsia="仿宋_GB2312"/>
      <w:sz w:val="30"/>
    </w:rPr>
  </w:style>
  <w:style w:type="paragraph" w:styleId="5">
    <w:name w:val="Plain Text"/>
    <w:basedOn w:val="1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paragraph" w:styleId="6">
    <w:name w:val="Date"/>
    <w:basedOn w:val="1"/>
    <w:next w:val="1"/>
    <w:qFormat/>
    <w:uiPriority w:val="0"/>
    <w:pPr>
      <w:ind w:left="100" w:leftChars="2500"/>
    </w:pPr>
    <w:rPr>
      <w:rFonts w:eastAsia="仿宋_GB2312"/>
      <w:w w:val="99"/>
      <w:sz w:val="32"/>
    </w:rPr>
  </w:style>
  <w:style w:type="paragraph" w:styleId="7">
    <w:name w:val="Body Text Indent 2"/>
    <w:basedOn w:val="1"/>
    <w:qFormat/>
    <w:uiPriority w:val="0"/>
    <w:pPr>
      <w:snapToGrid w:val="0"/>
      <w:spacing w:line="600" w:lineRule="exact"/>
      <w:ind w:firstLine="640" w:firstLineChars="200"/>
    </w:pPr>
    <w:rPr>
      <w:rFonts w:ascii="仿宋_GB2312" w:eastAsia="仿宋_GB2312"/>
      <w:color w:val="FF0000"/>
      <w:sz w:val="32"/>
      <w:szCs w:val="32"/>
    </w:r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Char"/>
    <w:basedOn w:val="1"/>
    <w:link w:val="14"/>
    <w:qFormat/>
    <w:uiPriority w:val="0"/>
  </w:style>
  <w:style w:type="character" w:styleId="16">
    <w:name w:val="Strong"/>
    <w:basedOn w:val="14"/>
    <w:qFormat/>
    <w:uiPriority w:val="22"/>
    <w:rPr>
      <w:rFonts w:ascii="Times New Roman" w:hAnsi="Times New Roman" w:eastAsia="宋体" w:cs="Times New Roman"/>
      <w:b/>
      <w:bCs/>
    </w:rPr>
  </w:style>
  <w:style w:type="character" w:styleId="17">
    <w:name w:val="page number"/>
    <w:basedOn w:val="14"/>
    <w:qFormat/>
    <w:uiPriority w:val="0"/>
  </w:style>
  <w:style w:type="character" w:styleId="18">
    <w:name w:val="Hyperlink"/>
    <w:basedOn w:val="14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paragraph" w:customStyle="1" w:styleId="19">
    <w:name w:val="Default"/>
    <w:basedOn w:val="20"/>
    <w:next w:val="21"/>
    <w:qFormat/>
    <w:uiPriority w:val="0"/>
    <w:pPr>
      <w:widowControl w:val="0"/>
      <w:autoSpaceDE w:val="0"/>
      <w:autoSpaceDN w:val="0"/>
    </w:pPr>
    <w:rPr>
      <w:rFonts w:hint="eastAsia" w:ascii="黑体" w:hAnsi="黑体" w:eastAsia="黑体"/>
      <w:color w:val="000000"/>
      <w:sz w:val="24"/>
      <w:lang w:val="en-US" w:eastAsia="zh-CN" w:bidi="ar-SA"/>
    </w:rPr>
  </w:style>
  <w:style w:type="paragraph" w:customStyle="1" w:styleId="20">
    <w:name w:val="纯文本1"/>
    <w:basedOn w:val="1"/>
    <w:next w:val="1"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customStyle="1" w:styleId="21">
    <w:name w:val="正文文字 6"/>
    <w:basedOn w:val="22"/>
    <w:next w:val="1"/>
    <w:qFormat/>
    <w:uiPriority w:val="0"/>
    <w:pPr>
      <w:widowControl w:val="0"/>
      <w:ind w:left="240"/>
      <w:jc w:val="both"/>
    </w:pPr>
    <w:rPr>
      <w:rFonts w:ascii="宋体" w:hAnsi="Times New Roman" w:eastAsia="宋体" w:cs="Times New Roman"/>
      <w:bCs/>
      <w:kern w:val="2"/>
      <w:sz w:val="32"/>
      <w:szCs w:val="32"/>
      <w:lang w:val="en-US" w:eastAsia="zh-CN" w:bidi="ar-SA"/>
    </w:rPr>
  </w:style>
  <w:style w:type="paragraph" w:customStyle="1" w:styleId="22">
    <w:name w:val="TT标题"/>
    <w:basedOn w:val="1"/>
    <w:qFormat/>
    <w:uiPriority w:val="0"/>
    <w:pPr>
      <w:jc w:val="center"/>
    </w:pPr>
    <w:rPr>
      <w:rFonts w:cs="宋体"/>
      <w:b/>
      <w:szCs w:val="20"/>
    </w:rPr>
  </w:style>
  <w:style w:type="paragraph" w:customStyle="1" w:styleId="23">
    <w:name w:val="Q-正文"/>
    <w:basedOn w:val="1"/>
    <w:next w:val="1"/>
    <w:qFormat/>
    <w:uiPriority w:val="0"/>
    <w:pPr>
      <w:ind w:firstLine="200"/>
    </w:pPr>
    <w:rPr>
      <w:rFonts w:ascii="Times New Roman" w:hAnsi="Times New Roman" w:eastAsia="宋体" w:cs="Courier New"/>
      <w:sz w:val="21"/>
      <w:szCs w:val="22"/>
    </w:rPr>
  </w:style>
  <w:style w:type="paragraph" w:customStyle="1" w:styleId="24">
    <w:name w:val="A正文-lcc"/>
    <w:basedOn w:val="1"/>
    <w:link w:val="27"/>
    <w:qFormat/>
    <w:uiPriority w:val="0"/>
    <w:pPr>
      <w:widowControl/>
      <w:spacing w:line="360" w:lineRule="auto"/>
      <w:ind w:firstLine="200" w:firstLineChars="200"/>
      <w:jc w:val="left"/>
    </w:pPr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paragraph" w:customStyle="1" w:styleId="25">
    <w:name w:val="默认段落字体 Para Char"/>
    <w:basedOn w:val="1"/>
    <w:next w:val="1"/>
    <w:qFormat/>
    <w:uiPriority w:val="0"/>
    <w:pPr>
      <w:spacing w:line="360" w:lineRule="auto"/>
      <w:ind w:firstLine="200" w:firstLineChars="200"/>
    </w:pPr>
    <w:rPr>
      <w:rFonts w:ascii="宋体" w:hAnsi="宋体" w:eastAsia="汉鼎简书宋" w:cs="宋体"/>
      <w:sz w:val="24"/>
      <w:szCs w:val="24"/>
    </w:rPr>
  </w:style>
  <w:style w:type="paragraph" w:customStyle="1" w:styleId="26">
    <w:name w:val=" Char"/>
    <w:basedOn w:val="1"/>
    <w:qFormat/>
    <w:uiPriority w:val="0"/>
    <w:pPr>
      <w:spacing w:line="360" w:lineRule="auto"/>
    </w:pPr>
    <w:rPr>
      <w:rFonts w:ascii="Tahoma" w:hAnsi="Tahoma" w:eastAsia="宋体" w:cs="Times New Roman"/>
      <w:sz w:val="28"/>
      <w:szCs w:val="20"/>
    </w:rPr>
  </w:style>
  <w:style w:type="character" w:customStyle="1" w:styleId="27">
    <w:name w:val="A正文-lcc Char"/>
    <w:link w:val="24"/>
    <w:qFormat/>
    <w:uiPriority w:val="0"/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character" w:customStyle="1" w:styleId="28">
    <w:name w:val="content1"/>
    <w:basedOn w:val="14"/>
    <w:qFormat/>
    <w:uiPriority w:val="0"/>
    <w:rPr>
      <w:rFonts w:ascii="Times New Roman" w:hAnsi="Times New Roman" w:eastAsia="宋体" w:cs="Times New Roman"/>
      <w:sz w:val="21"/>
      <w:szCs w:val="21"/>
    </w:rPr>
  </w:style>
  <w:style w:type="character" w:customStyle="1" w:styleId="29">
    <w:name w:val="正文文本 Char"/>
    <w:basedOn w:val="14"/>
    <w:link w:val="3"/>
    <w:semiHidden/>
    <w:qFormat/>
    <w:locked/>
    <w:uiPriority w:val="0"/>
    <w:rPr>
      <w:rFonts w:ascii="方正小标宋简体" w:hAnsi="Times New Roman" w:eastAsia="方正小标宋简体" w:cs="方正小标宋简体"/>
      <w:sz w:val="44"/>
      <w:szCs w:val="44"/>
    </w:rPr>
  </w:style>
  <w:style w:type="character" w:customStyle="1" w:styleId="30">
    <w:name w:val="样式 楷体_GB2312 黑色"/>
    <w:qFormat/>
    <w:uiPriority w:val="0"/>
    <w:rPr>
      <w:rFonts w:ascii="楷体_GB2312" w:hAnsi="宋体" w:eastAsia="楷体_GB2312" w:cs="Times New Roman"/>
      <w:b/>
      <w:color w:val="00000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gzepb</Company>
  <Pages>4</Pages>
  <Words>1697</Words>
  <Characters>1856</Characters>
  <Lines>16</Lines>
  <Paragraphs>4</Paragraphs>
  <TotalTime>32</TotalTime>
  <ScaleCrop>false</ScaleCrop>
  <LinksUpToDate>false</LinksUpToDate>
  <CharactersWithSpaces>1903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2021-12-16T10:42:00Z</dcterms:created>
  <dc:creator>张春菊</dc:creator>
  <cp:lastModifiedBy>dolyzzzz</cp:lastModifiedBy>
  <cp:lastPrinted>2025-12-04T09:33:00Z</cp:lastPrinted>
  <dcterms:modified xsi:type="dcterms:W3CDTF">2025-12-09T07:55:14Z</dcterms:modified>
  <dc:title>                                   穗府办函〔2006〕号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452BCD14944946E3B70A3FC628A7FF87_13</vt:lpwstr>
  </property>
  <property fmtid="{D5CDD505-2E9C-101B-9397-08002B2CF9AE}" pid="4" name="KSOTemplateDocerSaveRecord">
    <vt:lpwstr>eyJoZGlkIjoiZTk3OTI2Y2Y4NTVhMDE4ZDI0NmQ3YmQxYzcwODhjOTYiLCJ1c2VySWQiOiIxMjEwNzk5MTAifQ==</vt:lpwstr>
  </property>
</Properties>
</file>