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0EB71">
      <w:pPr>
        <w:spacing w:before="64" w:line="230" w:lineRule="auto"/>
        <w:outlineLvl w:val="0"/>
        <w:rPr>
          <w:rFonts w:ascii="黑体" w:hAnsi="黑体" w:eastAsia="黑体" w:cs="黑体"/>
          <w:sz w:val="31"/>
          <w:szCs w:val="31"/>
        </w:rPr>
      </w:pPr>
      <w:r>
        <w:rPr>
          <w:rFonts w:ascii="黑体" w:hAnsi="黑体" w:eastAsia="黑体" w:cs="黑体"/>
          <w:spacing w:val="24"/>
          <w:sz w:val="31"/>
          <w:szCs w:val="31"/>
        </w:rPr>
        <w:t>附件2</w:t>
      </w:r>
    </w:p>
    <w:p w14:paraId="1CD6418C">
      <w:pPr>
        <w:spacing w:before="109" w:line="214" w:lineRule="auto"/>
        <w:jc w:val="center"/>
        <w:rPr>
          <w:rFonts w:ascii="宋体" w:hAnsi="宋体" w:eastAsia="宋体" w:cs="宋体"/>
          <w:sz w:val="43"/>
          <w:szCs w:val="43"/>
        </w:rPr>
      </w:pPr>
      <w:r>
        <w:rPr>
          <w:rFonts w:ascii="宋体" w:hAnsi="宋体" w:eastAsia="宋体" w:cs="宋体"/>
          <w:b/>
          <w:bCs/>
          <w:spacing w:val="5"/>
          <w:sz w:val="43"/>
          <w:szCs w:val="43"/>
        </w:rPr>
        <w:t>烟花爆竹零售店现场安全条件审核表</w:t>
      </w:r>
    </w:p>
    <w:tbl>
      <w:tblPr>
        <w:tblStyle w:val="5"/>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842"/>
        <w:gridCol w:w="4278"/>
        <w:gridCol w:w="2724"/>
      </w:tblGrid>
      <w:tr w14:paraId="48E9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501" w:type="dxa"/>
            <w:gridSpan w:val="2"/>
            <w:vAlign w:val="top"/>
          </w:tcPr>
          <w:p w14:paraId="3759072F">
            <w:pPr>
              <w:pStyle w:val="6"/>
              <w:spacing w:before="234" w:line="228" w:lineRule="auto"/>
              <w:jc w:val="center"/>
              <w:rPr>
                <w:sz w:val="24"/>
                <w:szCs w:val="24"/>
              </w:rPr>
            </w:pPr>
            <w:r>
              <w:rPr>
                <w:b/>
                <w:bCs/>
                <w:spacing w:val="7"/>
                <w:sz w:val="24"/>
                <w:szCs w:val="24"/>
              </w:rPr>
              <w:t>零售店名称</w:t>
            </w:r>
          </w:p>
        </w:tc>
        <w:tc>
          <w:tcPr>
            <w:tcW w:w="7002" w:type="dxa"/>
            <w:gridSpan w:val="2"/>
            <w:vAlign w:val="top"/>
          </w:tcPr>
          <w:p w14:paraId="3BF5F3B3">
            <w:pPr>
              <w:rPr>
                <w:rFonts w:ascii="Arial"/>
                <w:sz w:val="28"/>
                <w:szCs w:val="28"/>
              </w:rPr>
            </w:pPr>
          </w:p>
        </w:tc>
      </w:tr>
      <w:tr w14:paraId="535B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01" w:type="dxa"/>
            <w:gridSpan w:val="2"/>
            <w:vAlign w:val="top"/>
          </w:tcPr>
          <w:p w14:paraId="3F667AB0">
            <w:pPr>
              <w:pStyle w:val="6"/>
              <w:spacing w:before="183" w:line="228" w:lineRule="auto"/>
              <w:jc w:val="center"/>
              <w:rPr>
                <w:sz w:val="24"/>
                <w:szCs w:val="24"/>
              </w:rPr>
            </w:pPr>
            <w:r>
              <w:rPr>
                <w:b/>
                <w:bCs/>
                <w:spacing w:val="6"/>
                <w:sz w:val="24"/>
                <w:szCs w:val="24"/>
              </w:rPr>
              <w:t>经营地址</w:t>
            </w:r>
          </w:p>
        </w:tc>
        <w:tc>
          <w:tcPr>
            <w:tcW w:w="7002" w:type="dxa"/>
            <w:gridSpan w:val="2"/>
            <w:vAlign w:val="top"/>
          </w:tcPr>
          <w:p w14:paraId="382C454D">
            <w:pPr>
              <w:rPr>
                <w:rFonts w:ascii="Arial"/>
                <w:sz w:val="28"/>
                <w:szCs w:val="28"/>
              </w:rPr>
            </w:pPr>
          </w:p>
        </w:tc>
      </w:tr>
      <w:tr w14:paraId="5651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779" w:type="dxa"/>
            <w:gridSpan w:val="3"/>
            <w:vAlign w:val="top"/>
          </w:tcPr>
          <w:p w14:paraId="11D5A213">
            <w:pPr>
              <w:pStyle w:val="6"/>
              <w:spacing w:before="158" w:line="228" w:lineRule="auto"/>
              <w:ind w:left="2793"/>
              <w:rPr>
                <w:sz w:val="24"/>
                <w:szCs w:val="24"/>
              </w:rPr>
            </w:pPr>
            <w:r>
              <w:rPr>
                <w:b/>
                <w:bCs/>
                <w:spacing w:val="-12"/>
                <w:sz w:val="24"/>
                <w:szCs w:val="24"/>
              </w:rPr>
              <w:t>审核内容</w:t>
            </w:r>
          </w:p>
        </w:tc>
        <w:tc>
          <w:tcPr>
            <w:tcW w:w="2724" w:type="dxa"/>
            <w:vAlign w:val="top"/>
          </w:tcPr>
          <w:p w14:paraId="5BFC8C81">
            <w:pPr>
              <w:pStyle w:val="6"/>
              <w:spacing w:before="158" w:line="228" w:lineRule="auto"/>
              <w:ind w:left="947"/>
              <w:rPr>
                <w:sz w:val="24"/>
                <w:szCs w:val="24"/>
              </w:rPr>
            </w:pPr>
            <w:r>
              <w:rPr>
                <w:b/>
                <w:bCs/>
                <w:spacing w:val="6"/>
                <w:sz w:val="24"/>
                <w:szCs w:val="24"/>
              </w:rPr>
              <w:t>符合与否</w:t>
            </w:r>
          </w:p>
        </w:tc>
      </w:tr>
      <w:tr w14:paraId="1576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03" w:type="dxa"/>
            <w:gridSpan w:val="4"/>
            <w:vAlign w:val="top"/>
          </w:tcPr>
          <w:p w14:paraId="1B1C37D5">
            <w:pPr>
              <w:pStyle w:val="6"/>
              <w:spacing w:before="179" w:line="228" w:lineRule="auto"/>
              <w:ind w:left="4305"/>
              <w:rPr>
                <w:sz w:val="24"/>
                <w:szCs w:val="24"/>
              </w:rPr>
            </w:pPr>
            <w:r>
              <w:rPr>
                <w:b/>
                <w:bCs/>
                <w:spacing w:val="5"/>
                <w:sz w:val="24"/>
                <w:szCs w:val="24"/>
              </w:rPr>
              <w:t>一、面积</w:t>
            </w:r>
          </w:p>
        </w:tc>
      </w:tr>
      <w:tr w14:paraId="135E9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659" w:type="dxa"/>
            <w:vAlign w:val="center"/>
          </w:tcPr>
          <w:p w14:paraId="530A9859">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w:t>
            </w:r>
          </w:p>
        </w:tc>
        <w:tc>
          <w:tcPr>
            <w:tcW w:w="6120" w:type="dxa"/>
            <w:gridSpan w:val="2"/>
            <w:vAlign w:val="center"/>
          </w:tcPr>
          <w:p w14:paraId="4171C0A1">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零售场所的使用面积不小于</w:t>
            </w:r>
            <w:r>
              <w:rPr>
                <w:rFonts w:hint="eastAsia" w:ascii="仿宋_GB2312" w:hAnsi="仿宋_GB2312" w:eastAsia="仿宋_GB2312" w:cs="仿宋_GB2312"/>
                <w:snapToGrid/>
                <w:kern w:val="2"/>
                <w:sz w:val="24"/>
                <w:szCs w:val="24"/>
                <w:lang w:val="en-US" w:eastAsia="zh-CN"/>
              </w:rPr>
              <w:t>1</w:t>
            </w:r>
            <w:bookmarkStart w:id="0" w:name="_GoBack"/>
            <w:bookmarkEnd w:id="0"/>
            <w:r>
              <w:rPr>
                <w:rFonts w:hint="eastAsia" w:ascii="仿宋_GB2312" w:hAnsi="仿宋_GB2312" w:eastAsia="仿宋_GB2312" w:cs="仿宋_GB2312"/>
                <w:snapToGrid/>
                <w:kern w:val="2"/>
                <w:sz w:val="24"/>
                <w:szCs w:val="24"/>
                <w:lang w:eastAsia="zh-CN"/>
              </w:rPr>
              <w:t>0平方米，且不应大于200㎡，周边50米范围内没有其他烟花爆竹零售点</w:t>
            </w:r>
          </w:p>
        </w:tc>
        <w:tc>
          <w:tcPr>
            <w:tcW w:w="2724" w:type="dxa"/>
            <w:vAlign w:val="top"/>
          </w:tcPr>
          <w:p w14:paraId="7F373E0B">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27AC9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03" w:type="dxa"/>
            <w:gridSpan w:val="4"/>
            <w:vAlign w:val="top"/>
          </w:tcPr>
          <w:p w14:paraId="306A09EB">
            <w:pPr>
              <w:pStyle w:val="6"/>
              <w:keepNext w:val="0"/>
              <w:keepLines w:val="0"/>
              <w:pageBreakBefore w:val="0"/>
              <w:widowControl/>
              <w:kinsoku w:val="0"/>
              <w:wordWrap/>
              <w:overflowPunct/>
              <w:topLinePunct w:val="0"/>
              <w:autoSpaceDE w:val="0"/>
              <w:autoSpaceDN w:val="0"/>
              <w:bidi w:val="0"/>
              <w:adjustRightInd w:val="0"/>
              <w:snapToGrid w:val="0"/>
              <w:spacing w:before="194" w:line="240" w:lineRule="atLeast"/>
              <w:ind w:left="4305"/>
              <w:textAlignment w:val="baseline"/>
              <w:rPr>
                <w:sz w:val="24"/>
                <w:szCs w:val="24"/>
              </w:rPr>
            </w:pPr>
            <w:r>
              <w:rPr>
                <w:b/>
                <w:bCs/>
                <w:spacing w:val="5"/>
                <w:sz w:val="24"/>
                <w:szCs w:val="24"/>
              </w:rPr>
              <w:t>二、选址</w:t>
            </w:r>
          </w:p>
        </w:tc>
      </w:tr>
      <w:tr w14:paraId="2B1A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59" w:type="dxa"/>
            <w:vAlign w:val="center"/>
          </w:tcPr>
          <w:p w14:paraId="576A8526">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w:t>
            </w:r>
          </w:p>
        </w:tc>
        <w:tc>
          <w:tcPr>
            <w:tcW w:w="6120" w:type="dxa"/>
            <w:gridSpan w:val="2"/>
            <w:vAlign w:val="center"/>
          </w:tcPr>
          <w:p w14:paraId="743CC575">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设置在消防车辆可以顺畅到达的区域</w:t>
            </w:r>
          </w:p>
        </w:tc>
        <w:tc>
          <w:tcPr>
            <w:tcW w:w="2724" w:type="dxa"/>
            <w:vAlign w:val="top"/>
          </w:tcPr>
          <w:p w14:paraId="399F691B">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47206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59" w:type="dxa"/>
            <w:vAlign w:val="center"/>
          </w:tcPr>
          <w:p w14:paraId="3135FD03">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3</w:t>
            </w:r>
          </w:p>
        </w:tc>
        <w:tc>
          <w:tcPr>
            <w:tcW w:w="6120" w:type="dxa"/>
            <w:gridSpan w:val="2"/>
            <w:vAlign w:val="center"/>
          </w:tcPr>
          <w:p w14:paraId="153F6340">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不应设置在军事管理区、文物保护区等禁止燃放烟花爆竹区域内</w:t>
            </w:r>
          </w:p>
        </w:tc>
        <w:tc>
          <w:tcPr>
            <w:tcW w:w="2724" w:type="dxa"/>
            <w:vAlign w:val="top"/>
          </w:tcPr>
          <w:p w14:paraId="503FA642">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26ED1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9" w:type="dxa"/>
            <w:vAlign w:val="center"/>
          </w:tcPr>
          <w:p w14:paraId="00C2DD3F">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4</w:t>
            </w:r>
          </w:p>
        </w:tc>
        <w:tc>
          <w:tcPr>
            <w:tcW w:w="6120" w:type="dxa"/>
            <w:gridSpan w:val="2"/>
            <w:vAlign w:val="center"/>
          </w:tcPr>
          <w:p w14:paraId="3DB4B502">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不应设置在居民集中居住小区内，以及桥下与涵洞内</w:t>
            </w:r>
          </w:p>
        </w:tc>
        <w:tc>
          <w:tcPr>
            <w:tcW w:w="2724" w:type="dxa"/>
            <w:vAlign w:val="top"/>
          </w:tcPr>
          <w:p w14:paraId="5B6DBA8E">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73333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9" w:type="dxa"/>
            <w:vAlign w:val="center"/>
          </w:tcPr>
          <w:p w14:paraId="0D1B7B37">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5</w:t>
            </w:r>
          </w:p>
        </w:tc>
        <w:tc>
          <w:tcPr>
            <w:tcW w:w="6120" w:type="dxa"/>
            <w:gridSpan w:val="2"/>
            <w:vAlign w:val="center"/>
          </w:tcPr>
          <w:p w14:paraId="67775360">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不应与居住场所设置在同一建筑物内，不应设置在地下及半地下室内</w:t>
            </w:r>
          </w:p>
        </w:tc>
        <w:tc>
          <w:tcPr>
            <w:tcW w:w="2724" w:type="dxa"/>
            <w:vAlign w:val="top"/>
          </w:tcPr>
          <w:p w14:paraId="1F4816C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7E56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9" w:type="dxa"/>
            <w:vAlign w:val="center"/>
          </w:tcPr>
          <w:p w14:paraId="49F8445A">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6</w:t>
            </w:r>
          </w:p>
        </w:tc>
        <w:tc>
          <w:tcPr>
            <w:tcW w:w="6120" w:type="dxa"/>
            <w:gridSpan w:val="2"/>
            <w:vAlign w:val="center"/>
          </w:tcPr>
          <w:p w14:paraId="525E095B">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不应设置在其地下、室内或上方有输送石油、天然气等易燃易爆物质管道的建筑物内</w:t>
            </w:r>
          </w:p>
        </w:tc>
        <w:tc>
          <w:tcPr>
            <w:tcW w:w="2724" w:type="dxa"/>
            <w:vAlign w:val="top"/>
          </w:tcPr>
          <w:p w14:paraId="677103D5">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75D7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659" w:type="dxa"/>
            <w:vAlign w:val="center"/>
          </w:tcPr>
          <w:p w14:paraId="55007A81">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7</w:t>
            </w:r>
          </w:p>
        </w:tc>
        <w:tc>
          <w:tcPr>
            <w:tcW w:w="6120" w:type="dxa"/>
            <w:gridSpan w:val="2"/>
            <w:vAlign w:val="center"/>
          </w:tcPr>
          <w:p w14:paraId="41F88428">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不应设置在电压高于1kV的电力线路下方</w:t>
            </w:r>
          </w:p>
        </w:tc>
        <w:tc>
          <w:tcPr>
            <w:tcW w:w="2724" w:type="dxa"/>
            <w:vAlign w:val="top"/>
          </w:tcPr>
          <w:p w14:paraId="4E05D28E">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0DEA6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9" w:type="dxa"/>
            <w:vAlign w:val="center"/>
          </w:tcPr>
          <w:p w14:paraId="45E123F3">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8</w:t>
            </w:r>
          </w:p>
        </w:tc>
        <w:tc>
          <w:tcPr>
            <w:tcW w:w="6120" w:type="dxa"/>
            <w:gridSpan w:val="2"/>
            <w:vAlign w:val="center"/>
          </w:tcPr>
          <w:p w14:paraId="27305009">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不应设置在商场、超市等场所内</w:t>
            </w:r>
          </w:p>
        </w:tc>
        <w:tc>
          <w:tcPr>
            <w:tcW w:w="2724" w:type="dxa"/>
            <w:vAlign w:val="top"/>
          </w:tcPr>
          <w:p w14:paraId="45D842DC">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57B82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9" w:type="dxa"/>
            <w:vAlign w:val="center"/>
          </w:tcPr>
          <w:p w14:paraId="076016D7">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9</w:t>
            </w:r>
          </w:p>
        </w:tc>
        <w:tc>
          <w:tcPr>
            <w:tcW w:w="6120" w:type="dxa"/>
            <w:gridSpan w:val="2"/>
            <w:vAlign w:val="center"/>
          </w:tcPr>
          <w:p w14:paraId="5997B8ED">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不应设置在国家机关办公场所</w:t>
            </w:r>
          </w:p>
        </w:tc>
        <w:tc>
          <w:tcPr>
            <w:tcW w:w="2724" w:type="dxa"/>
            <w:vAlign w:val="top"/>
          </w:tcPr>
          <w:p w14:paraId="456FF573">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7F2CB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9" w:type="dxa"/>
            <w:vAlign w:val="center"/>
          </w:tcPr>
          <w:p w14:paraId="410F3FD7">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10</w:t>
            </w:r>
          </w:p>
        </w:tc>
        <w:tc>
          <w:tcPr>
            <w:tcW w:w="6120" w:type="dxa"/>
            <w:gridSpan w:val="2"/>
            <w:vAlign w:val="center"/>
          </w:tcPr>
          <w:p w14:paraId="4F07C70A">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不应设置在饮用水水源一级保护区</w:t>
            </w:r>
          </w:p>
        </w:tc>
        <w:tc>
          <w:tcPr>
            <w:tcW w:w="2724" w:type="dxa"/>
            <w:vAlign w:val="top"/>
          </w:tcPr>
          <w:p w14:paraId="270A070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192F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59" w:type="dxa"/>
            <w:vAlign w:val="center"/>
          </w:tcPr>
          <w:p w14:paraId="6755EB3C">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11</w:t>
            </w:r>
          </w:p>
        </w:tc>
        <w:tc>
          <w:tcPr>
            <w:tcW w:w="6120" w:type="dxa"/>
            <w:gridSpan w:val="2"/>
            <w:vAlign w:val="center"/>
          </w:tcPr>
          <w:p w14:paraId="2E9DD6CD">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不应设置在车站、码头、机场等交通枢纽，轨道交通以及铁路线路安全保护区，以及过街天桥、立交桥、隧道、机动车停车场等场所</w:t>
            </w:r>
          </w:p>
        </w:tc>
        <w:tc>
          <w:tcPr>
            <w:tcW w:w="2724" w:type="dxa"/>
            <w:vAlign w:val="top"/>
          </w:tcPr>
          <w:p w14:paraId="01CAA1E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7B39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59" w:type="dxa"/>
            <w:vAlign w:val="center"/>
          </w:tcPr>
          <w:p w14:paraId="00F48518">
            <w:pPr>
              <w:widowControl w:val="0"/>
              <w:kinsoku/>
              <w:autoSpaceDE/>
              <w:autoSpaceDN/>
              <w:adjustRightInd/>
              <w:snapToGrid/>
              <w:spacing w:line="26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12</w:t>
            </w:r>
          </w:p>
        </w:tc>
        <w:tc>
          <w:tcPr>
            <w:tcW w:w="6120" w:type="dxa"/>
            <w:gridSpan w:val="2"/>
            <w:vAlign w:val="center"/>
          </w:tcPr>
          <w:p w14:paraId="367F7896">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其他具有火灾、爆炸危险的场所和消防安全重点单位</w:t>
            </w:r>
          </w:p>
        </w:tc>
        <w:tc>
          <w:tcPr>
            <w:tcW w:w="2724" w:type="dxa"/>
            <w:vAlign w:val="top"/>
          </w:tcPr>
          <w:p w14:paraId="40FF44EB">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0B18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503" w:type="dxa"/>
            <w:gridSpan w:val="4"/>
            <w:vAlign w:val="top"/>
          </w:tcPr>
          <w:p w14:paraId="329CA55F">
            <w:pPr>
              <w:pStyle w:val="6"/>
              <w:keepNext w:val="0"/>
              <w:keepLines w:val="0"/>
              <w:pageBreakBefore w:val="0"/>
              <w:widowControl/>
              <w:kinsoku w:val="0"/>
              <w:wordWrap/>
              <w:overflowPunct/>
              <w:topLinePunct w:val="0"/>
              <w:autoSpaceDE w:val="0"/>
              <w:autoSpaceDN w:val="0"/>
              <w:bidi w:val="0"/>
              <w:adjustRightInd w:val="0"/>
              <w:snapToGrid w:val="0"/>
              <w:spacing w:before="228" w:line="240" w:lineRule="atLeast"/>
              <w:ind w:left="4090"/>
              <w:textAlignment w:val="baseline"/>
              <w:rPr>
                <w:sz w:val="24"/>
                <w:szCs w:val="24"/>
              </w:rPr>
            </w:pPr>
            <w:r>
              <w:rPr>
                <w:b/>
                <w:bCs/>
                <w:spacing w:val="6"/>
                <w:sz w:val="24"/>
                <w:szCs w:val="24"/>
              </w:rPr>
              <w:t>三、外部距离</w:t>
            </w:r>
          </w:p>
        </w:tc>
      </w:tr>
      <w:tr w14:paraId="5765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59" w:type="dxa"/>
            <w:vAlign w:val="center"/>
          </w:tcPr>
          <w:p w14:paraId="100AF76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13</w:t>
            </w:r>
          </w:p>
        </w:tc>
        <w:tc>
          <w:tcPr>
            <w:tcW w:w="6120" w:type="dxa"/>
            <w:gridSpan w:val="2"/>
            <w:vAlign w:val="center"/>
          </w:tcPr>
          <w:p w14:paraId="767944F7">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距离学校、医院、幼儿园、养老院、集贸市场、文物古迹、博物馆、展览馆、档案馆、图书馆，危险品生产、储存及加油站、加气站等易燃易爆场所边缘100米以上</w:t>
            </w:r>
          </w:p>
        </w:tc>
        <w:tc>
          <w:tcPr>
            <w:tcW w:w="2724" w:type="dxa"/>
            <w:vAlign w:val="top"/>
          </w:tcPr>
          <w:p w14:paraId="4E49CF0C">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bl>
    <w:p w14:paraId="7E3EF1F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br w:type="page"/>
      </w:r>
    </w:p>
    <w:tbl>
      <w:tblPr>
        <w:tblStyle w:val="5"/>
        <w:tblW w:w="9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6120"/>
        <w:gridCol w:w="2724"/>
      </w:tblGrid>
      <w:tr w14:paraId="7A72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589" w:type="dxa"/>
            <w:vAlign w:val="center"/>
          </w:tcPr>
          <w:p w14:paraId="6B02A5F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14</w:t>
            </w:r>
          </w:p>
        </w:tc>
        <w:tc>
          <w:tcPr>
            <w:tcW w:w="6120" w:type="dxa"/>
            <w:vAlign w:val="center"/>
          </w:tcPr>
          <w:p w14:paraId="3E54AA3D">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距离220KV及以上的区域变电站围墙、220KV以上的架空输电线路70米以上</w:t>
            </w:r>
          </w:p>
        </w:tc>
        <w:tc>
          <w:tcPr>
            <w:tcW w:w="2724" w:type="dxa"/>
            <w:vAlign w:val="center"/>
          </w:tcPr>
          <w:p w14:paraId="597A8196">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0F46E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89" w:type="dxa"/>
            <w:vAlign w:val="center"/>
          </w:tcPr>
          <w:p w14:paraId="36C4E5C7">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15</w:t>
            </w:r>
          </w:p>
        </w:tc>
        <w:tc>
          <w:tcPr>
            <w:tcW w:w="6120" w:type="dxa"/>
            <w:vAlign w:val="center"/>
          </w:tcPr>
          <w:p w14:paraId="6F15BAFA">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距离林地边缘30米以上</w:t>
            </w:r>
          </w:p>
        </w:tc>
        <w:tc>
          <w:tcPr>
            <w:tcW w:w="2724" w:type="dxa"/>
            <w:vAlign w:val="center"/>
          </w:tcPr>
          <w:p w14:paraId="6A7D2E50">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3045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89" w:type="dxa"/>
            <w:vAlign w:val="center"/>
          </w:tcPr>
          <w:p w14:paraId="10AD5B31">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16</w:t>
            </w:r>
          </w:p>
        </w:tc>
        <w:tc>
          <w:tcPr>
            <w:tcW w:w="6120" w:type="dxa"/>
            <w:vAlign w:val="center"/>
          </w:tcPr>
          <w:p w14:paraId="1094F106">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距离明火或散发火花地点周边25米以上</w:t>
            </w:r>
          </w:p>
        </w:tc>
        <w:tc>
          <w:tcPr>
            <w:tcW w:w="2724" w:type="dxa"/>
            <w:vAlign w:val="center"/>
          </w:tcPr>
          <w:p w14:paraId="22651AE5">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F978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433" w:type="dxa"/>
            <w:gridSpan w:val="3"/>
            <w:vAlign w:val="top"/>
          </w:tcPr>
          <w:p w14:paraId="1776507F">
            <w:pPr>
              <w:pStyle w:val="6"/>
              <w:keepNext w:val="0"/>
              <w:keepLines w:val="0"/>
              <w:pageBreakBefore w:val="0"/>
              <w:widowControl/>
              <w:kinsoku w:val="0"/>
              <w:wordWrap/>
              <w:overflowPunct/>
              <w:topLinePunct w:val="0"/>
              <w:autoSpaceDE w:val="0"/>
              <w:autoSpaceDN w:val="0"/>
              <w:bidi w:val="0"/>
              <w:adjustRightInd w:val="0"/>
              <w:snapToGrid w:val="0"/>
              <w:spacing w:before="187" w:line="240" w:lineRule="atLeast"/>
              <w:ind w:left="4110"/>
              <w:textAlignment w:val="baseline"/>
              <w:rPr>
                <w:sz w:val="24"/>
                <w:szCs w:val="24"/>
              </w:rPr>
            </w:pPr>
            <w:r>
              <w:rPr>
                <w:b/>
                <w:bCs/>
                <w:spacing w:val="3"/>
                <w:sz w:val="24"/>
                <w:szCs w:val="24"/>
              </w:rPr>
              <w:t>四、平面布置</w:t>
            </w:r>
          </w:p>
        </w:tc>
      </w:tr>
      <w:tr w14:paraId="7B40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589" w:type="dxa"/>
            <w:vAlign w:val="center"/>
          </w:tcPr>
          <w:p w14:paraId="3AEC953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17</w:t>
            </w:r>
          </w:p>
        </w:tc>
        <w:tc>
          <w:tcPr>
            <w:tcW w:w="6120" w:type="dxa"/>
            <w:vAlign w:val="center"/>
          </w:tcPr>
          <w:p w14:paraId="755ECA08">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零售场所与其他房间之间不应有楼梯或洞口相通</w:t>
            </w:r>
          </w:p>
        </w:tc>
        <w:tc>
          <w:tcPr>
            <w:tcW w:w="2724" w:type="dxa"/>
            <w:vAlign w:val="top"/>
          </w:tcPr>
          <w:p w14:paraId="549D5816">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0D99A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9" w:type="dxa"/>
            <w:vAlign w:val="center"/>
          </w:tcPr>
          <w:p w14:paraId="6A22F66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18</w:t>
            </w:r>
          </w:p>
        </w:tc>
        <w:tc>
          <w:tcPr>
            <w:tcW w:w="6120" w:type="dxa"/>
            <w:vAlign w:val="center"/>
          </w:tcPr>
          <w:p w14:paraId="5D19B9D6">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烟花爆竹零售场所不应作为其他生产、经营和生活等场所的进出通道</w:t>
            </w:r>
          </w:p>
        </w:tc>
        <w:tc>
          <w:tcPr>
            <w:tcW w:w="2724" w:type="dxa"/>
            <w:vAlign w:val="top"/>
          </w:tcPr>
          <w:p w14:paraId="596D1233">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916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89" w:type="dxa"/>
            <w:vAlign w:val="center"/>
          </w:tcPr>
          <w:p w14:paraId="09207AB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19</w:t>
            </w:r>
          </w:p>
        </w:tc>
        <w:tc>
          <w:tcPr>
            <w:tcW w:w="6120" w:type="dxa"/>
            <w:vAlign w:val="center"/>
          </w:tcPr>
          <w:p w14:paraId="0867F4B4">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烟花爆竹零售场所不应设置生产、生活设施</w:t>
            </w:r>
          </w:p>
        </w:tc>
        <w:tc>
          <w:tcPr>
            <w:tcW w:w="2724" w:type="dxa"/>
            <w:vAlign w:val="top"/>
          </w:tcPr>
          <w:p w14:paraId="6CEE9BB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132C0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433" w:type="dxa"/>
            <w:gridSpan w:val="3"/>
            <w:vAlign w:val="top"/>
          </w:tcPr>
          <w:p w14:paraId="70FB803A">
            <w:pPr>
              <w:pStyle w:val="6"/>
              <w:keepNext w:val="0"/>
              <w:keepLines w:val="0"/>
              <w:pageBreakBefore w:val="0"/>
              <w:widowControl/>
              <w:kinsoku w:val="0"/>
              <w:wordWrap/>
              <w:overflowPunct/>
              <w:topLinePunct w:val="0"/>
              <w:autoSpaceDE w:val="0"/>
              <w:autoSpaceDN w:val="0"/>
              <w:bidi w:val="0"/>
              <w:adjustRightInd w:val="0"/>
              <w:snapToGrid w:val="0"/>
              <w:spacing w:before="253" w:line="240" w:lineRule="atLeast"/>
              <w:ind w:left="4094"/>
              <w:textAlignment w:val="baseline"/>
              <w:rPr>
                <w:sz w:val="24"/>
                <w:szCs w:val="24"/>
              </w:rPr>
            </w:pPr>
            <w:r>
              <w:rPr>
                <w:b/>
                <w:bCs/>
                <w:spacing w:val="6"/>
                <w:sz w:val="24"/>
                <w:szCs w:val="24"/>
              </w:rPr>
              <w:t>五、建筑结构</w:t>
            </w:r>
          </w:p>
        </w:tc>
      </w:tr>
      <w:tr w14:paraId="01293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589" w:type="dxa"/>
            <w:vAlign w:val="center"/>
          </w:tcPr>
          <w:p w14:paraId="1223D056">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20</w:t>
            </w:r>
          </w:p>
        </w:tc>
        <w:tc>
          <w:tcPr>
            <w:tcW w:w="6120" w:type="dxa"/>
            <w:vAlign w:val="center"/>
          </w:tcPr>
          <w:p w14:paraId="3DF972EB">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烟花爆竹零售店建筑物可采用现浇钢筋混凝土框架结构，也可采用钢筋混凝土柱、梁承重结构、砌体承重结构、钢架结构等</w:t>
            </w:r>
          </w:p>
        </w:tc>
        <w:tc>
          <w:tcPr>
            <w:tcW w:w="2724" w:type="dxa"/>
            <w:vAlign w:val="top"/>
          </w:tcPr>
          <w:p w14:paraId="64D4A0D6">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4E77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9" w:type="dxa"/>
            <w:vAlign w:val="center"/>
          </w:tcPr>
          <w:p w14:paraId="4BC25C2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21</w:t>
            </w:r>
          </w:p>
        </w:tc>
        <w:tc>
          <w:tcPr>
            <w:tcW w:w="6120" w:type="dxa"/>
            <w:vAlign w:val="center"/>
          </w:tcPr>
          <w:p w14:paraId="0B78B1F8">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建筑物的耐火等级应符合GB50016的规定，且不应低于三级。当建筑物独立设置且与其他建筑物相距超过12m时，其耐火等级可为4级</w:t>
            </w:r>
          </w:p>
        </w:tc>
        <w:tc>
          <w:tcPr>
            <w:tcW w:w="2724" w:type="dxa"/>
            <w:vAlign w:val="top"/>
          </w:tcPr>
          <w:p w14:paraId="231468C8">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29B93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89" w:type="dxa"/>
            <w:vAlign w:val="center"/>
          </w:tcPr>
          <w:p w14:paraId="79A8833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22</w:t>
            </w:r>
          </w:p>
        </w:tc>
        <w:tc>
          <w:tcPr>
            <w:tcW w:w="6120" w:type="dxa"/>
            <w:vAlign w:val="center"/>
          </w:tcPr>
          <w:p w14:paraId="63084E0C">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外墙门窗等洞口与其正上方房间对应开口之间应设置高度不小于1.2m的实体墙，或挑出宽度不小于1m、长度不小于开口宽度的防火挑檐，或安装挑出宽度不小于1m、长度不小于开口宽度的不燃材料制作的雨搭。</w:t>
            </w:r>
          </w:p>
        </w:tc>
        <w:tc>
          <w:tcPr>
            <w:tcW w:w="2724" w:type="dxa"/>
            <w:vAlign w:val="top"/>
          </w:tcPr>
          <w:p w14:paraId="6359E7B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4895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89" w:type="dxa"/>
            <w:vAlign w:val="center"/>
          </w:tcPr>
          <w:p w14:paraId="0EF02C52">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23</w:t>
            </w:r>
          </w:p>
        </w:tc>
        <w:tc>
          <w:tcPr>
            <w:tcW w:w="6120" w:type="dxa"/>
            <w:vAlign w:val="center"/>
          </w:tcPr>
          <w:p w14:paraId="19D34948">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烟花爆竹零售店安全出口应通畅。建筑面积不大于100m2时，可设1个安全出口；建筑面积大于100m2时，安全出口不应少于2个；店内任一点至安全出口的距离不应大于15m；顾客进出的门宽不应小于1.5m。</w:t>
            </w:r>
          </w:p>
        </w:tc>
        <w:tc>
          <w:tcPr>
            <w:tcW w:w="2724" w:type="dxa"/>
            <w:vAlign w:val="top"/>
          </w:tcPr>
          <w:p w14:paraId="403526D8">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3DB6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589" w:type="dxa"/>
            <w:vAlign w:val="center"/>
          </w:tcPr>
          <w:p w14:paraId="09F54EB3">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24</w:t>
            </w:r>
          </w:p>
        </w:tc>
        <w:tc>
          <w:tcPr>
            <w:tcW w:w="6120" w:type="dxa"/>
            <w:vAlign w:val="center"/>
          </w:tcPr>
          <w:p w14:paraId="4FEF0E29">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烟花爆竹零售店安全疏散门宜采用向外开启的平开门。采用其他形式的门时，应符合安全疏散要求</w:t>
            </w:r>
          </w:p>
        </w:tc>
        <w:tc>
          <w:tcPr>
            <w:tcW w:w="2724" w:type="dxa"/>
            <w:vAlign w:val="top"/>
          </w:tcPr>
          <w:p w14:paraId="1D9BE262">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B14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89" w:type="dxa"/>
            <w:vAlign w:val="center"/>
          </w:tcPr>
          <w:p w14:paraId="6311C41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25</w:t>
            </w:r>
          </w:p>
        </w:tc>
        <w:tc>
          <w:tcPr>
            <w:tcW w:w="6120" w:type="dxa"/>
            <w:vAlign w:val="center"/>
          </w:tcPr>
          <w:p w14:paraId="10FD0523">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烟花爆竹零售店搬运烟花爆竹进出的门宽不宜小于1.2m。</w:t>
            </w:r>
          </w:p>
        </w:tc>
        <w:tc>
          <w:tcPr>
            <w:tcW w:w="2724" w:type="dxa"/>
            <w:vAlign w:val="top"/>
          </w:tcPr>
          <w:p w14:paraId="119CF7A6">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4481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9" w:type="dxa"/>
            <w:vAlign w:val="center"/>
          </w:tcPr>
          <w:p w14:paraId="5C4B2C6A">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26</w:t>
            </w:r>
          </w:p>
        </w:tc>
        <w:tc>
          <w:tcPr>
            <w:tcW w:w="6120" w:type="dxa"/>
            <w:vAlign w:val="center"/>
          </w:tcPr>
          <w:p w14:paraId="638420B5">
            <w:pPr>
              <w:widowControl w:val="0"/>
              <w:kinsoku/>
              <w:autoSpaceDE/>
              <w:autoSpaceDN/>
              <w:adjustRightInd/>
              <w:snapToGrid/>
              <w:spacing w:line="240" w:lineRule="auto"/>
              <w:jc w:val="left"/>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烟花爆竹零售点应能承受当地的风载荷，有可靠的防止雨水浸入的措施</w:t>
            </w:r>
          </w:p>
        </w:tc>
        <w:tc>
          <w:tcPr>
            <w:tcW w:w="2724" w:type="dxa"/>
            <w:vAlign w:val="top"/>
          </w:tcPr>
          <w:p w14:paraId="372EDCD0">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C7D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433" w:type="dxa"/>
            <w:gridSpan w:val="3"/>
            <w:vAlign w:val="top"/>
          </w:tcPr>
          <w:p w14:paraId="37A52ABA">
            <w:pPr>
              <w:pStyle w:val="6"/>
              <w:keepNext w:val="0"/>
              <w:keepLines w:val="0"/>
              <w:pageBreakBefore w:val="0"/>
              <w:widowControl/>
              <w:kinsoku w:val="0"/>
              <w:wordWrap/>
              <w:overflowPunct/>
              <w:topLinePunct w:val="0"/>
              <w:autoSpaceDE w:val="0"/>
              <w:autoSpaceDN w:val="0"/>
              <w:bidi w:val="0"/>
              <w:adjustRightInd w:val="0"/>
              <w:snapToGrid w:val="0"/>
              <w:spacing w:before="222" w:line="240" w:lineRule="atLeast"/>
              <w:ind w:left="3984"/>
              <w:textAlignment w:val="baseline"/>
              <w:rPr>
                <w:sz w:val="24"/>
                <w:szCs w:val="24"/>
              </w:rPr>
            </w:pPr>
            <w:r>
              <w:rPr>
                <w:b/>
                <w:bCs/>
                <w:spacing w:val="7"/>
                <w:sz w:val="24"/>
                <w:szCs w:val="24"/>
              </w:rPr>
              <w:t>六、消防和电气</w:t>
            </w:r>
          </w:p>
        </w:tc>
      </w:tr>
      <w:tr w14:paraId="6A1B8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89" w:type="dxa"/>
            <w:vAlign w:val="center"/>
          </w:tcPr>
          <w:p w14:paraId="45322B20">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27</w:t>
            </w:r>
          </w:p>
        </w:tc>
        <w:tc>
          <w:tcPr>
            <w:tcW w:w="6120" w:type="dxa"/>
            <w:vAlign w:val="center"/>
          </w:tcPr>
          <w:p w14:paraId="3210692F">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烟花爆竹零售店（点）内严禁有明火</w:t>
            </w:r>
          </w:p>
        </w:tc>
        <w:tc>
          <w:tcPr>
            <w:tcW w:w="2724" w:type="dxa"/>
            <w:vAlign w:val="top"/>
          </w:tcPr>
          <w:p w14:paraId="2B11A6C2">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3EEF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89" w:type="dxa"/>
            <w:vAlign w:val="center"/>
          </w:tcPr>
          <w:p w14:paraId="2FB8C24F">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28</w:t>
            </w:r>
          </w:p>
        </w:tc>
        <w:tc>
          <w:tcPr>
            <w:tcW w:w="6120" w:type="dxa"/>
            <w:vAlign w:val="center"/>
          </w:tcPr>
          <w:p w14:paraId="3AC2FCD7">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烟花爆竹零售店（点）不应采用产生明火和有强热辐射的采暖设备，且烟花爆竹与采暖设备的距离不应小于300mm。</w:t>
            </w:r>
          </w:p>
        </w:tc>
        <w:tc>
          <w:tcPr>
            <w:tcW w:w="2724" w:type="dxa"/>
            <w:vAlign w:val="top"/>
          </w:tcPr>
          <w:p w14:paraId="318654B0">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bl>
    <w:p w14:paraId="6F4C8ED5">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br w:type="page"/>
      </w:r>
    </w:p>
    <w:tbl>
      <w:tblPr>
        <w:tblStyle w:val="5"/>
        <w:tblW w:w="9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769"/>
        <w:gridCol w:w="4351"/>
        <w:gridCol w:w="147"/>
        <w:gridCol w:w="2577"/>
      </w:tblGrid>
      <w:tr w14:paraId="11FB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589" w:type="dxa"/>
            <w:vAlign w:val="center"/>
          </w:tcPr>
          <w:p w14:paraId="3C0E543C">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29</w:t>
            </w:r>
          </w:p>
        </w:tc>
        <w:tc>
          <w:tcPr>
            <w:tcW w:w="6120" w:type="dxa"/>
            <w:gridSpan w:val="2"/>
            <w:vAlign w:val="center"/>
          </w:tcPr>
          <w:p w14:paraId="4B7F1A91">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烟花爆竹零售店、零售点应配备5kg及以上的磷酸铵盐干粉灭火器，放置在便于取用位置。使用面积不大于100m2时，应至少配备2具；使用面积大于100m2时，应至少配备4具且分为2个设置点</w:t>
            </w:r>
          </w:p>
        </w:tc>
        <w:tc>
          <w:tcPr>
            <w:tcW w:w="2724" w:type="dxa"/>
            <w:gridSpan w:val="2"/>
            <w:vAlign w:val="top"/>
          </w:tcPr>
          <w:p w14:paraId="645230CF">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A97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89" w:type="dxa"/>
            <w:vAlign w:val="center"/>
          </w:tcPr>
          <w:p w14:paraId="17959128">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30</w:t>
            </w:r>
          </w:p>
        </w:tc>
        <w:tc>
          <w:tcPr>
            <w:tcW w:w="6120" w:type="dxa"/>
            <w:gridSpan w:val="2"/>
            <w:vAlign w:val="center"/>
          </w:tcPr>
          <w:p w14:paraId="4D6329F3">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零售场所的电气线路不应有明接头</w:t>
            </w:r>
          </w:p>
        </w:tc>
        <w:tc>
          <w:tcPr>
            <w:tcW w:w="2724" w:type="dxa"/>
            <w:gridSpan w:val="2"/>
            <w:vAlign w:val="top"/>
          </w:tcPr>
          <w:p w14:paraId="572A26A4">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3A71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9" w:type="dxa"/>
            <w:vAlign w:val="center"/>
          </w:tcPr>
          <w:p w14:paraId="17D71F8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31</w:t>
            </w:r>
          </w:p>
        </w:tc>
        <w:tc>
          <w:tcPr>
            <w:tcW w:w="6120" w:type="dxa"/>
            <w:gridSpan w:val="2"/>
            <w:vAlign w:val="center"/>
          </w:tcPr>
          <w:p w14:paraId="7F8BB9D3">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室内电气线路可采用普通导线穿钢管敷设，也可采用带有阻燃护套电缆或阻燃型绝缘导线。线路接头处可采用防护等级不低于</w:t>
            </w:r>
          </w:p>
          <w:p w14:paraId="2ED0960F">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IP54的接线盒</w:t>
            </w:r>
          </w:p>
        </w:tc>
        <w:tc>
          <w:tcPr>
            <w:tcW w:w="2724" w:type="dxa"/>
            <w:gridSpan w:val="2"/>
            <w:vAlign w:val="top"/>
          </w:tcPr>
          <w:p w14:paraId="06F1F01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0C6C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89" w:type="dxa"/>
            <w:vAlign w:val="center"/>
          </w:tcPr>
          <w:p w14:paraId="737087C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32</w:t>
            </w:r>
          </w:p>
        </w:tc>
        <w:tc>
          <w:tcPr>
            <w:tcW w:w="6120" w:type="dxa"/>
            <w:gridSpan w:val="2"/>
            <w:vAlign w:val="center"/>
          </w:tcPr>
          <w:p w14:paraId="6C114B42">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用电设备、照明灯具、开关及插座宜采用可燃性粉尘环境用电气设备22区DIP22、IP54（防水、防粉尘）</w:t>
            </w:r>
          </w:p>
        </w:tc>
        <w:tc>
          <w:tcPr>
            <w:tcW w:w="2724" w:type="dxa"/>
            <w:gridSpan w:val="2"/>
            <w:vAlign w:val="top"/>
          </w:tcPr>
          <w:p w14:paraId="38E80DD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304A1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33" w:type="dxa"/>
            <w:gridSpan w:val="5"/>
            <w:vAlign w:val="top"/>
          </w:tcPr>
          <w:p w14:paraId="10709424">
            <w:pPr>
              <w:pStyle w:val="6"/>
              <w:keepNext w:val="0"/>
              <w:keepLines w:val="0"/>
              <w:pageBreakBefore w:val="0"/>
              <w:widowControl/>
              <w:kinsoku w:val="0"/>
              <w:wordWrap/>
              <w:overflowPunct/>
              <w:topLinePunct w:val="0"/>
              <w:autoSpaceDE w:val="0"/>
              <w:autoSpaceDN w:val="0"/>
              <w:bidi w:val="0"/>
              <w:adjustRightInd w:val="0"/>
              <w:snapToGrid w:val="0"/>
              <w:spacing w:before="152" w:line="240" w:lineRule="atLeast"/>
              <w:ind w:left="4301"/>
              <w:textAlignment w:val="baseline"/>
              <w:rPr>
                <w:sz w:val="24"/>
                <w:szCs w:val="24"/>
              </w:rPr>
            </w:pPr>
            <w:r>
              <w:rPr>
                <w:b/>
                <w:bCs/>
                <w:spacing w:val="6"/>
                <w:sz w:val="24"/>
                <w:szCs w:val="24"/>
              </w:rPr>
              <w:t>七、其他</w:t>
            </w:r>
          </w:p>
        </w:tc>
      </w:tr>
      <w:tr w14:paraId="73CAC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89" w:type="dxa"/>
            <w:vAlign w:val="center"/>
          </w:tcPr>
          <w:p w14:paraId="3AD4B444">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33</w:t>
            </w:r>
          </w:p>
        </w:tc>
        <w:tc>
          <w:tcPr>
            <w:tcW w:w="6120" w:type="dxa"/>
            <w:gridSpan w:val="2"/>
            <w:vAlign w:val="top"/>
          </w:tcPr>
          <w:p w14:paraId="0BD9D463">
            <w:pPr>
              <w:widowControl w:val="0"/>
              <w:kinsoku/>
              <w:autoSpaceDE/>
              <w:autoSpaceDN/>
              <w:adjustRightInd/>
              <w:snapToGrid/>
              <w:spacing w:line="240" w:lineRule="auto"/>
              <w:jc w:val="both"/>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所在镇辖区判定不适宜作为烟花爆竹零售经营场所的其他情况</w:t>
            </w:r>
          </w:p>
        </w:tc>
        <w:tc>
          <w:tcPr>
            <w:tcW w:w="2724" w:type="dxa"/>
            <w:gridSpan w:val="2"/>
            <w:vAlign w:val="top"/>
          </w:tcPr>
          <w:p w14:paraId="7FE52F9B">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8"/>
                <w:szCs w:val="28"/>
              </w:rPr>
            </w:pPr>
          </w:p>
        </w:tc>
      </w:tr>
      <w:tr w14:paraId="66E30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7" w:hRule="atLeast"/>
        </w:trPr>
        <w:tc>
          <w:tcPr>
            <w:tcW w:w="9433" w:type="dxa"/>
            <w:gridSpan w:val="5"/>
            <w:vAlign w:val="top"/>
          </w:tcPr>
          <w:p w14:paraId="6D254085">
            <w:pPr>
              <w:pStyle w:val="6"/>
              <w:spacing w:before="270" w:line="228" w:lineRule="auto"/>
              <w:ind w:left="557"/>
              <w:rPr>
                <w:sz w:val="24"/>
                <w:szCs w:val="24"/>
              </w:rPr>
            </w:pPr>
            <w:r>
              <w:rPr>
                <w:b/>
                <w:bCs/>
                <w:spacing w:val="4"/>
                <w:sz w:val="24"/>
                <w:szCs w:val="24"/>
              </w:rPr>
              <w:t>□镇预审</w:t>
            </w:r>
            <w:r>
              <w:rPr>
                <w:rFonts w:hint="eastAsia"/>
                <w:b/>
                <w:bCs/>
                <w:spacing w:val="4"/>
                <w:sz w:val="24"/>
                <w:szCs w:val="24"/>
                <w:lang w:val="en-US" w:eastAsia="zh-CN"/>
              </w:rPr>
              <w:t>小组预审</w:t>
            </w:r>
            <w:r>
              <w:rPr>
                <w:b/>
                <w:bCs/>
                <w:spacing w:val="4"/>
                <w:sz w:val="24"/>
                <w:szCs w:val="24"/>
              </w:rPr>
              <w:t>结论：</w:t>
            </w:r>
          </w:p>
          <w:p w14:paraId="672F6211">
            <w:pPr>
              <w:spacing w:line="248" w:lineRule="auto"/>
              <w:rPr>
                <w:rFonts w:ascii="Arial"/>
                <w:sz w:val="28"/>
                <w:szCs w:val="28"/>
              </w:rPr>
            </w:pPr>
          </w:p>
          <w:p w14:paraId="1A0B9285">
            <w:pPr>
              <w:pStyle w:val="6"/>
              <w:spacing w:before="65" w:line="228" w:lineRule="auto"/>
              <w:ind w:left="557"/>
              <w:rPr>
                <w:sz w:val="24"/>
                <w:szCs w:val="24"/>
              </w:rPr>
            </w:pPr>
            <w:r>
              <w:rPr>
                <w:b/>
                <w:bCs/>
                <w:spacing w:val="4"/>
                <w:sz w:val="24"/>
                <w:szCs w:val="24"/>
              </w:rPr>
              <w:t>□区复审小组审查结论：</w:t>
            </w:r>
          </w:p>
          <w:p w14:paraId="01B01574">
            <w:pPr>
              <w:spacing w:line="244" w:lineRule="auto"/>
              <w:rPr>
                <w:rFonts w:ascii="Arial"/>
                <w:sz w:val="28"/>
                <w:szCs w:val="28"/>
              </w:rPr>
            </w:pPr>
          </w:p>
          <w:p w14:paraId="05342E69">
            <w:pPr>
              <w:pStyle w:val="6"/>
              <w:spacing w:before="65" w:line="228" w:lineRule="auto"/>
              <w:ind w:left="539"/>
              <w:rPr>
                <w:sz w:val="24"/>
                <w:szCs w:val="24"/>
              </w:rPr>
            </w:pPr>
            <w:r>
              <w:rPr>
                <w:b/>
                <w:bCs/>
                <w:spacing w:val="7"/>
                <w:sz w:val="24"/>
                <w:szCs w:val="24"/>
              </w:rPr>
              <w:t>该零售店应限期整改的安全隐患：</w:t>
            </w:r>
          </w:p>
        </w:tc>
      </w:tr>
      <w:tr w14:paraId="3B8E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433" w:type="dxa"/>
            <w:gridSpan w:val="5"/>
            <w:vAlign w:val="top"/>
          </w:tcPr>
          <w:p w14:paraId="46ACDEA7">
            <w:pPr>
              <w:pStyle w:val="6"/>
              <w:spacing w:before="239" w:line="228" w:lineRule="auto"/>
              <w:ind w:left="3142"/>
              <w:rPr>
                <w:sz w:val="24"/>
                <w:szCs w:val="24"/>
              </w:rPr>
            </w:pPr>
            <w:r>
              <w:rPr>
                <w:b/>
                <w:bCs/>
                <w:spacing w:val="7"/>
                <w:sz w:val="24"/>
                <w:szCs w:val="24"/>
              </w:rPr>
              <w:t>参加现场安全条件核查人员签名表</w:t>
            </w:r>
          </w:p>
        </w:tc>
      </w:tr>
      <w:tr w14:paraId="319D9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358" w:type="dxa"/>
            <w:gridSpan w:val="2"/>
            <w:vAlign w:val="top"/>
          </w:tcPr>
          <w:p w14:paraId="2BB76537">
            <w:pPr>
              <w:pStyle w:val="6"/>
              <w:spacing w:before="243" w:line="228" w:lineRule="auto"/>
              <w:ind w:left="973"/>
              <w:rPr>
                <w:sz w:val="24"/>
                <w:szCs w:val="24"/>
              </w:rPr>
            </w:pPr>
            <w:r>
              <w:rPr>
                <w:b/>
                <w:bCs/>
                <w:spacing w:val="3"/>
                <w:sz w:val="24"/>
                <w:szCs w:val="24"/>
              </w:rPr>
              <w:t>姓名</w:t>
            </w:r>
          </w:p>
        </w:tc>
        <w:tc>
          <w:tcPr>
            <w:tcW w:w="4498" w:type="dxa"/>
            <w:gridSpan w:val="2"/>
            <w:vAlign w:val="top"/>
          </w:tcPr>
          <w:p w14:paraId="665A48B4">
            <w:pPr>
              <w:pStyle w:val="6"/>
              <w:spacing w:before="243" w:line="228" w:lineRule="auto"/>
              <w:ind w:left="1836"/>
              <w:rPr>
                <w:sz w:val="24"/>
                <w:szCs w:val="24"/>
              </w:rPr>
            </w:pPr>
            <w:r>
              <w:rPr>
                <w:b/>
                <w:bCs/>
                <w:spacing w:val="5"/>
                <w:sz w:val="24"/>
                <w:szCs w:val="24"/>
              </w:rPr>
              <w:t>工作单位</w:t>
            </w:r>
          </w:p>
        </w:tc>
        <w:tc>
          <w:tcPr>
            <w:tcW w:w="2577" w:type="dxa"/>
            <w:vAlign w:val="top"/>
          </w:tcPr>
          <w:p w14:paraId="3B907B6E">
            <w:pPr>
              <w:pStyle w:val="6"/>
              <w:spacing w:before="243" w:line="228" w:lineRule="auto"/>
              <w:ind w:left="768"/>
              <w:rPr>
                <w:sz w:val="24"/>
                <w:szCs w:val="24"/>
              </w:rPr>
            </w:pPr>
            <w:r>
              <w:rPr>
                <w:b/>
                <w:bCs/>
                <w:spacing w:val="6"/>
                <w:sz w:val="24"/>
                <w:szCs w:val="24"/>
              </w:rPr>
              <w:t>职务或职称</w:t>
            </w:r>
          </w:p>
        </w:tc>
      </w:tr>
      <w:tr w14:paraId="4430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358" w:type="dxa"/>
            <w:gridSpan w:val="2"/>
            <w:vAlign w:val="top"/>
          </w:tcPr>
          <w:p w14:paraId="7E89B73A">
            <w:pPr>
              <w:rPr>
                <w:rFonts w:ascii="Arial"/>
                <w:sz w:val="21"/>
              </w:rPr>
            </w:pPr>
          </w:p>
        </w:tc>
        <w:tc>
          <w:tcPr>
            <w:tcW w:w="4498" w:type="dxa"/>
            <w:gridSpan w:val="2"/>
            <w:vAlign w:val="top"/>
          </w:tcPr>
          <w:p w14:paraId="5D19F142">
            <w:pPr>
              <w:rPr>
                <w:rFonts w:ascii="Arial"/>
                <w:sz w:val="21"/>
              </w:rPr>
            </w:pPr>
          </w:p>
        </w:tc>
        <w:tc>
          <w:tcPr>
            <w:tcW w:w="2577" w:type="dxa"/>
            <w:vAlign w:val="top"/>
          </w:tcPr>
          <w:p w14:paraId="6841EB8F">
            <w:pPr>
              <w:rPr>
                <w:rFonts w:ascii="Arial"/>
                <w:sz w:val="21"/>
              </w:rPr>
            </w:pPr>
          </w:p>
        </w:tc>
      </w:tr>
      <w:tr w14:paraId="72B3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358" w:type="dxa"/>
            <w:gridSpan w:val="2"/>
            <w:vAlign w:val="top"/>
          </w:tcPr>
          <w:p w14:paraId="4344DD4F">
            <w:pPr>
              <w:rPr>
                <w:rFonts w:ascii="Arial"/>
                <w:sz w:val="21"/>
              </w:rPr>
            </w:pPr>
          </w:p>
        </w:tc>
        <w:tc>
          <w:tcPr>
            <w:tcW w:w="4498" w:type="dxa"/>
            <w:gridSpan w:val="2"/>
            <w:vAlign w:val="top"/>
          </w:tcPr>
          <w:p w14:paraId="171A2F7C">
            <w:pPr>
              <w:rPr>
                <w:rFonts w:ascii="Arial"/>
                <w:sz w:val="21"/>
              </w:rPr>
            </w:pPr>
          </w:p>
        </w:tc>
        <w:tc>
          <w:tcPr>
            <w:tcW w:w="2577" w:type="dxa"/>
            <w:vAlign w:val="top"/>
          </w:tcPr>
          <w:p w14:paraId="3626D63E">
            <w:pPr>
              <w:rPr>
                <w:rFonts w:ascii="Arial"/>
                <w:sz w:val="21"/>
              </w:rPr>
            </w:pPr>
          </w:p>
        </w:tc>
      </w:tr>
      <w:tr w14:paraId="2327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58" w:type="dxa"/>
            <w:gridSpan w:val="2"/>
            <w:vAlign w:val="top"/>
          </w:tcPr>
          <w:p w14:paraId="1B3679B4">
            <w:pPr>
              <w:rPr>
                <w:rFonts w:ascii="Arial"/>
                <w:sz w:val="21"/>
              </w:rPr>
            </w:pPr>
          </w:p>
        </w:tc>
        <w:tc>
          <w:tcPr>
            <w:tcW w:w="4498" w:type="dxa"/>
            <w:gridSpan w:val="2"/>
            <w:vAlign w:val="top"/>
          </w:tcPr>
          <w:p w14:paraId="7EA95B9F">
            <w:pPr>
              <w:rPr>
                <w:rFonts w:ascii="Arial"/>
                <w:sz w:val="21"/>
              </w:rPr>
            </w:pPr>
          </w:p>
        </w:tc>
        <w:tc>
          <w:tcPr>
            <w:tcW w:w="2577" w:type="dxa"/>
            <w:vAlign w:val="top"/>
          </w:tcPr>
          <w:p w14:paraId="0CF5588E">
            <w:pPr>
              <w:rPr>
                <w:rFonts w:ascii="Arial"/>
                <w:sz w:val="21"/>
              </w:rPr>
            </w:pPr>
          </w:p>
        </w:tc>
      </w:tr>
      <w:tr w14:paraId="248D8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358" w:type="dxa"/>
            <w:gridSpan w:val="2"/>
            <w:vAlign w:val="top"/>
          </w:tcPr>
          <w:p w14:paraId="6C84B8B7">
            <w:pPr>
              <w:rPr>
                <w:rFonts w:ascii="Arial"/>
                <w:sz w:val="21"/>
              </w:rPr>
            </w:pPr>
          </w:p>
        </w:tc>
        <w:tc>
          <w:tcPr>
            <w:tcW w:w="4498" w:type="dxa"/>
            <w:gridSpan w:val="2"/>
            <w:vAlign w:val="top"/>
          </w:tcPr>
          <w:p w14:paraId="59DCD018">
            <w:pPr>
              <w:rPr>
                <w:rFonts w:ascii="Arial"/>
                <w:sz w:val="21"/>
              </w:rPr>
            </w:pPr>
          </w:p>
        </w:tc>
        <w:tc>
          <w:tcPr>
            <w:tcW w:w="2577" w:type="dxa"/>
            <w:vAlign w:val="top"/>
          </w:tcPr>
          <w:p w14:paraId="61BDFBF2">
            <w:pPr>
              <w:rPr>
                <w:rFonts w:ascii="Arial"/>
                <w:sz w:val="21"/>
              </w:rPr>
            </w:pPr>
          </w:p>
        </w:tc>
      </w:tr>
      <w:tr w14:paraId="0648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358" w:type="dxa"/>
            <w:gridSpan w:val="2"/>
            <w:vAlign w:val="top"/>
          </w:tcPr>
          <w:p w14:paraId="48D12A0C">
            <w:pPr>
              <w:rPr>
                <w:rFonts w:ascii="Arial"/>
                <w:sz w:val="21"/>
              </w:rPr>
            </w:pPr>
          </w:p>
        </w:tc>
        <w:tc>
          <w:tcPr>
            <w:tcW w:w="4498" w:type="dxa"/>
            <w:gridSpan w:val="2"/>
            <w:vAlign w:val="top"/>
          </w:tcPr>
          <w:p w14:paraId="4052AE0B">
            <w:pPr>
              <w:rPr>
                <w:rFonts w:ascii="Arial"/>
                <w:sz w:val="21"/>
              </w:rPr>
            </w:pPr>
          </w:p>
        </w:tc>
        <w:tc>
          <w:tcPr>
            <w:tcW w:w="2577" w:type="dxa"/>
            <w:vAlign w:val="top"/>
          </w:tcPr>
          <w:p w14:paraId="1E64BA17">
            <w:pPr>
              <w:rPr>
                <w:rFonts w:ascii="Arial"/>
                <w:sz w:val="21"/>
              </w:rPr>
            </w:pPr>
          </w:p>
        </w:tc>
      </w:tr>
    </w:tbl>
    <w:p w14:paraId="55EF3523">
      <w:pPr>
        <w:rPr>
          <w:rFonts w:ascii="Arial"/>
          <w:sz w:val="21"/>
        </w:rPr>
      </w:pPr>
    </w:p>
    <w:sectPr>
      <w:pgSz w:w="11906" w:h="16839"/>
      <w:pgMar w:top="1134" w:right="1234" w:bottom="0" w:left="12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7A4E59"/>
    <w:rsid w:val="61390894"/>
    <w:rsid w:val="6D8A2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widowControl w:val="0"/>
      <w:jc w:val="both"/>
    </w:pPr>
    <w:rPr>
      <w:rFonts w:ascii="Calibri" w:hAnsi="Calibri" w:eastAsia="宋体" w:cs="Times New Roman"/>
      <w:kern w:val="2"/>
      <w:sz w:val="21"/>
      <w:szCs w:val="24"/>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1365</Words>
  <Characters>1462</Characters>
  <TotalTime>12</TotalTime>
  <ScaleCrop>false</ScaleCrop>
  <LinksUpToDate>false</LinksUpToDate>
  <CharactersWithSpaces>1462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2025-11-25T10:51:00Z</dcterms:created>
  <dc:creator>晗晗妈</dc:creator>
  <cp:lastModifiedBy>卢婧雅</cp:lastModifiedBy>
  <cp:lastPrinted>2025-12-01T08:40:00Z</cp:lastPrinted>
  <dcterms:modified xsi:type="dcterms:W3CDTF">2025-12-15T01:26:32Z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2025-12-01T16:27:18Z</vt:filetime>
  </property>
  <property fmtid="{D5CDD505-2E9C-101B-9397-08002B2CF9AE}" pid="4" name="KSOTemplateDocerSaveRecord">
    <vt:lpwstr>eyJoZGlkIjoiZjJhN2YzZGYzNGRlMDBlMmQ5OWQ3YTQ3YzNhMGE1NjQiLCJ1c2VySWQiOiIyNzIzNDU4MzAifQ==</vt:lpwstr>
  </property>
  <property fmtid="{D5CDD505-2E9C-101B-9397-08002B2CF9AE}" pid="5" name="KSOProductBuildVer">
    <vt:lpwstr>2052-12.1.0.24034</vt:lpwstr>
  </property>
  <property fmtid="{D5CDD505-2E9C-101B-9397-08002B2CF9AE}" pid="6" name="ICV">
    <vt:lpwstr>6B486D7B778F4FDEB81530D31B8F4643_12</vt:lpwstr>
  </property>
</Properties>
</file>