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850AD">
      <w:pPr>
        <w:spacing w:line="600"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BBEDC0C">
      <w:pPr>
        <w:keepNext w:val="0"/>
        <w:keepLines w:val="0"/>
        <w:pageBreakBefore w:val="0"/>
        <w:widowControl w:val="0"/>
        <w:kinsoku/>
        <w:wordWrap/>
        <w:overflowPunct/>
        <w:topLinePunct w:val="0"/>
        <w:autoSpaceDE/>
        <w:autoSpaceDN/>
        <w:bidi w:val="0"/>
        <w:snapToGrid/>
        <w:spacing w:line="577"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广州市番禺区烟花爆竹零售经营</w:t>
      </w:r>
    </w:p>
    <w:p w14:paraId="745AFD9F">
      <w:pPr>
        <w:keepNext w:val="0"/>
        <w:keepLines w:val="0"/>
        <w:pageBreakBefore w:val="0"/>
        <w:widowControl w:val="0"/>
        <w:kinsoku/>
        <w:wordWrap/>
        <w:overflowPunct/>
        <w:topLinePunct w:val="0"/>
        <w:autoSpaceDE/>
        <w:autoSpaceDN/>
        <w:bidi w:val="0"/>
        <w:snapToGrid/>
        <w:spacing w:line="577" w:lineRule="exact"/>
        <w:jc w:val="center"/>
        <w:textAlignment w:val="auto"/>
        <w:rPr>
          <w:rFonts w:hint="eastAsia" w:ascii="方正小标宋_GBK" w:hAnsi="方正小标宋_GBK" w:eastAsia="方正小标宋_GBK" w:cs="方正小标宋_GBK"/>
          <w:bCs/>
          <w:spacing w:val="-11"/>
          <w:sz w:val="44"/>
          <w:szCs w:val="44"/>
        </w:rPr>
      </w:pPr>
      <w:r>
        <w:rPr>
          <w:rFonts w:hint="eastAsia" w:ascii="方正小标宋简体" w:hAnsi="方正小标宋简体" w:eastAsia="方正小标宋简体" w:cs="方正小标宋简体"/>
          <w:sz w:val="44"/>
        </w:rPr>
        <w:t>布点规划方案</w:t>
      </w:r>
    </w:p>
    <w:p w14:paraId="0647E39A">
      <w:pPr>
        <w:keepNext w:val="0"/>
        <w:keepLines w:val="0"/>
        <w:pageBreakBefore w:val="0"/>
        <w:widowControl w:val="0"/>
        <w:kinsoku/>
        <w:wordWrap/>
        <w:overflowPunct/>
        <w:topLinePunct w:val="0"/>
        <w:autoSpaceDE/>
        <w:autoSpaceDN/>
        <w:bidi w:val="0"/>
        <w:adjustRightInd w:val="0"/>
        <w:snapToGrid/>
        <w:spacing w:line="577" w:lineRule="exact"/>
        <w:jc w:val="center"/>
        <w:textAlignment w:val="auto"/>
        <w:rPr>
          <w:rFonts w:ascii="仿宋_GB2312"/>
        </w:rPr>
      </w:pPr>
    </w:p>
    <w:p w14:paraId="5E32338D">
      <w:pPr>
        <w:keepNext w:val="0"/>
        <w:keepLines w:val="0"/>
        <w:pageBreakBefore w:val="0"/>
        <w:widowControl w:val="0"/>
        <w:kinsoku/>
        <w:wordWrap/>
        <w:overflowPunct/>
        <w:topLinePunct w:val="0"/>
        <w:autoSpaceDE/>
        <w:autoSpaceDN/>
        <w:bidi w:val="0"/>
        <w:adjustRightInd/>
        <w:snapToGrid/>
        <w:spacing w:line="577" w:lineRule="exact"/>
        <w:ind w:firstLine="640" w:firstLineChars="200"/>
        <w:jc w:val="left"/>
        <w:textAlignment w:val="auto"/>
        <w:rPr>
          <w:rFonts w:hint="eastAsia" w:ascii="仿宋_GB2312" w:hAnsi="Verdana"/>
          <w:color w:val="000000"/>
          <w:szCs w:val="32"/>
        </w:rPr>
      </w:pPr>
      <w:r>
        <w:rPr>
          <w:rFonts w:hint="eastAsia" w:ascii="仿宋_GB2312" w:hAnsi="Verdana"/>
          <w:color w:val="000000"/>
          <w:szCs w:val="32"/>
        </w:rPr>
        <w:t>根据《中华人民共和国安全生产法》《烟花爆竹安全管理条例》《烟花爆竹经营许可实施办法》</w:t>
      </w:r>
      <w:r>
        <w:rPr>
          <w:rFonts w:hint="eastAsia" w:ascii="仿宋_GB2312" w:hAnsi="Verdana"/>
          <w:color w:val="000000"/>
          <w:szCs w:val="32"/>
          <w:lang w:val="en-US" w:eastAsia="zh-CN"/>
        </w:rPr>
        <w:t>和</w:t>
      </w:r>
      <w:r>
        <w:rPr>
          <w:rFonts w:hint="eastAsia" w:ascii="仿宋_GB2312" w:hAnsi="Verdana"/>
          <w:color w:val="000000"/>
          <w:szCs w:val="32"/>
        </w:rPr>
        <w:t>《广州市烟花爆竹安全管理规定》等相关法律法规、规章以及《广东省安全生产监督管理局关于烟花爆竹经营许可的实施细则》</w:t>
      </w:r>
      <w:r>
        <w:rPr>
          <w:rFonts w:hint="eastAsia" w:ascii="仿宋_GB2312" w:hAnsi="宋体" w:cs="宋体"/>
          <w:color w:val="000000"/>
          <w:kern w:val="0"/>
          <w:szCs w:val="32"/>
        </w:rPr>
        <w:t>（粤安监〔2014〕44号）</w:t>
      </w:r>
      <w:r>
        <w:rPr>
          <w:rFonts w:hint="eastAsia" w:ascii="仿宋_GB2312" w:hAnsi="仿宋_GB2312" w:cs="仿宋_GB2312"/>
          <w:color w:val="000000"/>
          <w:kern w:val="0"/>
          <w:szCs w:val="32"/>
          <w:lang w:bidi="ar"/>
        </w:rPr>
        <w:t>《烟花爆竹零售店（点）安全技术规范》（AQ4128-2019）</w:t>
      </w:r>
      <w:r>
        <w:rPr>
          <w:rFonts w:hint="eastAsia" w:ascii="仿宋_GB2312" w:hAnsi="仿宋_GB2312" w:cs="仿宋_GB2312"/>
          <w:color w:val="000000"/>
          <w:kern w:val="0"/>
          <w:szCs w:val="32"/>
          <w:lang w:val="en-US" w:eastAsia="zh-CN" w:bidi="ar"/>
        </w:rPr>
        <w:t>和《</w:t>
      </w:r>
      <w:r>
        <w:rPr>
          <w:rFonts w:hint="eastAsia" w:ascii="仿宋_GB2312" w:hAnsi="仿宋_GB2312" w:eastAsia="仿宋_GB2312" w:cs="仿宋_GB2312"/>
          <w:szCs w:val="32"/>
        </w:rPr>
        <w:t>广州市番禺区人民政府关于划定番禺区禁止和限制燃放烟花爆竹区域的通告</w:t>
      </w:r>
      <w:r>
        <w:rPr>
          <w:rFonts w:hint="eastAsia" w:ascii="仿宋_GB2312" w:hAnsi="仿宋_GB2312" w:cs="仿宋_GB2312"/>
          <w:color w:val="000000"/>
          <w:kern w:val="0"/>
          <w:szCs w:val="32"/>
          <w:lang w:val="en-US" w:eastAsia="zh-CN" w:bidi="ar"/>
        </w:rPr>
        <w:t>》</w:t>
      </w:r>
      <w:r>
        <w:rPr>
          <w:rFonts w:hint="eastAsia" w:ascii="仿宋_GB2312" w:hAnsi="宋体" w:cs="宋体"/>
          <w:color w:val="000000"/>
          <w:kern w:val="0"/>
          <w:szCs w:val="32"/>
        </w:rPr>
        <w:t>要求，</w:t>
      </w:r>
      <w:r>
        <w:rPr>
          <w:rFonts w:hint="eastAsia" w:ascii="仿宋_GB2312" w:hAnsi="Verdana"/>
          <w:color w:val="000000"/>
          <w:szCs w:val="32"/>
        </w:rPr>
        <w:t>现结合我区实际，制定</w:t>
      </w:r>
      <w:r>
        <w:commentReference w:id="0"/>
      </w:r>
      <w:r>
        <w:rPr>
          <w:rFonts w:hint="eastAsia" w:ascii="仿宋_GB2312" w:hAnsi="Verdana"/>
          <w:color w:val="000000"/>
          <w:szCs w:val="32"/>
          <w:lang w:val="en-US" w:eastAsia="zh-CN"/>
        </w:rPr>
        <w:t>本方案</w:t>
      </w:r>
      <w:r>
        <w:rPr>
          <w:rFonts w:hint="eastAsia" w:ascii="仿宋_GB2312" w:hAnsi="Verdana"/>
          <w:color w:val="000000"/>
          <w:szCs w:val="32"/>
        </w:rPr>
        <w:t>。</w:t>
      </w:r>
    </w:p>
    <w:p w14:paraId="038FB05A">
      <w:pPr>
        <w:keepNext w:val="0"/>
        <w:keepLines w:val="0"/>
        <w:pageBreakBefore w:val="0"/>
        <w:widowControl w:val="0"/>
        <w:kinsoku/>
        <w:wordWrap/>
        <w:overflowPunct/>
        <w:topLinePunct w:val="0"/>
        <w:autoSpaceDE/>
        <w:autoSpaceDN/>
        <w:bidi w:val="0"/>
        <w:adjustRightInd/>
        <w:snapToGrid/>
        <w:spacing w:line="577" w:lineRule="exact"/>
        <w:ind w:firstLine="640" w:firstLineChars="200"/>
        <w:jc w:val="left"/>
        <w:textAlignment w:val="auto"/>
        <w:rPr>
          <w:rFonts w:ascii="黑体" w:hAnsi="Verdana" w:eastAsia="黑体"/>
          <w:color w:val="000000"/>
        </w:rPr>
      </w:pPr>
      <w:r>
        <w:rPr>
          <w:rFonts w:hint="eastAsia" w:ascii="黑体" w:hAnsi="Verdana" w:eastAsia="黑体"/>
          <w:color w:val="000000"/>
          <w:szCs w:val="32"/>
        </w:rPr>
        <w:t>一、规划布点指导思想</w:t>
      </w:r>
    </w:p>
    <w:p w14:paraId="0F10AE2F">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仿宋_GB2312" w:hAnsi="Verdana"/>
          <w:color w:val="000000"/>
          <w:szCs w:val="32"/>
        </w:rPr>
        <w:t>按照“保障安全、统一规划、合理布局、总量控制、适度竞争”的总原则，综合考虑人口分布、地理条件等因素，合理规划布局烟花爆竹零售店，努力促进我区烟花爆竹经营布局更趋合理、经营秩序更趋有序，形成一个安全规范、便民便利、竞争有序，与我区经济社会发展、人民生活需求和安全生产要求相适应的烟花爆竹经营格局。</w:t>
      </w:r>
    </w:p>
    <w:p w14:paraId="108D5BC0">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ascii="黑体" w:hAnsi="Verdana" w:eastAsia="黑体"/>
          <w:color w:val="000000"/>
        </w:rPr>
      </w:pPr>
      <w:r>
        <w:rPr>
          <w:rFonts w:hint="eastAsia" w:ascii="黑体" w:hAnsi="Verdana" w:eastAsia="黑体"/>
          <w:color w:val="000000"/>
          <w:szCs w:val="32"/>
        </w:rPr>
        <w:t>二、规划布点原则</w:t>
      </w:r>
    </w:p>
    <w:p w14:paraId="329B52B4">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ascii="仿宋_GB2312" w:hAnsi="Verdana"/>
          <w:color w:val="000000"/>
        </w:rPr>
      </w:pPr>
      <w:r>
        <w:rPr>
          <w:rFonts w:hint="eastAsia" w:ascii="楷体_GB2312" w:hAnsi="楷体_GB2312" w:eastAsia="楷体_GB2312" w:cs="楷体_GB2312"/>
          <w:bCs/>
          <w:color w:val="000000"/>
          <w:szCs w:val="32"/>
        </w:rPr>
        <w:t>（一）统一规划，分级实施。</w:t>
      </w:r>
      <w:r>
        <w:rPr>
          <w:rFonts w:hint="eastAsia" w:ascii="仿宋_GB2312" w:hAnsi="Verdana"/>
          <w:color w:val="000000"/>
          <w:szCs w:val="32"/>
        </w:rPr>
        <w:t>区应急管理局根据</w:t>
      </w:r>
      <w:r>
        <w:rPr>
          <w:rFonts w:hint="eastAsia" w:ascii="仿宋_GB2312" w:hAnsi="Verdana"/>
          <w:color w:val="000000"/>
          <w:szCs w:val="32"/>
          <w:lang w:eastAsia="zh-CN"/>
        </w:rPr>
        <w:t>我</w:t>
      </w:r>
      <w:r>
        <w:rPr>
          <w:rFonts w:hint="eastAsia" w:ascii="仿宋_GB2312" w:hAnsi="Verdana"/>
          <w:color w:val="000000"/>
          <w:szCs w:val="32"/>
        </w:rPr>
        <w:t>区家庭户数和人口数量，结合各镇实际情况制定</w:t>
      </w:r>
      <w:r>
        <w:rPr>
          <w:rFonts w:hint="eastAsia" w:ascii="仿宋_GB2312" w:hAnsi="Verdana"/>
          <w:color w:val="000000"/>
          <w:szCs w:val="32"/>
          <w:lang w:eastAsia="zh-CN"/>
        </w:rPr>
        <w:t>我</w:t>
      </w:r>
      <w:r>
        <w:rPr>
          <w:rFonts w:hint="eastAsia" w:ascii="仿宋_GB2312" w:hAnsi="Verdana"/>
          <w:color w:val="000000"/>
          <w:szCs w:val="32"/>
        </w:rPr>
        <w:t>区烟花爆竹零售经营布局规划，报区政府批准实施。</w:t>
      </w:r>
    </w:p>
    <w:p w14:paraId="0FA23F21">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楷体_GB2312" w:hAnsi="楷体_GB2312" w:eastAsia="楷体_GB2312" w:cs="楷体_GB2312"/>
          <w:bCs/>
          <w:color w:val="000000"/>
          <w:szCs w:val="32"/>
        </w:rPr>
        <w:t>（二）合理布局，总量控制。</w:t>
      </w:r>
      <w:r>
        <w:rPr>
          <w:rFonts w:hint="eastAsia" w:ascii="仿宋_GB2312" w:hAnsi="Verdana"/>
          <w:color w:val="000000"/>
          <w:szCs w:val="32"/>
        </w:rPr>
        <w:t>烟花爆竹零售店布局主要依据各镇家庭户数、人口数量、区域面积等因素综合考虑，原则上每1000户人口的区域内布设零售店不超过2个。</w:t>
      </w:r>
    </w:p>
    <w:p w14:paraId="264E3542">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ascii="仿宋_GB2312" w:hAnsi="Verdana"/>
          <w:color w:val="000000"/>
        </w:rPr>
      </w:pPr>
      <w:r>
        <w:rPr>
          <w:rFonts w:hint="eastAsia" w:ascii="楷体_GB2312" w:hAnsi="楷体_GB2312" w:eastAsia="楷体_GB2312" w:cs="楷体_GB2312"/>
          <w:bCs/>
          <w:color w:val="000000"/>
          <w:szCs w:val="32"/>
        </w:rPr>
        <w:t>（三）严格准入，确保安全。</w:t>
      </w:r>
      <w:r>
        <w:rPr>
          <w:rFonts w:hint="eastAsia" w:ascii="仿宋_GB2312" w:hAnsi="Verdana"/>
          <w:color w:val="000000"/>
          <w:szCs w:val="32"/>
        </w:rPr>
        <w:t>严格依照国家有关法律、法规、规章以及省、市有关烟花爆竹零售经营店选址标准和经营条件的规定，结合本地实际，按照公开、公平、公正的原则，通过适度竞争、好中选优的方式</w:t>
      </w:r>
      <w:bookmarkStart w:id="0" w:name="_GoBack"/>
      <w:bookmarkEnd w:id="0"/>
      <w:r>
        <w:rPr>
          <w:rFonts w:hint="eastAsia" w:ascii="仿宋_GB2312" w:hAnsi="Verdana"/>
          <w:color w:val="000000"/>
          <w:szCs w:val="32"/>
        </w:rPr>
        <w:t>，进一步促进烟花爆竹零售店的本质安全水平。</w:t>
      </w:r>
    </w:p>
    <w:p w14:paraId="33940957">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ascii="黑体" w:hAnsi="Verdana" w:eastAsia="黑体"/>
          <w:color w:val="000000"/>
        </w:rPr>
      </w:pPr>
      <w:r>
        <w:rPr>
          <w:rFonts w:hint="eastAsia" w:ascii="黑体" w:hAnsi="Verdana" w:eastAsia="黑体"/>
          <w:color w:val="000000"/>
          <w:szCs w:val="32"/>
        </w:rPr>
        <w:t>三、规划布点数量和分布</w:t>
      </w:r>
    </w:p>
    <w:p w14:paraId="5D19F4A5">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仿宋_GB2312" w:hAnsi="Verdana"/>
          <w:color w:val="000000"/>
          <w:szCs w:val="32"/>
        </w:rPr>
        <w:t>全区烟花爆竹零售店总数</w:t>
      </w:r>
      <w:r>
        <w:rPr>
          <w:rFonts w:hint="eastAsia" w:ascii="仿宋_GB2312" w:hAnsi="Verdana"/>
          <w:color w:val="000000"/>
          <w:szCs w:val="32"/>
          <w:lang w:val="en-US" w:eastAsia="zh-CN"/>
        </w:rPr>
        <w:t>控制在</w:t>
      </w:r>
      <w:r>
        <w:rPr>
          <w:rFonts w:hint="eastAsia" w:ascii="仿宋_GB2312" w:hAnsi="Verdana"/>
          <w:color w:val="000000"/>
          <w:szCs w:val="32"/>
        </w:rPr>
        <w:t>27个</w:t>
      </w:r>
      <w:r>
        <w:rPr>
          <w:rFonts w:hint="eastAsia" w:ascii="仿宋_GB2312" w:hAnsi="Verdana" w:eastAsia="仿宋_GB2312"/>
          <w:color w:val="000000"/>
          <w:sz w:val="32"/>
          <w:szCs w:val="32"/>
        </w:rPr>
        <w:t>以内</w:t>
      </w:r>
      <w:r>
        <w:rPr>
          <w:rFonts w:hint="eastAsia" w:ascii="仿宋_GB2312" w:hAnsi="Verdana"/>
          <w:color w:val="000000"/>
          <w:szCs w:val="32"/>
        </w:rPr>
        <w:t>，均为烟花爆竹零售专店</w:t>
      </w:r>
      <w:r>
        <w:rPr>
          <w:rFonts w:hint="eastAsia" w:ascii="仿宋_GB2312" w:hAnsi="Verdana"/>
          <w:color w:val="000000"/>
          <w:szCs w:val="32"/>
          <w:lang w:val="en-US" w:eastAsia="zh-CN"/>
        </w:rPr>
        <w:t>销售，</w:t>
      </w:r>
      <w:r>
        <w:rPr>
          <w:rFonts w:hint="eastAsia" w:ascii="仿宋_GB2312" w:hAnsi="Verdana"/>
          <w:color w:val="000000"/>
          <w:szCs w:val="32"/>
        </w:rPr>
        <w:t>经营许可有效期为2年。</w:t>
      </w:r>
    </w:p>
    <w:p w14:paraId="484AE272">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仿宋_GB2312" w:hAnsi="Verdana" w:cs="Times New Roman"/>
          <w:color w:val="000000"/>
          <w:szCs w:val="32"/>
        </w:rPr>
        <w:t>石楼镇</w:t>
      </w:r>
      <w:r>
        <w:rPr>
          <w:rFonts w:hint="eastAsia" w:ascii="仿宋_GB2312" w:hAnsi="Verdana" w:cs="Times New Roman"/>
          <w:color w:val="000000"/>
          <w:szCs w:val="32"/>
          <w:lang w:eastAsia="zh-CN"/>
        </w:rPr>
        <w:t>、</w:t>
      </w:r>
      <w:r>
        <w:rPr>
          <w:rFonts w:hint="eastAsia" w:ascii="仿宋_GB2312" w:hAnsi="Verdana" w:cs="Times New Roman"/>
          <w:color w:val="000000"/>
          <w:szCs w:val="32"/>
        </w:rPr>
        <w:t>石碁镇</w:t>
      </w:r>
      <w:r>
        <w:rPr>
          <w:rFonts w:hint="eastAsia" w:ascii="仿宋_GB2312" w:hAnsi="Verdana" w:cs="Times New Roman"/>
          <w:color w:val="000000"/>
          <w:szCs w:val="32"/>
          <w:lang w:eastAsia="zh-CN"/>
        </w:rPr>
        <w:t>、</w:t>
      </w:r>
      <w:r>
        <w:rPr>
          <w:rFonts w:hint="eastAsia" w:ascii="仿宋_GB2312" w:hAnsi="Verdana" w:cs="Times New Roman"/>
          <w:color w:val="000000"/>
          <w:szCs w:val="32"/>
          <w:lang w:val="en-US" w:eastAsia="zh-CN"/>
        </w:rPr>
        <w:t>化龙镇、新造镇</w:t>
      </w:r>
      <w:r>
        <w:rPr>
          <w:rFonts w:hint="eastAsia" w:ascii="仿宋_GB2312" w:hAnsi="Verdana" w:cs="Times New Roman"/>
          <w:color w:val="000000"/>
          <w:szCs w:val="32"/>
        </w:rPr>
        <w:t>烟花</w:t>
      </w:r>
      <w:r>
        <w:rPr>
          <w:rFonts w:hint="eastAsia" w:ascii="仿宋_GB2312" w:hAnsi="Verdana" w:eastAsia="仿宋_GB2312"/>
          <w:color w:val="000000"/>
          <w:sz w:val="32"/>
          <w:szCs w:val="32"/>
        </w:rPr>
        <w:t>爆竹零售</w:t>
      </w:r>
      <w:r>
        <w:rPr>
          <w:rFonts w:hint="eastAsia" w:ascii="仿宋_GB2312" w:hAnsi="Verdana"/>
          <w:color w:val="000000"/>
          <w:sz w:val="32"/>
          <w:szCs w:val="32"/>
          <w:lang w:val="en-US" w:eastAsia="zh-CN"/>
        </w:rPr>
        <w:t>店（点）</w:t>
      </w:r>
      <w:r>
        <w:rPr>
          <w:rFonts w:hint="eastAsia" w:ascii="仿宋_GB2312" w:hAnsi="Verdana" w:eastAsia="仿宋_GB2312"/>
          <w:color w:val="000000"/>
          <w:sz w:val="32"/>
          <w:szCs w:val="32"/>
        </w:rPr>
        <w:t>布建按照《广州市番禺区烟花爆竹零售经营布点规划表》</w:t>
      </w:r>
      <w:r>
        <w:rPr>
          <w:rFonts w:hint="eastAsia" w:ascii="仿宋_GB2312" w:hAnsi="Verdana"/>
          <w:color w:val="000000"/>
          <w:sz w:val="32"/>
          <w:szCs w:val="32"/>
          <w:lang w:eastAsia="zh-CN"/>
        </w:rPr>
        <w:t>（</w:t>
      </w:r>
      <w:r>
        <w:rPr>
          <w:rFonts w:hint="eastAsia" w:ascii="仿宋_GB2312" w:hAnsi="Verdana"/>
          <w:color w:val="000000"/>
          <w:sz w:val="32"/>
          <w:szCs w:val="32"/>
          <w:lang w:val="en-US" w:eastAsia="zh-CN"/>
        </w:rPr>
        <w:t>附表</w:t>
      </w:r>
      <w:r>
        <w:rPr>
          <w:rFonts w:hint="eastAsia" w:ascii="仿宋_GB2312" w:hAnsi="Verdana"/>
          <w:color w:val="000000"/>
          <w:sz w:val="32"/>
          <w:szCs w:val="32"/>
          <w:lang w:eastAsia="zh-CN"/>
        </w:rPr>
        <w:t>）</w:t>
      </w:r>
      <w:r>
        <w:rPr>
          <w:rFonts w:hint="eastAsia" w:ascii="仿宋_GB2312" w:hAnsi="Verdana" w:eastAsia="仿宋_GB2312"/>
          <w:color w:val="000000"/>
          <w:sz w:val="32"/>
          <w:szCs w:val="32"/>
        </w:rPr>
        <w:t>结合实际确定。</w:t>
      </w:r>
    </w:p>
    <w:p w14:paraId="7BF88014">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ascii="黑体" w:hAnsi="Verdana" w:eastAsia="黑体"/>
          <w:color w:val="000000"/>
        </w:rPr>
      </w:pPr>
      <w:r>
        <w:rPr>
          <w:rFonts w:hint="eastAsia" w:ascii="黑体" w:hAnsi="Verdana" w:eastAsia="黑体"/>
          <w:color w:val="000000"/>
          <w:szCs w:val="32"/>
        </w:rPr>
        <w:t>四、许可经营时间、范围和办理经营许可证时间</w:t>
      </w:r>
    </w:p>
    <w:p w14:paraId="09EE7EA2">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仿宋_GB2312" w:hAnsi="Verdana"/>
          <w:color w:val="000000"/>
          <w:szCs w:val="32"/>
        </w:rPr>
        <w:t>许可经营时间为：每年农历十二月</w:t>
      </w:r>
      <w:r>
        <w:rPr>
          <w:rFonts w:hint="eastAsia" w:ascii="仿宋_GB2312" w:hAnsi="Verdana"/>
          <w:color w:val="000000"/>
          <w:szCs w:val="32"/>
          <w:lang w:val="en-US" w:eastAsia="zh-CN"/>
        </w:rPr>
        <w:t>十五</w:t>
      </w:r>
      <w:r>
        <w:rPr>
          <w:rFonts w:hint="eastAsia" w:ascii="仿宋_GB2312" w:hAnsi="Verdana"/>
          <w:color w:val="000000"/>
          <w:szCs w:val="32"/>
        </w:rPr>
        <w:t>至正月十五（含春节、元宵节）、农历四月二十五至五月初七（含端午节）。</w:t>
      </w:r>
    </w:p>
    <w:p w14:paraId="185846BD">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ascii="仿宋_GB2312" w:hAnsi="Verdana"/>
          <w:color w:val="000000"/>
          <w:szCs w:val="32"/>
        </w:rPr>
      </w:pPr>
      <w:r>
        <w:rPr>
          <w:rFonts w:hint="eastAsia" w:ascii="仿宋_GB2312" w:hAnsi="Verdana"/>
          <w:color w:val="000000"/>
          <w:szCs w:val="32"/>
        </w:rPr>
        <w:t>经营范围：仅限经营C、D类烟花爆竹，严禁经营A、B类烟花爆竹。烟花爆竹级别以《烟花爆竹安全与质量》（GB10631—2013）为准。</w:t>
      </w:r>
    </w:p>
    <w:p w14:paraId="51AD56E9">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仿宋_GB2312" w:hAnsi="Verdana"/>
          <w:color w:val="000000"/>
          <w:szCs w:val="32"/>
        </w:rPr>
        <w:t>烟花爆竹零售经营许可办理时间相对集中，具体</w:t>
      </w:r>
      <w:r>
        <w:rPr>
          <w:rFonts w:hint="eastAsia" w:ascii="仿宋_GB2312" w:hAnsi="Verdana"/>
          <w:color w:val="000000"/>
          <w:szCs w:val="32"/>
          <w:lang w:val="en-US" w:eastAsia="zh-CN"/>
        </w:rPr>
        <w:t>办理方式</w:t>
      </w:r>
      <w:r>
        <w:rPr>
          <w:rFonts w:hint="eastAsia" w:ascii="仿宋_GB2312" w:hAnsi="Verdana"/>
          <w:color w:val="000000"/>
          <w:szCs w:val="32"/>
        </w:rPr>
        <w:t>由区应急管理</w:t>
      </w:r>
      <w:r>
        <w:rPr>
          <w:rFonts w:hint="eastAsia" w:ascii="仿宋_GB2312" w:hAnsi="Verdana"/>
          <w:color w:val="000000"/>
          <w:szCs w:val="32"/>
          <w:lang w:val="en-US" w:eastAsia="zh-CN"/>
        </w:rPr>
        <w:t>局另行发布</w:t>
      </w:r>
      <w:r>
        <w:rPr>
          <w:rFonts w:hint="eastAsia" w:ascii="仿宋_GB2312" w:hAnsi="Verdana"/>
          <w:color w:val="000000"/>
          <w:szCs w:val="32"/>
        </w:rPr>
        <w:t>。</w:t>
      </w:r>
    </w:p>
    <w:p w14:paraId="0F31F3FA">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ascii="黑体" w:hAnsi="Verdana" w:eastAsia="黑体"/>
          <w:color w:val="000000"/>
        </w:rPr>
      </w:pPr>
      <w:r>
        <w:rPr>
          <w:rFonts w:hint="eastAsia" w:ascii="黑体" w:hAnsi="Verdana" w:eastAsia="黑体"/>
          <w:color w:val="000000"/>
          <w:szCs w:val="32"/>
        </w:rPr>
        <w:t>五、烟花爆竹零售店布建选址标准</w:t>
      </w:r>
    </w:p>
    <w:p w14:paraId="61D232C7">
      <w:pPr>
        <w:keepNext w:val="0"/>
        <w:keepLines w:val="0"/>
        <w:pageBreakBefore w:val="0"/>
        <w:widowControl w:val="0"/>
        <w:kinsoku/>
        <w:wordWrap/>
        <w:overflowPunct/>
        <w:topLinePunct w:val="0"/>
        <w:autoSpaceDE/>
        <w:autoSpaceDN/>
        <w:bidi w:val="0"/>
        <w:adjustRightInd/>
        <w:snapToGrid/>
        <w:spacing w:line="577" w:lineRule="exact"/>
        <w:ind w:firstLine="643" w:firstLineChars="200"/>
        <w:textAlignment w:val="auto"/>
        <w:rPr>
          <w:rFonts w:ascii="仿宋_GB2312" w:hAnsi="Verdana"/>
          <w:b/>
          <w:bCs/>
          <w:color w:val="000000"/>
        </w:rPr>
      </w:pPr>
      <w:r>
        <w:rPr>
          <w:rFonts w:hint="eastAsia" w:ascii="仿宋_GB2312" w:hAnsi="Verdana"/>
          <w:b/>
          <w:bCs/>
          <w:color w:val="000000"/>
          <w:szCs w:val="32"/>
        </w:rPr>
        <w:t>（一）不得布设在禁放区域。</w:t>
      </w:r>
    </w:p>
    <w:p w14:paraId="7C686803">
      <w:pPr>
        <w:pStyle w:val="6"/>
        <w:keepNext w:val="0"/>
        <w:keepLines w:val="0"/>
        <w:pageBreakBefore w:val="0"/>
        <w:widowControl w:val="0"/>
        <w:kinsoku/>
        <w:wordWrap/>
        <w:overflowPunct/>
        <w:topLinePunct w:val="0"/>
        <w:autoSpaceDE/>
        <w:autoSpaceDN/>
        <w:bidi w:val="0"/>
        <w:adjustRightInd/>
        <w:snapToGrid/>
        <w:spacing w:line="577" w:lineRule="exact"/>
        <w:ind w:firstLine="632"/>
        <w:textAlignment w:val="auto"/>
      </w:pPr>
      <w:r>
        <w:t>根据</w:t>
      </w:r>
      <w:r>
        <w:rPr>
          <w:rFonts w:ascii="仿宋_GB2312" w:hAnsi="宋体"/>
        </w:rPr>
        <w:t>《广州市烟花爆竹安全管理规定》</w:t>
      </w:r>
      <w:r>
        <w:rPr>
          <w:rFonts w:hint="eastAsia" w:ascii="仿宋_GB2312" w:hAnsi="宋体"/>
          <w:lang w:eastAsia="zh-CN"/>
        </w:rPr>
        <w:t>《</w:t>
      </w:r>
      <w:r>
        <w:rPr>
          <w:rFonts w:hint="eastAsia" w:ascii="仿宋_GB2312" w:hAnsi="宋体"/>
        </w:rPr>
        <w:t>广州市番禺区人民政府关于延长</w:t>
      </w:r>
      <w:r>
        <w:rPr>
          <w:rFonts w:hint="eastAsia" w:ascii="仿宋_GB2312" w:hAnsi="宋体"/>
          <w:lang w:val="en-US" w:eastAsia="zh-CN"/>
        </w:rPr>
        <w:t>&lt;</w:t>
      </w:r>
      <w:r>
        <w:rPr>
          <w:rFonts w:hint="eastAsia" w:ascii="仿宋_GB2312" w:hAnsi="宋体"/>
        </w:rPr>
        <w:t>广州市番禺区人民政府关于划定番禺区禁止和限制燃放烟花爆竹区域的通告</w:t>
      </w:r>
      <w:r>
        <w:rPr>
          <w:rFonts w:hint="eastAsia" w:ascii="仿宋_GB2312" w:hAnsi="宋体"/>
          <w:lang w:val="en-US" w:eastAsia="zh-CN"/>
        </w:rPr>
        <w:t>&gt;</w:t>
      </w:r>
      <w:r>
        <w:rPr>
          <w:rFonts w:hint="eastAsia" w:ascii="仿宋_GB2312" w:hAnsi="宋体"/>
        </w:rPr>
        <w:t>有效期的通知</w:t>
      </w:r>
      <w:r>
        <w:rPr>
          <w:rFonts w:hint="eastAsia" w:ascii="仿宋_GB2312" w:hAnsi="宋体"/>
          <w:lang w:eastAsia="zh-CN"/>
        </w:rPr>
        <w:t>》</w:t>
      </w:r>
      <w:r>
        <w:rPr>
          <w:rFonts w:hint="eastAsia" w:ascii="仿宋_GB2312" w:hAnsi="宋体"/>
          <w:lang w:val="en-US" w:eastAsia="zh-CN"/>
        </w:rPr>
        <w:t>(</w:t>
      </w:r>
      <w:r>
        <w:rPr>
          <w:rFonts w:ascii="仿宋_GB2312" w:hAnsi="宋体"/>
        </w:rPr>
        <w:t>番府规〔202</w:t>
      </w:r>
      <w:r>
        <w:rPr>
          <w:rFonts w:hint="eastAsia" w:ascii="仿宋_GB2312" w:hAnsi="宋体"/>
          <w:lang w:val="en-US" w:eastAsia="zh-CN"/>
        </w:rPr>
        <w:t>5</w:t>
      </w:r>
      <w:r>
        <w:rPr>
          <w:rFonts w:ascii="仿宋_GB2312" w:hAnsi="宋体"/>
        </w:rPr>
        <w:t>〕</w:t>
      </w:r>
      <w:r>
        <w:rPr>
          <w:rFonts w:hint="eastAsia" w:ascii="仿宋_GB2312" w:hAnsi="宋体"/>
          <w:lang w:val="en-US" w:eastAsia="zh-CN"/>
        </w:rPr>
        <w:t>2</w:t>
      </w:r>
      <w:r>
        <w:rPr>
          <w:rFonts w:ascii="仿宋_GB2312" w:hAnsi="宋体"/>
        </w:rPr>
        <w:t>号</w:t>
      </w:r>
      <w:r>
        <w:rPr>
          <w:rFonts w:hint="eastAsia" w:ascii="仿宋_GB2312" w:hAnsi="宋体"/>
          <w:lang w:val="en-US" w:eastAsia="zh-CN"/>
        </w:rPr>
        <w:t>)</w:t>
      </w:r>
      <w:r>
        <w:rPr>
          <w:rFonts w:ascii="仿宋_GB2312" w:hAnsi="宋体"/>
        </w:rPr>
        <w:t>《广州市番禺区人民政府关于划定番禺区禁止和限制燃放烟花爆竹区域的通告》（番府规〔2023〕7号），</w:t>
      </w:r>
      <w:r>
        <w:t>烟花爆竹零售店不得布设在以下禁放区域：</w:t>
      </w:r>
    </w:p>
    <w:p w14:paraId="069DA25A">
      <w:pPr>
        <w:pStyle w:val="6"/>
        <w:keepNext w:val="0"/>
        <w:keepLines w:val="0"/>
        <w:pageBreakBefore w:val="0"/>
        <w:widowControl w:val="0"/>
        <w:kinsoku/>
        <w:wordWrap/>
        <w:overflowPunct/>
        <w:topLinePunct w:val="0"/>
        <w:autoSpaceDE/>
        <w:autoSpaceDN/>
        <w:bidi w:val="0"/>
        <w:adjustRightInd/>
        <w:snapToGrid/>
        <w:spacing w:line="577" w:lineRule="exact"/>
        <w:ind w:firstLine="632"/>
        <w:textAlignment w:val="auto"/>
        <w:rPr>
          <w:rFonts w:hint="default"/>
        </w:rPr>
      </w:pPr>
      <w:r>
        <w:rPr>
          <w:rFonts w:hint="eastAsia" w:ascii="仿宋_GB2312" w:hAnsi="仿宋_GB2312" w:eastAsia="仿宋_GB2312" w:cs="仿宋_GB2312"/>
        </w:rPr>
        <w:t>1.</w:t>
      </w:r>
      <w:r>
        <w:rPr>
          <w:rFonts w:hint="default"/>
        </w:rPr>
        <w:t>《广州市烟花爆竹安全管理规定》第八条规定的地点及周边区域：</w:t>
      </w:r>
    </w:p>
    <w:p w14:paraId="425DE5ED">
      <w:pPr>
        <w:pStyle w:val="6"/>
        <w:keepNext w:val="0"/>
        <w:keepLines w:val="0"/>
        <w:pageBreakBefore w:val="0"/>
        <w:widowControl w:val="0"/>
        <w:kinsoku/>
        <w:wordWrap/>
        <w:overflowPunct/>
        <w:topLinePunct w:val="0"/>
        <w:autoSpaceDE/>
        <w:autoSpaceDN/>
        <w:bidi w:val="0"/>
        <w:adjustRightInd/>
        <w:snapToGrid/>
        <w:spacing w:line="577" w:lineRule="exact"/>
        <w:ind w:firstLine="632"/>
        <w:textAlignment w:val="auto"/>
        <w:rPr>
          <w:rFonts w:hint="eastAsia" w:ascii="仿宋_GB2312" w:hAnsi="仿宋_GB2312" w:eastAsia="仿宋_GB2312" w:cs="仿宋_GB2312"/>
        </w:rPr>
      </w:pPr>
      <w:r>
        <w:rPr>
          <w:rFonts w:hint="eastAsia" w:ascii="仿宋_GB2312" w:hAnsi="仿宋_GB2312" w:eastAsia="仿宋_GB2312" w:cs="仿宋_GB2312"/>
        </w:rPr>
        <w:t>（1）国家机关办公场所；</w:t>
      </w:r>
    </w:p>
    <w:p w14:paraId="3F6E87A7">
      <w:pPr>
        <w:pStyle w:val="6"/>
        <w:keepNext w:val="0"/>
        <w:keepLines w:val="0"/>
        <w:pageBreakBefore w:val="0"/>
        <w:widowControl w:val="0"/>
        <w:kinsoku/>
        <w:wordWrap/>
        <w:overflowPunct/>
        <w:topLinePunct w:val="0"/>
        <w:autoSpaceDE/>
        <w:autoSpaceDN/>
        <w:bidi w:val="0"/>
        <w:adjustRightInd/>
        <w:snapToGrid/>
        <w:spacing w:line="577" w:lineRule="exact"/>
        <w:ind w:firstLine="632"/>
        <w:textAlignment w:val="auto"/>
        <w:rPr>
          <w:rFonts w:hint="eastAsia" w:ascii="仿宋_GB2312" w:hAnsi="仿宋_GB2312" w:eastAsia="仿宋_GB2312" w:cs="仿宋_GB2312"/>
        </w:rPr>
      </w:pPr>
      <w:r>
        <w:rPr>
          <w:rFonts w:hint="eastAsia" w:ascii="仿宋_GB2312" w:hAnsi="仿宋_GB2312" w:eastAsia="仿宋_GB2312" w:cs="仿宋_GB2312"/>
        </w:rPr>
        <w:t>（2）博物馆、展览馆、档案馆、图书馆，文物保护单位、文物保护点、历史文化街区、历史建筑保护范围；</w:t>
      </w:r>
    </w:p>
    <w:p w14:paraId="615AB0BC">
      <w:pPr>
        <w:pStyle w:val="6"/>
        <w:keepNext w:val="0"/>
        <w:keepLines w:val="0"/>
        <w:pageBreakBefore w:val="0"/>
        <w:widowControl w:val="0"/>
        <w:kinsoku/>
        <w:wordWrap/>
        <w:overflowPunct/>
        <w:topLinePunct w:val="0"/>
        <w:autoSpaceDE/>
        <w:autoSpaceDN/>
        <w:bidi w:val="0"/>
        <w:adjustRightInd/>
        <w:snapToGrid/>
        <w:spacing w:line="577" w:lineRule="exact"/>
        <w:ind w:firstLine="632"/>
        <w:textAlignment w:val="auto"/>
        <w:rPr>
          <w:rFonts w:hint="eastAsia" w:ascii="仿宋_GB2312" w:hAnsi="仿宋_GB2312" w:eastAsia="仿宋_GB2312" w:cs="仿宋_GB2312"/>
        </w:rPr>
      </w:pPr>
      <w:r>
        <w:rPr>
          <w:rFonts w:hint="eastAsia" w:ascii="仿宋_GB2312" w:hAnsi="仿宋_GB2312" w:eastAsia="仿宋_GB2312" w:cs="仿宋_GB2312"/>
        </w:rPr>
        <w:t>（3）易燃易爆物品生产、经营、储存单位和其他重点消防单位；</w:t>
      </w:r>
    </w:p>
    <w:p w14:paraId="258C24A7">
      <w:pPr>
        <w:pStyle w:val="6"/>
        <w:keepNext w:val="0"/>
        <w:keepLines w:val="0"/>
        <w:pageBreakBefore w:val="0"/>
        <w:widowControl w:val="0"/>
        <w:kinsoku/>
        <w:wordWrap/>
        <w:overflowPunct/>
        <w:topLinePunct w:val="0"/>
        <w:autoSpaceDE/>
        <w:autoSpaceDN/>
        <w:bidi w:val="0"/>
        <w:adjustRightInd/>
        <w:snapToGrid/>
        <w:spacing w:line="577" w:lineRule="exact"/>
        <w:ind w:firstLine="632"/>
        <w:textAlignment w:val="auto"/>
        <w:rPr>
          <w:rFonts w:hint="eastAsia" w:ascii="仿宋_GB2312" w:hAnsi="仿宋_GB2312" w:eastAsia="仿宋_GB2312" w:cs="仿宋_GB2312"/>
        </w:rPr>
      </w:pPr>
      <w:r>
        <w:rPr>
          <w:rFonts w:hint="eastAsia" w:ascii="仿宋_GB2312" w:hAnsi="仿宋_GB2312" w:eastAsia="仿宋_GB2312" w:cs="仿宋_GB2312"/>
        </w:rPr>
        <w:t>（4）输变电设施安全保护区内；</w:t>
      </w:r>
    </w:p>
    <w:p w14:paraId="6EF4F44F">
      <w:pPr>
        <w:pStyle w:val="6"/>
        <w:keepNext w:val="0"/>
        <w:keepLines w:val="0"/>
        <w:pageBreakBefore w:val="0"/>
        <w:widowControl w:val="0"/>
        <w:kinsoku/>
        <w:wordWrap/>
        <w:overflowPunct/>
        <w:topLinePunct w:val="0"/>
        <w:autoSpaceDE/>
        <w:autoSpaceDN/>
        <w:bidi w:val="0"/>
        <w:adjustRightInd/>
        <w:snapToGrid/>
        <w:spacing w:line="577" w:lineRule="exact"/>
        <w:ind w:firstLine="632"/>
        <w:textAlignment w:val="auto"/>
        <w:rPr>
          <w:rFonts w:hint="eastAsia" w:ascii="仿宋_GB2312" w:hAnsi="仿宋_GB2312" w:eastAsia="仿宋_GB2312" w:cs="仿宋_GB2312"/>
        </w:rPr>
      </w:pPr>
      <w:r>
        <w:rPr>
          <w:rFonts w:hint="eastAsia" w:ascii="仿宋_GB2312" w:hAnsi="仿宋_GB2312" w:eastAsia="仿宋_GB2312" w:cs="仿宋_GB2312"/>
        </w:rPr>
        <w:t>（5）医疗机构、幼儿园、中小学校、青少年宫、养老机构、商场、市场等；</w:t>
      </w:r>
    </w:p>
    <w:p w14:paraId="4A7C78E6">
      <w:pPr>
        <w:pStyle w:val="6"/>
        <w:keepNext w:val="0"/>
        <w:keepLines w:val="0"/>
        <w:pageBreakBefore w:val="0"/>
        <w:widowControl w:val="0"/>
        <w:kinsoku/>
        <w:wordWrap/>
        <w:overflowPunct/>
        <w:topLinePunct w:val="0"/>
        <w:autoSpaceDE/>
        <w:autoSpaceDN/>
        <w:bidi w:val="0"/>
        <w:adjustRightInd/>
        <w:snapToGrid/>
        <w:spacing w:line="577" w:lineRule="exact"/>
        <w:ind w:firstLine="632"/>
        <w:textAlignment w:val="auto"/>
        <w:rPr>
          <w:rFonts w:hint="eastAsia" w:ascii="仿宋_GB2312" w:hAnsi="仿宋_GB2312" w:eastAsia="仿宋_GB2312" w:cs="仿宋_GB2312"/>
        </w:rPr>
      </w:pPr>
      <w:r>
        <w:rPr>
          <w:rFonts w:hint="eastAsia" w:ascii="仿宋_GB2312" w:hAnsi="仿宋_GB2312" w:eastAsia="仿宋_GB2312" w:cs="仿宋_GB2312"/>
        </w:rPr>
        <w:t>（6）山林、苗圃等重点防火区，饮用水水源一级保护区；</w:t>
      </w:r>
    </w:p>
    <w:p w14:paraId="1750193D">
      <w:pPr>
        <w:pStyle w:val="6"/>
        <w:keepNext w:val="0"/>
        <w:keepLines w:val="0"/>
        <w:pageBreakBefore w:val="0"/>
        <w:widowControl w:val="0"/>
        <w:kinsoku/>
        <w:wordWrap/>
        <w:overflowPunct/>
        <w:topLinePunct w:val="0"/>
        <w:autoSpaceDE/>
        <w:autoSpaceDN/>
        <w:bidi w:val="0"/>
        <w:adjustRightInd/>
        <w:snapToGrid/>
        <w:spacing w:line="577" w:lineRule="exact"/>
        <w:ind w:firstLine="632"/>
        <w:textAlignment w:val="auto"/>
        <w:rPr>
          <w:rFonts w:hint="eastAsia" w:ascii="仿宋_GB2312" w:hAnsi="仿宋_GB2312" w:eastAsia="仿宋_GB2312" w:cs="仿宋_GB2312"/>
        </w:rPr>
      </w:pPr>
      <w:r>
        <w:rPr>
          <w:rFonts w:hint="eastAsia" w:ascii="仿宋_GB2312" w:hAnsi="仿宋_GB2312" w:eastAsia="仿宋_GB2312" w:cs="仿宋_GB2312"/>
        </w:rPr>
        <w:t>（7）车站、码头、机场等交通枢纽，轨道交通以及铁路线路安全保护区，以及过街天桥、立交桥、隧道、机动车停车场等场所；</w:t>
      </w:r>
    </w:p>
    <w:p w14:paraId="7544604D">
      <w:pPr>
        <w:pStyle w:val="6"/>
        <w:keepNext w:val="0"/>
        <w:keepLines w:val="0"/>
        <w:pageBreakBefore w:val="0"/>
        <w:widowControl w:val="0"/>
        <w:kinsoku/>
        <w:wordWrap/>
        <w:overflowPunct/>
        <w:topLinePunct w:val="0"/>
        <w:autoSpaceDE/>
        <w:autoSpaceDN/>
        <w:bidi w:val="0"/>
        <w:adjustRightInd/>
        <w:snapToGrid/>
        <w:spacing w:line="577" w:lineRule="exact"/>
        <w:ind w:firstLine="632"/>
        <w:textAlignment w:val="auto"/>
        <w:rPr>
          <w:rFonts w:hint="eastAsia" w:ascii="仿宋_GB2312" w:hAnsi="仿宋_GB2312" w:eastAsia="仿宋_GB2312" w:cs="仿宋_GB2312"/>
        </w:rPr>
      </w:pPr>
      <w:r>
        <w:rPr>
          <w:rFonts w:hint="eastAsia" w:ascii="仿宋_GB2312" w:hAnsi="仿宋_GB2312" w:eastAsia="仿宋_GB2312" w:cs="仿宋_GB2312"/>
        </w:rPr>
        <w:t>（8）其他具有火灾、爆炸危险的场所和消防安全重点单位。</w:t>
      </w:r>
    </w:p>
    <w:p w14:paraId="245578F6">
      <w:pPr>
        <w:pStyle w:val="6"/>
        <w:keepNext w:val="0"/>
        <w:keepLines w:val="0"/>
        <w:pageBreakBefore w:val="0"/>
        <w:widowControl w:val="0"/>
        <w:kinsoku/>
        <w:wordWrap/>
        <w:overflowPunct/>
        <w:topLinePunct w:val="0"/>
        <w:autoSpaceDE/>
        <w:autoSpaceDN/>
        <w:bidi w:val="0"/>
        <w:adjustRightInd/>
        <w:snapToGrid/>
        <w:spacing w:line="577" w:lineRule="exact"/>
        <w:ind w:firstLine="632"/>
        <w:textAlignment w:val="auto"/>
        <w:rPr>
          <w:rFonts w:hint="default"/>
        </w:rPr>
      </w:pPr>
      <w:r>
        <w:rPr>
          <w:rFonts w:hint="eastAsia" w:ascii="仿宋_GB2312" w:hAnsi="仿宋_GB2312" w:eastAsia="仿宋_GB2312" w:cs="仿宋_GB2312"/>
        </w:rPr>
        <w:t>2.住宅小区。</w:t>
      </w:r>
    </w:p>
    <w:p w14:paraId="5427325A">
      <w:pPr>
        <w:keepNext w:val="0"/>
        <w:keepLines w:val="0"/>
        <w:pageBreakBefore w:val="0"/>
        <w:widowControl w:val="0"/>
        <w:kinsoku/>
        <w:wordWrap/>
        <w:overflowPunct/>
        <w:topLinePunct w:val="0"/>
        <w:autoSpaceDE/>
        <w:autoSpaceDN/>
        <w:bidi w:val="0"/>
        <w:adjustRightInd/>
        <w:snapToGrid/>
        <w:spacing w:line="577" w:lineRule="exact"/>
        <w:ind w:firstLine="643" w:firstLineChars="200"/>
        <w:textAlignment w:val="auto"/>
        <w:rPr>
          <w:rFonts w:ascii="仿宋_GB2312" w:hAnsi="Verdana"/>
          <w:b/>
          <w:bCs/>
          <w:color w:val="000000"/>
        </w:rPr>
      </w:pPr>
      <w:r>
        <w:rPr>
          <w:rFonts w:hint="eastAsia" w:ascii="仿宋_GB2312" w:hAnsi="Verdana"/>
          <w:b/>
          <w:bCs/>
          <w:color w:val="000000"/>
          <w:szCs w:val="32"/>
        </w:rPr>
        <w:t>（二）符合相邻零售店之间的安全距离要求。</w:t>
      </w:r>
    </w:p>
    <w:p w14:paraId="3D29BDEE">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ascii="仿宋_GB2312" w:hAnsi="Verdana"/>
          <w:bCs/>
          <w:color w:val="000000"/>
        </w:rPr>
      </w:pPr>
      <w:r>
        <w:rPr>
          <w:rFonts w:hint="eastAsia" w:ascii="仿宋_GB2312" w:hAnsi="Verdana"/>
          <w:color w:val="000000"/>
          <w:szCs w:val="32"/>
        </w:rPr>
        <w:t>零售场所的面积不小于10平方米，</w:t>
      </w:r>
      <w:r>
        <w:rPr>
          <w:rFonts w:hint="eastAsia" w:ascii="仿宋" w:hAnsi="仿宋" w:eastAsia="仿宋" w:cs="仿宋"/>
          <w:szCs w:val="32"/>
        </w:rPr>
        <w:t>且不应大于200</w:t>
      </w:r>
      <w:r>
        <w:rPr>
          <w:rFonts w:hint="eastAsia" w:ascii="仿宋_GB2312" w:hAnsi="Verdana"/>
          <w:color w:val="000000"/>
          <w:szCs w:val="32"/>
        </w:rPr>
        <w:t>平方米，其周边50米以上范围内没有其它烟花爆竹零售店</w:t>
      </w:r>
      <w:r>
        <w:rPr>
          <w:rFonts w:hint="eastAsia" w:ascii="仿宋_GB2312" w:hAnsi="Verdana"/>
          <w:bCs/>
          <w:color w:val="000000"/>
          <w:szCs w:val="32"/>
        </w:rPr>
        <w:t>。</w:t>
      </w:r>
    </w:p>
    <w:p w14:paraId="437E6442">
      <w:pPr>
        <w:keepNext w:val="0"/>
        <w:keepLines w:val="0"/>
        <w:pageBreakBefore w:val="0"/>
        <w:widowControl w:val="0"/>
        <w:kinsoku/>
        <w:wordWrap/>
        <w:overflowPunct/>
        <w:topLinePunct w:val="0"/>
        <w:autoSpaceDE/>
        <w:autoSpaceDN/>
        <w:bidi w:val="0"/>
        <w:adjustRightInd/>
        <w:snapToGrid/>
        <w:spacing w:line="577" w:lineRule="exact"/>
        <w:ind w:firstLine="643" w:firstLineChars="200"/>
        <w:textAlignment w:val="auto"/>
        <w:rPr>
          <w:rFonts w:ascii="仿宋_GB2312" w:hAnsi="Verdana"/>
          <w:b/>
          <w:bCs/>
          <w:color w:val="000000"/>
        </w:rPr>
      </w:pPr>
      <w:r>
        <w:rPr>
          <w:rFonts w:hint="eastAsia" w:ascii="仿宋_GB2312" w:hAnsi="Verdana"/>
          <w:b/>
          <w:bCs/>
          <w:color w:val="000000"/>
          <w:szCs w:val="32"/>
        </w:rPr>
        <w:t>（三）符合广州市和我区规定的禁止销售、燃放烟花爆竹的地点及其周边安全距离要求。</w:t>
      </w:r>
    </w:p>
    <w:p w14:paraId="27A21472">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仿宋_GB2312" w:hAnsi="Verdana"/>
          <w:color w:val="000000"/>
          <w:szCs w:val="32"/>
        </w:rPr>
        <w:t>1.应选择在消防车辆可以顺畅到达的区域;</w:t>
      </w:r>
    </w:p>
    <w:p w14:paraId="49BAA406">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仿宋_GB2312" w:hAnsi="Verdana"/>
          <w:color w:val="000000"/>
          <w:szCs w:val="32"/>
        </w:rPr>
        <w:t>2.不应设置在军事管理区、文物保护区等禁止燃放烟花爆竹区域内;</w:t>
      </w:r>
    </w:p>
    <w:p w14:paraId="0167A4A6">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仿宋_GB2312" w:hAnsi="Verdana"/>
          <w:color w:val="000000"/>
          <w:szCs w:val="32"/>
        </w:rPr>
        <w:t>3.不应设置在居民集中居住小区内,以及桥下与涵洞内;</w:t>
      </w:r>
    </w:p>
    <w:p w14:paraId="07847F19">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仿宋_GB2312" w:hAnsi="Verdana"/>
          <w:color w:val="000000"/>
          <w:szCs w:val="32"/>
        </w:rPr>
        <w:t>4.不应与居住场所设置在同一建筑物内,不应设置在地下及半地下室内;</w:t>
      </w:r>
    </w:p>
    <w:p w14:paraId="6A7FB256">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仿宋_GB2312" w:hAnsi="Verdana"/>
          <w:color w:val="000000"/>
          <w:szCs w:val="32"/>
        </w:rPr>
        <w:t>5.不应设置在其地下、室内或上方有输送石油、天然气等易燃易爆物质管道的建筑物内；</w:t>
      </w:r>
    </w:p>
    <w:p w14:paraId="0A8A3B05">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仿宋_GB2312" w:hAnsi="Verdana"/>
          <w:color w:val="000000"/>
          <w:szCs w:val="32"/>
        </w:rPr>
        <w:t>6.不应设置在电压高于1kV的电力线路下方；</w:t>
      </w:r>
    </w:p>
    <w:p w14:paraId="56153348">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仿宋_GB2312" w:hAnsi="Verdana"/>
          <w:color w:val="000000"/>
          <w:szCs w:val="32"/>
        </w:rPr>
        <w:t>7.距离学校、医院、幼儿园、养老院、集贸市场、文物古迹、博物馆、展览馆、档案馆、图书馆，危险品生产、储存及加油站、加气站等易燃易爆场所边缘100米以上；</w:t>
      </w:r>
    </w:p>
    <w:p w14:paraId="7A126918">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仿宋_GB2312" w:hAnsi="Verdana"/>
          <w:color w:val="000000"/>
          <w:szCs w:val="32"/>
        </w:rPr>
        <w:t>8.距离220KV及以上的区域变电站围墙、220KV以上的架空输电线路距离依据烟花爆竹总药量决定。（烟花爆竹总药量≤80kg，需50米以上；烟花爆竹总药量＞80kg且≤100kg，需60米以上；烟花爆竹总药量＞100kg且≤200kg，需65米以上；烟花爆竹总药量＞200kg且≤300kg，需70米以上）；</w:t>
      </w:r>
    </w:p>
    <w:p w14:paraId="69A1FE1A">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color w:val="000000"/>
          <w:szCs w:val="32"/>
        </w:rPr>
      </w:pPr>
      <w:r>
        <w:rPr>
          <w:rFonts w:hint="eastAsia" w:ascii="仿宋_GB2312" w:hAnsi="Verdana"/>
          <w:color w:val="000000"/>
          <w:szCs w:val="32"/>
        </w:rPr>
        <w:t>9.零售场所与其他房间不应有楼梯或洞口相通；其正上方房间不应作为营业场所，不应作为培训教室、会议室，不应有人员留宿；不应作为其他生产、经营和生活等场所的进出通道。</w:t>
      </w:r>
    </w:p>
    <w:p w14:paraId="5337DD70">
      <w:pPr>
        <w:keepNext w:val="0"/>
        <w:keepLines w:val="0"/>
        <w:pageBreakBefore w:val="0"/>
        <w:widowControl w:val="0"/>
        <w:kinsoku/>
        <w:wordWrap/>
        <w:overflowPunct/>
        <w:topLinePunct w:val="0"/>
        <w:autoSpaceDE/>
        <w:autoSpaceDN/>
        <w:bidi w:val="0"/>
        <w:adjustRightInd/>
        <w:snapToGrid/>
        <w:spacing w:line="577" w:lineRule="exact"/>
        <w:ind w:firstLine="643" w:firstLineChars="200"/>
        <w:textAlignment w:val="auto"/>
        <w:rPr>
          <w:rFonts w:ascii="仿宋_GB2312" w:hAnsi="Verdana"/>
          <w:b/>
          <w:color w:val="000000"/>
        </w:rPr>
      </w:pPr>
      <w:r>
        <w:rPr>
          <w:rFonts w:hint="eastAsia" w:ascii="仿宋_GB2312" w:hAnsi="Verdana"/>
          <w:b/>
          <w:color w:val="000000"/>
          <w:szCs w:val="32"/>
        </w:rPr>
        <w:t>（四）其他要求。</w:t>
      </w:r>
    </w:p>
    <w:p w14:paraId="6C49F5D2">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ascii="仿宋_GB2312" w:hAnsi="Verdana"/>
        </w:rPr>
      </w:pPr>
      <w:r>
        <w:rPr>
          <w:rFonts w:hint="eastAsia" w:ascii="仿宋_GB2312" w:hAnsi="Verdana"/>
          <w:szCs w:val="32"/>
        </w:rPr>
        <w:t>1.严禁在城乡结合部或集贸市场布设连片集中形式的烟花爆竹零售店；</w:t>
      </w:r>
    </w:p>
    <w:p w14:paraId="498C0019">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eastAsia="仿宋_GB2312"/>
          <w:szCs w:val="32"/>
          <w:lang w:eastAsia="zh-CN"/>
        </w:rPr>
      </w:pPr>
      <w:r>
        <w:rPr>
          <w:rFonts w:hint="eastAsia" w:ascii="仿宋_GB2312" w:hAnsi="Verdana"/>
          <w:szCs w:val="32"/>
        </w:rPr>
        <w:t>2.零售场所配备必要的消防器材，并张贴明显的安全警示标志</w:t>
      </w:r>
      <w:r>
        <w:rPr>
          <w:rFonts w:hint="eastAsia" w:ascii="仿宋_GB2312" w:hAnsi="Verdana"/>
          <w:szCs w:val="32"/>
          <w:lang w:eastAsia="zh-CN"/>
        </w:rPr>
        <w:t>；</w:t>
      </w:r>
    </w:p>
    <w:p w14:paraId="63070E5F">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eastAsia="仿宋_GB2312"/>
          <w:szCs w:val="32"/>
          <w:lang w:eastAsia="zh-CN"/>
        </w:rPr>
      </w:pPr>
      <w:r>
        <w:rPr>
          <w:rFonts w:hint="eastAsia" w:ascii="仿宋_GB2312" w:hAnsi="Verdana"/>
          <w:szCs w:val="32"/>
        </w:rPr>
        <w:t>3.主要负责人和安全生产管理人员经过安全培训合格，销售人员经过安全知识教育</w:t>
      </w:r>
      <w:r>
        <w:rPr>
          <w:rFonts w:hint="eastAsia" w:ascii="仿宋_GB2312" w:hAnsi="Verdana"/>
          <w:szCs w:val="32"/>
          <w:lang w:eastAsia="zh-CN"/>
        </w:rPr>
        <w:t>；</w:t>
      </w:r>
    </w:p>
    <w:p w14:paraId="0F193441">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eastAsia="仿宋_GB2312"/>
          <w:szCs w:val="32"/>
          <w:lang w:eastAsia="zh-CN"/>
        </w:rPr>
      </w:pPr>
      <w:r>
        <w:rPr>
          <w:rFonts w:hint="eastAsia" w:ascii="仿宋_GB2312" w:hAnsi="Verdana"/>
          <w:szCs w:val="32"/>
        </w:rPr>
        <w:t>4.零售经营者申请领取零售许可证时，应当提交申请书、零售店及其周围安全条件说明、主要负责人培训合格资格证、销售人员培训情况说明等</w:t>
      </w:r>
      <w:r>
        <w:rPr>
          <w:rFonts w:hint="eastAsia" w:ascii="仿宋_GB2312" w:hAnsi="Verdana"/>
          <w:szCs w:val="32"/>
          <w:lang w:eastAsia="zh-CN"/>
        </w:rPr>
        <w:t>。</w:t>
      </w:r>
    </w:p>
    <w:p w14:paraId="5173954F">
      <w:pPr>
        <w:pStyle w:val="6"/>
        <w:keepNext w:val="0"/>
        <w:keepLines w:val="0"/>
        <w:pageBreakBefore w:val="0"/>
        <w:widowControl w:val="0"/>
        <w:kinsoku/>
        <w:wordWrap/>
        <w:overflowPunct/>
        <w:topLinePunct w:val="0"/>
        <w:autoSpaceDE/>
        <w:autoSpaceDN/>
        <w:bidi w:val="0"/>
        <w:adjustRightInd/>
        <w:snapToGrid/>
        <w:spacing w:line="577" w:lineRule="exact"/>
        <w:ind w:firstLine="632"/>
        <w:textAlignment w:val="auto"/>
        <w:rPr>
          <w:rFonts w:ascii="黑体" w:hAnsi="Verdana" w:eastAsia="黑体"/>
          <w:color w:val="000000"/>
        </w:rPr>
      </w:pPr>
      <w:r>
        <w:rPr>
          <w:rFonts w:ascii="黑体" w:hAnsi="Verdana" w:eastAsia="黑体"/>
          <w:color w:val="000000"/>
        </w:rPr>
        <w:t>六、有效期限</w:t>
      </w:r>
    </w:p>
    <w:p w14:paraId="0F2AE14D">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ascii="仿宋_GB2312" w:hAnsi="Verdana"/>
          <w:color w:val="000000"/>
        </w:rPr>
      </w:pPr>
      <w:r>
        <w:rPr>
          <w:rFonts w:hint="eastAsia" w:ascii="仿宋_GB2312" w:hAnsi="Verdana"/>
          <w:color w:val="000000"/>
          <w:szCs w:val="32"/>
        </w:rPr>
        <w:t>本布点规划方案自颁布之日起施行，有效期</w:t>
      </w:r>
      <w:r>
        <w:rPr>
          <w:rFonts w:hint="eastAsia" w:ascii="仿宋_GB2312" w:hAnsi="Verdana"/>
          <w:color w:val="000000"/>
          <w:szCs w:val="32"/>
          <w:lang w:val="en-US" w:eastAsia="zh-CN"/>
        </w:rPr>
        <w:t>至2030年9月7日</w:t>
      </w:r>
      <w:r>
        <w:rPr>
          <w:rFonts w:hint="eastAsia" w:ascii="仿宋_GB2312" w:hAnsi="Verdana"/>
          <w:color w:val="000000"/>
          <w:szCs w:val="32"/>
        </w:rPr>
        <w:t>。</w:t>
      </w:r>
    </w:p>
    <w:p w14:paraId="627AAA90">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hint="eastAsia" w:ascii="仿宋_GB2312" w:hAnsi="Verdana"/>
          <w:szCs w:val="32"/>
        </w:rPr>
      </w:pPr>
    </w:p>
    <w:p w14:paraId="76218F6C">
      <w:pPr>
        <w:keepNext w:val="0"/>
        <w:keepLines w:val="0"/>
        <w:pageBreakBefore w:val="0"/>
        <w:widowControl w:val="0"/>
        <w:kinsoku/>
        <w:wordWrap/>
        <w:overflowPunct/>
        <w:topLinePunct w:val="0"/>
        <w:autoSpaceDE/>
        <w:autoSpaceDN/>
        <w:bidi w:val="0"/>
        <w:adjustRightInd/>
        <w:snapToGrid/>
        <w:spacing w:line="577" w:lineRule="exact"/>
        <w:ind w:firstLine="640" w:firstLineChars="200"/>
        <w:textAlignment w:val="auto"/>
        <w:rPr>
          <w:rFonts w:ascii="仿宋_GB2312" w:hAnsi="Verdana"/>
        </w:rPr>
      </w:pPr>
      <w:r>
        <w:rPr>
          <w:rFonts w:hint="eastAsia" w:ascii="仿宋_GB2312" w:hAnsi="Verdana"/>
          <w:szCs w:val="32"/>
        </w:rPr>
        <w:t>附件：</w:t>
      </w:r>
      <w:r>
        <w:rPr>
          <w:rFonts w:hint="eastAsia" w:ascii="仿宋_GB2312" w:hAnsi="宋体"/>
          <w:szCs w:val="32"/>
        </w:rPr>
        <w:t>广州市番禺区烟花爆竹零售经营布点规划表</w:t>
      </w:r>
    </w:p>
    <w:p w14:paraId="236B2827">
      <w:pPr>
        <w:tabs>
          <w:tab w:val="left" w:pos="5056"/>
          <w:tab w:val="left" w:pos="5214"/>
          <w:tab w:val="left" w:pos="7426"/>
          <w:tab w:val="left" w:pos="7584"/>
          <w:tab w:val="left" w:pos="7900"/>
        </w:tabs>
        <w:spacing w:line="560" w:lineRule="exact"/>
        <w:ind w:right="499"/>
        <w:rPr>
          <w:rFonts w:hint="eastAsia" w:ascii="黑体" w:hAnsi="黑体" w:eastAsia="黑体"/>
          <w:szCs w:val="32"/>
        </w:rPr>
      </w:pPr>
      <w:r>
        <w:rPr>
          <w:rFonts w:ascii="黑体" w:hAnsi="黑体" w:eastAsia="黑体"/>
          <w:szCs w:val="32"/>
        </w:rPr>
        <w:br w:type="column"/>
      </w:r>
      <w:r>
        <w:rPr>
          <w:rFonts w:hint="eastAsia" w:ascii="黑体" w:hAnsi="黑体" w:eastAsia="黑体"/>
          <w:szCs w:val="32"/>
        </w:rPr>
        <w:t>附件</w:t>
      </w:r>
    </w:p>
    <w:p w14:paraId="4EF5D4AD">
      <w:pPr>
        <w:tabs>
          <w:tab w:val="left" w:pos="5056"/>
          <w:tab w:val="left" w:pos="5214"/>
          <w:tab w:val="left" w:pos="7426"/>
          <w:tab w:val="left" w:pos="7584"/>
          <w:tab w:val="left" w:pos="7900"/>
        </w:tabs>
        <w:spacing w:line="560" w:lineRule="exact"/>
        <w:ind w:right="499"/>
        <w:rPr>
          <w:rFonts w:hint="eastAsia" w:ascii="黑体" w:hAnsi="黑体" w:eastAsia="黑体"/>
          <w:szCs w:val="32"/>
        </w:rPr>
      </w:pPr>
    </w:p>
    <w:p w14:paraId="752B006E">
      <w:pPr>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广州市番禺区烟花爆竹零售经营布点规划表</w:t>
      </w:r>
    </w:p>
    <w:p w14:paraId="7A84B592">
      <w:pPr>
        <w:pStyle w:val="6"/>
        <w:ind w:firstLine="632"/>
        <w:rPr>
          <w:rFonts w:hint="default"/>
        </w:rPr>
      </w:pPr>
    </w:p>
    <w:tbl>
      <w:tblPr>
        <w:tblStyle w:val="4"/>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1694"/>
        <w:gridCol w:w="3616"/>
        <w:gridCol w:w="2861"/>
      </w:tblGrid>
      <w:tr w14:paraId="5770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025" w:type="dxa"/>
            <w:noWrap w:val="0"/>
            <w:vAlign w:val="center"/>
          </w:tcPr>
          <w:p w14:paraId="57803B30">
            <w:pPr>
              <w:spacing w:line="400" w:lineRule="exact"/>
              <w:jc w:val="center"/>
              <w:rPr>
                <w:rFonts w:ascii="仿宋_GB2312" w:hAnsi="仿宋_GB2312"/>
                <w:sz w:val="24"/>
              </w:rPr>
            </w:pPr>
            <w:r>
              <w:rPr>
                <w:rFonts w:hint="eastAsia" w:ascii="仿宋_GB2312" w:hAnsi="仿宋_GB2312"/>
                <w:sz w:val="24"/>
              </w:rPr>
              <w:t>序号</w:t>
            </w:r>
          </w:p>
        </w:tc>
        <w:tc>
          <w:tcPr>
            <w:tcW w:w="1694" w:type="dxa"/>
            <w:noWrap w:val="0"/>
            <w:vAlign w:val="center"/>
          </w:tcPr>
          <w:p w14:paraId="22904507">
            <w:pPr>
              <w:spacing w:line="400" w:lineRule="exact"/>
              <w:jc w:val="center"/>
              <w:rPr>
                <w:rFonts w:ascii="仿宋_GB2312" w:hAnsi="仿宋_GB2312"/>
                <w:sz w:val="24"/>
              </w:rPr>
            </w:pPr>
            <w:r>
              <w:rPr>
                <w:rFonts w:hint="eastAsia" w:ascii="仿宋_GB2312" w:hAnsi="仿宋_GB2312"/>
                <w:sz w:val="24"/>
              </w:rPr>
              <w:t>镇（街）</w:t>
            </w:r>
          </w:p>
        </w:tc>
        <w:tc>
          <w:tcPr>
            <w:tcW w:w="3616" w:type="dxa"/>
            <w:noWrap w:val="0"/>
            <w:vAlign w:val="center"/>
          </w:tcPr>
          <w:p w14:paraId="636C4752">
            <w:pPr>
              <w:spacing w:line="400" w:lineRule="exact"/>
              <w:jc w:val="center"/>
              <w:rPr>
                <w:rFonts w:ascii="仿宋_GB2312" w:hAnsi="仿宋_GB2312"/>
                <w:sz w:val="24"/>
              </w:rPr>
            </w:pPr>
            <w:r>
              <w:rPr>
                <w:rFonts w:hint="eastAsia" w:ascii="仿宋_GB2312" w:hAnsi="仿宋_GB2312"/>
                <w:sz w:val="24"/>
              </w:rPr>
              <w:t>规划布点数（个）</w:t>
            </w:r>
          </w:p>
        </w:tc>
        <w:tc>
          <w:tcPr>
            <w:tcW w:w="2861" w:type="dxa"/>
            <w:noWrap w:val="0"/>
            <w:vAlign w:val="center"/>
          </w:tcPr>
          <w:p w14:paraId="345B5C5A">
            <w:pPr>
              <w:spacing w:line="400" w:lineRule="exact"/>
              <w:jc w:val="center"/>
              <w:rPr>
                <w:rFonts w:ascii="仿宋_GB2312" w:hAnsi="仿宋_GB2312"/>
                <w:sz w:val="24"/>
              </w:rPr>
            </w:pPr>
            <w:r>
              <w:rPr>
                <w:rFonts w:hint="eastAsia" w:ascii="仿宋_GB2312" w:hAnsi="仿宋_GB2312"/>
                <w:sz w:val="24"/>
              </w:rPr>
              <w:t>经营品种范围</w:t>
            </w:r>
          </w:p>
        </w:tc>
      </w:tr>
      <w:tr w14:paraId="6C79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25" w:type="dxa"/>
            <w:noWrap w:val="0"/>
            <w:vAlign w:val="center"/>
          </w:tcPr>
          <w:p w14:paraId="701A780D">
            <w:pPr>
              <w:spacing w:line="400" w:lineRule="exact"/>
              <w:jc w:val="center"/>
              <w:rPr>
                <w:rFonts w:ascii="仿宋_GB2312" w:hAnsi="仿宋_GB2312"/>
                <w:sz w:val="24"/>
              </w:rPr>
            </w:pPr>
            <w:r>
              <w:rPr>
                <w:rFonts w:hint="eastAsia" w:ascii="仿宋_GB2312" w:hAnsi="仿宋_GB2312"/>
                <w:sz w:val="24"/>
              </w:rPr>
              <w:t>1</w:t>
            </w:r>
          </w:p>
        </w:tc>
        <w:tc>
          <w:tcPr>
            <w:tcW w:w="1694" w:type="dxa"/>
            <w:noWrap w:val="0"/>
            <w:vAlign w:val="center"/>
          </w:tcPr>
          <w:p w14:paraId="5632524B">
            <w:pPr>
              <w:spacing w:line="400" w:lineRule="exact"/>
              <w:jc w:val="center"/>
              <w:rPr>
                <w:rFonts w:ascii="仿宋_GB2312" w:hAnsi="仿宋_GB2312"/>
                <w:sz w:val="24"/>
              </w:rPr>
            </w:pPr>
            <w:r>
              <w:rPr>
                <w:rFonts w:hint="eastAsia" w:ascii="仿宋_GB2312" w:hAnsi="仿宋_GB2312"/>
                <w:sz w:val="24"/>
              </w:rPr>
              <w:t>石楼镇</w:t>
            </w:r>
          </w:p>
        </w:tc>
        <w:tc>
          <w:tcPr>
            <w:tcW w:w="3616" w:type="dxa"/>
            <w:noWrap w:val="0"/>
            <w:vAlign w:val="center"/>
          </w:tcPr>
          <w:p w14:paraId="7FA6EAF3">
            <w:pPr>
              <w:autoSpaceDN w:val="0"/>
              <w:jc w:val="center"/>
              <w:textAlignment w:val="center"/>
              <w:rPr>
                <w:rFonts w:ascii="仿宋_GB2312" w:hAnsi="仿宋_GB2312"/>
                <w:sz w:val="24"/>
              </w:rPr>
            </w:pPr>
            <w:r>
              <w:rPr>
                <w:rFonts w:hint="eastAsia" w:ascii="仿宋_GB2312" w:hAnsi="仿宋_GB2312"/>
                <w:sz w:val="24"/>
              </w:rPr>
              <w:t>10</w:t>
            </w:r>
          </w:p>
        </w:tc>
        <w:tc>
          <w:tcPr>
            <w:tcW w:w="2861" w:type="dxa"/>
            <w:vMerge w:val="restart"/>
            <w:noWrap w:val="0"/>
            <w:vAlign w:val="center"/>
          </w:tcPr>
          <w:p w14:paraId="406A6200">
            <w:pPr>
              <w:autoSpaceDN w:val="0"/>
              <w:jc w:val="left"/>
              <w:textAlignment w:val="center"/>
              <w:rPr>
                <w:rFonts w:ascii="仿宋_GB2312" w:hAnsi="仿宋_GB2312"/>
                <w:sz w:val="24"/>
              </w:rPr>
            </w:pPr>
            <w:r>
              <w:rPr>
                <w:rFonts w:hint="eastAsia" w:ascii="仿宋_GB2312" w:hAnsi="仿宋_GB2312"/>
                <w:sz w:val="24"/>
              </w:rPr>
              <w:t>仅限经营C、D类烟花爆竹，严禁经营A、B类烟花爆竹</w:t>
            </w:r>
          </w:p>
          <w:p w14:paraId="7F291089">
            <w:pPr>
              <w:autoSpaceDN w:val="0"/>
              <w:jc w:val="center"/>
              <w:textAlignment w:val="center"/>
              <w:rPr>
                <w:rFonts w:ascii="仿宋_GB2312" w:hAnsi="仿宋_GB2312"/>
                <w:sz w:val="24"/>
              </w:rPr>
            </w:pPr>
          </w:p>
          <w:p w14:paraId="16D7B86F">
            <w:pPr>
              <w:autoSpaceDN w:val="0"/>
              <w:jc w:val="center"/>
              <w:textAlignment w:val="center"/>
              <w:rPr>
                <w:rFonts w:ascii="仿宋_GB2312" w:hAnsi="仿宋_GB2312"/>
                <w:sz w:val="24"/>
              </w:rPr>
            </w:pPr>
          </w:p>
        </w:tc>
      </w:tr>
      <w:tr w14:paraId="7FFB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25" w:type="dxa"/>
            <w:noWrap w:val="0"/>
            <w:vAlign w:val="center"/>
          </w:tcPr>
          <w:p w14:paraId="56D8658C">
            <w:pPr>
              <w:spacing w:line="400" w:lineRule="exact"/>
              <w:jc w:val="center"/>
              <w:rPr>
                <w:rFonts w:ascii="仿宋_GB2312" w:hAnsi="仿宋_GB2312"/>
                <w:sz w:val="24"/>
              </w:rPr>
            </w:pPr>
            <w:r>
              <w:rPr>
                <w:rFonts w:hint="eastAsia" w:ascii="仿宋_GB2312" w:hAnsi="仿宋_GB2312"/>
                <w:sz w:val="24"/>
              </w:rPr>
              <w:t>2</w:t>
            </w:r>
          </w:p>
        </w:tc>
        <w:tc>
          <w:tcPr>
            <w:tcW w:w="1694" w:type="dxa"/>
            <w:noWrap w:val="0"/>
            <w:vAlign w:val="center"/>
          </w:tcPr>
          <w:p w14:paraId="02E6B387">
            <w:pPr>
              <w:spacing w:line="400" w:lineRule="exact"/>
              <w:jc w:val="center"/>
              <w:rPr>
                <w:rFonts w:ascii="仿宋_GB2312" w:hAnsi="仿宋_GB2312"/>
                <w:sz w:val="24"/>
              </w:rPr>
            </w:pPr>
            <w:r>
              <w:rPr>
                <w:rFonts w:hint="eastAsia" w:ascii="仿宋_GB2312" w:hAnsi="仿宋_GB2312"/>
                <w:sz w:val="24"/>
              </w:rPr>
              <w:t>石</w:t>
            </w:r>
            <w:r>
              <w:rPr>
                <w:rFonts w:hint="eastAsia" w:ascii="宋体" w:hAnsi="宋体" w:eastAsia="宋体" w:cs="宋体"/>
                <w:sz w:val="24"/>
              </w:rPr>
              <w:t>碁</w:t>
            </w:r>
            <w:r>
              <w:rPr>
                <w:rFonts w:hint="eastAsia" w:ascii="仿宋_GB2312" w:hAnsi="仿宋_GB2312" w:cs="仿宋_GB2312"/>
                <w:sz w:val="24"/>
              </w:rPr>
              <w:t>镇</w:t>
            </w:r>
          </w:p>
        </w:tc>
        <w:tc>
          <w:tcPr>
            <w:tcW w:w="3616" w:type="dxa"/>
            <w:noWrap w:val="0"/>
            <w:vAlign w:val="center"/>
          </w:tcPr>
          <w:p w14:paraId="48C941D7">
            <w:pPr>
              <w:autoSpaceDN w:val="0"/>
              <w:jc w:val="center"/>
              <w:textAlignment w:val="center"/>
              <w:rPr>
                <w:rFonts w:ascii="仿宋_GB2312" w:hAnsi="仿宋_GB2312"/>
                <w:sz w:val="24"/>
              </w:rPr>
            </w:pPr>
            <w:r>
              <w:rPr>
                <w:rFonts w:hint="eastAsia" w:ascii="仿宋_GB2312" w:hAnsi="仿宋_GB2312"/>
                <w:sz w:val="24"/>
              </w:rPr>
              <w:t>6</w:t>
            </w:r>
          </w:p>
        </w:tc>
        <w:tc>
          <w:tcPr>
            <w:tcW w:w="2861" w:type="dxa"/>
            <w:vMerge w:val="continue"/>
            <w:noWrap w:val="0"/>
            <w:vAlign w:val="center"/>
          </w:tcPr>
          <w:p w14:paraId="3897ACE4">
            <w:pPr>
              <w:autoSpaceDN w:val="0"/>
              <w:jc w:val="center"/>
              <w:textAlignment w:val="center"/>
              <w:rPr>
                <w:rFonts w:ascii="仿宋_GB2312" w:hAnsi="仿宋_GB2312"/>
                <w:sz w:val="24"/>
              </w:rPr>
            </w:pPr>
          </w:p>
        </w:tc>
      </w:tr>
      <w:tr w14:paraId="53EE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25" w:type="dxa"/>
            <w:noWrap w:val="0"/>
            <w:vAlign w:val="center"/>
          </w:tcPr>
          <w:p w14:paraId="600021BA">
            <w:pPr>
              <w:spacing w:line="400" w:lineRule="exact"/>
              <w:jc w:val="center"/>
              <w:rPr>
                <w:rFonts w:ascii="仿宋_GB2312" w:hAnsi="仿宋_GB2312"/>
                <w:sz w:val="24"/>
              </w:rPr>
            </w:pPr>
            <w:r>
              <w:rPr>
                <w:rFonts w:hint="eastAsia" w:ascii="仿宋_GB2312" w:hAnsi="仿宋_GB2312"/>
                <w:sz w:val="24"/>
              </w:rPr>
              <w:t>3</w:t>
            </w:r>
          </w:p>
        </w:tc>
        <w:tc>
          <w:tcPr>
            <w:tcW w:w="1694" w:type="dxa"/>
            <w:noWrap w:val="0"/>
            <w:vAlign w:val="center"/>
          </w:tcPr>
          <w:p w14:paraId="2D8EB2D4">
            <w:pPr>
              <w:spacing w:line="400" w:lineRule="exact"/>
              <w:jc w:val="center"/>
              <w:rPr>
                <w:rFonts w:ascii="仿宋_GB2312" w:hAnsi="仿宋_GB2312"/>
                <w:sz w:val="24"/>
              </w:rPr>
            </w:pPr>
            <w:r>
              <w:rPr>
                <w:rFonts w:hint="eastAsia" w:ascii="仿宋_GB2312" w:hAnsi="仿宋_GB2312"/>
                <w:sz w:val="24"/>
              </w:rPr>
              <w:t>新造镇</w:t>
            </w:r>
          </w:p>
        </w:tc>
        <w:tc>
          <w:tcPr>
            <w:tcW w:w="3616" w:type="dxa"/>
            <w:noWrap w:val="0"/>
            <w:vAlign w:val="center"/>
          </w:tcPr>
          <w:p w14:paraId="3767E4C1">
            <w:pPr>
              <w:autoSpaceDN w:val="0"/>
              <w:jc w:val="center"/>
              <w:textAlignment w:val="center"/>
              <w:rPr>
                <w:rFonts w:ascii="仿宋_GB2312" w:hAnsi="仿宋_GB2312"/>
                <w:sz w:val="24"/>
              </w:rPr>
            </w:pPr>
            <w:r>
              <w:rPr>
                <w:rFonts w:hint="eastAsia" w:ascii="仿宋_GB2312" w:hAnsi="仿宋_GB2312"/>
                <w:sz w:val="24"/>
              </w:rPr>
              <w:t>4</w:t>
            </w:r>
          </w:p>
        </w:tc>
        <w:tc>
          <w:tcPr>
            <w:tcW w:w="2861" w:type="dxa"/>
            <w:vMerge w:val="continue"/>
            <w:noWrap w:val="0"/>
            <w:vAlign w:val="center"/>
          </w:tcPr>
          <w:p w14:paraId="28A24838">
            <w:pPr>
              <w:autoSpaceDN w:val="0"/>
              <w:jc w:val="center"/>
              <w:textAlignment w:val="center"/>
              <w:rPr>
                <w:rFonts w:ascii="仿宋_GB2312" w:hAnsi="仿宋_GB2312"/>
                <w:sz w:val="24"/>
              </w:rPr>
            </w:pPr>
          </w:p>
        </w:tc>
      </w:tr>
      <w:tr w14:paraId="783A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25" w:type="dxa"/>
            <w:noWrap w:val="0"/>
            <w:vAlign w:val="center"/>
          </w:tcPr>
          <w:p w14:paraId="1422BF37">
            <w:pPr>
              <w:spacing w:line="400" w:lineRule="exact"/>
              <w:jc w:val="center"/>
              <w:rPr>
                <w:rFonts w:ascii="仿宋_GB2312" w:hAnsi="仿宋_GB2312"/>
                <w:sz w:val="24"/>
              </w:rPr>
            </w:pPr>
            <w:r>
              <w:rPr>
                <w:rFonts w:hint="eastAsia" w:ascii="仿宋_GB2312" w:hAnsi="仿宋_GB2312"/>
                <w:sz w:val="24"/>
              </w:rPr>
              <w:t>4</w:t>
            </w:r>
          </w:p>
        </w:tc>
        <w:tc>
          <w:tcPr>
            <w:tcW w:w="1694" w:type="dxa"/>
            <w:noWrap w:val="0"/>
            <w:vAlign w:val="center"/>
          </w:tcPr>
          <w:p w14:paraId="26FB6907">
            <w:pPr>
              <w:spacing w:line="400" w:lineRule="exact"/>
              <w:jc w:val="center"/>
              <w:rPr>
                <w:rFonts w:ascii="仿宋_GB2312" w:hAnsi="仿宋_GB2312"/>
                <w:sz w:val="24"/>
              </w:rPr>
            </w:pPr>
            <w:r>
              <w:rPr>
                <w:rFonts w:hint="eastAsia" w:ascii="仿宋_GB2312" w:hAnsi="仿宋_GB2312"/>
                <w:sz w:val="24"/>
              </w:rPr>
              <w:t>化龙镇</w:t>
            </w:r>
          </w:p>
        </w:tc>
        <w:tc>
          <w:tcPr>
            <w:tcW w:w="3616" w:type="dxa"/>
            <w:noWrap w:val="0"/>
            <w:vAlign w:val="center"/>
          </w:tcPr>
          <w:p w14:paraId="5478FE59">
            <w:pPr>
              <w:autoSpaceDN w:val="0"/>
              <w:jc w:val="center"/>
              <w:textAlignment w:val="center"/>
              <w:rPr>
                <w:rFonts w:ascii="仿宋_GB2312" w:hAnsi="仿宋_GB2312"/>
                <w:sz w:val="24"/>
              </w:rPr>
            </w:pPr>
            <w:r>
              <w:rPr>
                <w:rFonts w:hint="eastAsia" w:ascii="仿宋_GB2312" w:hAnsi="仿宋_GB2312"/>
                <w:sz w:val="24"/>
              </w:rPr>
              <w:t>7</w:t>
            </w:r>
          </w:p>
        </w:tc>
        <w:tc>
          <w:tcPr>
            <w:tcW w:w="2861" w:type="dxa"/>
            <w:vMerge w:val="continue"/>
            <w:noWrap w:val="0"/>
            <w:vAlign w:val="center"/>
          </w:tcPr>
          <w:p w14:paraId="31575C1C">
            <w:pPr>
              <w:autoSpaceDN w:val="0"/>
              <w:jc w:val="center"/>
              <w:textAlignment w:val="center"/>
              <w:rPr>
                <w:rFonts w:ascii="仿宋_GB2312" w:hAnsi="仿宋_GB2312"/>
                <w:sz w:val="24"/>
              </w:rPr>
            </w:pPr>
          </w:p>
        </w:tc>
      </w:tr>
      <w:tr w14:paraId="4248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719" w:type="dxa"/>
            <w:gridSpan w:val="2"/>
            <w:noWrap w:val="0"/>
            <w:vAlign w:val="center"/>
          </w:tcPr>
          <w:p w14:paraId="2782D2E0">
            <w:pPr>
              <w:spacing w:line="400" w:lineRule="exact"/>
              <w:jc w:val="center"/>
              <w:rPr>
                <w:rFonts w:ascii="仿宋_GB2312" w:hAnsi="仿宋_GB2312"/>
                <w:sz w:val="24"/>
              </w:rPr>
            </w:pPr>
            <w:r>
              <w:rPr>
                <w:rFonts w:hint="eastAsia" w:ascii="仿宋_GB2312" w:hAnsi="仿宋_GB2312"/>
                <w:sz w:val="24"/>
              </w:rPr>
              <w:t>合计</w:t>
            </w:r>
          </w:p>
        </w:tc>
        <w:tc>
          <w:tcPr>
            <w:tcW w:w="3616" w:type="dxa"/>
            <w:noWrap w:val="0"/>
            <w:vAlign w:val="center"/>
          </w:tcPr>
          <w:p w14:paraId="1719F729">
            <w:pPr>
              <w:spacing w:line="400" w:lineRule="exact"/>
              <w:jc w:val="center"/>
              <w:rPr>
                <w:rFonts w:ascii="仿宋_GB2312" w:hAnsi="仿宋_GB2312"/>
                <w:sz w:val="24"/>
              </w:rPr>
            </w:pPr>
            <w:r>
              <w:rPr>
                <w:rFonts w:hint="eastAsia" w:ascii="仿宋_GB2312" w:hAnsi="仿宋_GB2312"/>
                <w:sz w:val="24"/>
              </w:rPr>
              <w:t>27</w:t>
            </w:r>
          </w:p>
        </w:tc>
        <w:tc>
          <w:tcPr>
            <w:tcW w:w="2861" w:type="dxa"/>
            <w:vMerge w:val="continue"/>
            <w:noWrap w:val="0"/>
            <w:vAlign w:val="center"/>
          </w:tcPr>
          <w:p w14:paraId="64A38536">
            <w:pPr>
              <w:spacing w:line="400" w:lineRule="exact"/>
              <w:jc w:val="center"/>
              <w:rPr>
                <w:rFonts w:ascii="仿宋_GB2312" w:hAnsi="仿宋_GB2312"/>
                <w:sz w:val="24"/>
              </w:rPr>
            </w:pPr>
          </w:p>
        </w:tc>
      </w:tr>
    </w:tbl>
    <w:p w14:paraId="486BD193">
      <w:pPr>
        <w:spacing w:line="180" w:lineRule="exact"/>
        <w:rPr>
          <w:rFonts w:hint="eastAsia"/>
          <w:w w:val="80"/>
        </w:rPr>
      </w:pPr>
    </w:p>
    <w:p w14:paraId="49663175">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卢婧雅" w:date="2025-09-18T11:36:00Z" w:initials="">
    <w:p w14:paraId="337C02E6">
      <w:pPr>
        <w:pStyle w:val="3"/>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7C02E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卢婧雅">
    <w15:presenceInfo w15:providerId="WPS Office" w15:userId="15477564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F0C7D"/>
    <w:rsid w:val="3B2C4B73"/>
    <w:rsid w:val="58364C1F"/>
    <w:rsid w:val="64DB29DB"/>
    <w:rsid w:val="716F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b/>
      <w:kern w:val="0"/>
      <w:sz w:val="27"/>
      <w:szCs w:val="27"/>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customStyle="1" w:styleId="6">
    <w:name w:val="正文缩进1"/>
    <w:basedOn w:val="1"/>
    <w:qFormat/>
    <w:uiPriority w:val="0"/>
    <w:pPr>
      <w:ind w:firstLine="420" w:firstLineChars="200"/>
    </w:pPr>
    <w:rPr>
      <w:rFonts w:hint="eastAsia" w:ascii="Calibri" w:hAnsi="Calibri" w:cs="仿宋_GB2312"/>
      <w:szCs w:val="3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2214</Words>
  <Characters>2313</Characters>
  <Lines>0</Lines>
  <Paragraphs>0</Paragraphs>
  <TotalTime>0</TotalTime>
  <ScaleCrop>false</ScaleCrop>
  <LinksUpToDate>false</LinksUpToDate>
  <CharactersWithSpaces>2313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2025-12-01T02:00:00Z</dcterms:created>
  <dc:creator>卢婧雅</dc:creator>
  <cp:lastModifiedBy>卢婧雅</cp:lastModifiedBy>
  <cp:lastPrinted>2025-12-01T09:53:54Z</cp:lastPrinted>
  <dcterms:modified xsi:type="dcterms:W3CDTF">2025-12-01T09:54:18Z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9A2C0BA497D848838B7853A7BE68007D_11</vt:lpwstr>
  </property>
  <property fmtid="{D5CDD505-2E9C-101B-9397-08002B2CF9AE}" pid="4" name="KSOTemplateDocerSaveRecord">
    <vt:lpwstr>eyJoZGlkIjoiZjJhN2YzZGYzNGRlMDBlMmQ5OWQ3YTQ3YzNhMGE1NjQiLCJ1c2VySWQiOiIyNzIzNDU4MzAifQ==</vt:lpwstr>
  </property>
</Properties>
</file>