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38A5A4">
      <w:pPr>
        <w:adjustRightInd w:val="0"/>
        <w:snapToGrid w:val="0"/>
        <w:ind w:right="-156" w:hanging="180"/>
        <w:jc w:val="center"/>
        <w:rPr>
          <w:rFonts w:hint="default" w:ascii="Times New Roman" w:hAnsi="Times New Roman" w:eastAsia="公文小标宋简" w:cs="Times New Roman"/>
          <w:b/>
          <w:bCs/>
          <w:smallCaps/>
          <w:snapToGrid w:val="0"/>
          <w:color w:val="auto"/>
          <w:spacing w:val="56"/>
          <w:kern w:val="0"/>
          <w:sz w:val="72"/>
          <w:szCs w:val="72"/>
        </w:rPr>
      </w:pPr>
    </w:p>
    <w:p w14:paraId="0AA29877">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hint="default" w:ascii="Times New Roman" w:hAnsi="Times New Roman" w:cs="Times New Roman"/>
          <w:color w:val="auto"/>
        </w:rPr>
      </w:pPr>
      <w:r>
        <w:rPr>
          <w:rFonts w:hint="default" w:ascii="Times New Roman" w:hAnsi="Times New Roman" w:cs="Times New Roman"/>
          <w:color w:val="auto"/>
        </w:rPr>
        <w:t xml:space="preserve">                                       </w:t>
      </w:r>
      <w:r>
        <w:rPr>
          <w:rFonts w:hint="default" w:ascii="Times New Roman" w:hAnsi="Times New Roman" w:eastAsia="仿宋_GB2312" w:cs="Times New Roman"/>
          <w:color w:val="auto"/>
          <w:sz w:val="32"/>
          <w:szCs w:val="32"/>
        </w:rPr>
        <w:t>穗环管影（番）〔202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147</w:t>
      </w:r>
      <w:bookmarkStart w:id="2" w:name="_GoBack"/>
      <w:bookmarkEnd w:id="2"/>
      <w:r>
        <w:rPr>
          <w:rFonts w:hint="default" w:ascii="Times New Roman" w:hAnsi="Times New Roman" w:eastAsia="仿宋_GB2312" w:cs="Times New Roman"/>
          <w:color w:val="auto"/>
          <w:sz w:val="32"/>
          <w:szCs w:val="32"/>
        </w:rPr>
        <w:t>号</w:t>
      </w:r>
    </w:p>
    <w:p w14:paraId="1978C5CD">
      <w:pPr>
        <w:keepNext w:val="0"/>
        <w:keepLines w:val="0"/>
        <w:pageBreakBefore w:val="0"/>
        <w:kinsoku/>
        <w:overflowPunct/>
        <w:topLinePunct w:val="0"/>
        <w:autoSpaceDE/>
        <w:autoSpaceDN/>
        <w:bidi w:val="0"/>
        <w:spacing w:line="560" w:lineRule="exact"/>
        <w:textAlignment w:val="auto"/>
        <w:rPr>
          <w:rFonts w:hint="default" w:ascii="Times New Roman" w:hAnsi="Times New Roman" w:eastAsia="黑体" w:cs="Times New Roman"/>
          <w:color w:val="auto"/>
        </w:rPr>
      </w:pPr>
    </w:p>
    <w:p w14:paraId="766D922C">
      <w:pPr>
        <w:keepNext w:val="0"/>
        <w:keepLines w:val="0"/>
        <w:pageBreakBefore w:val="0"/>
        <w:kinsoku/>
        <w:overflowPunct/>
        <w:topLinePunct w:val="0"/>
        <w:autoSpaceDE/>
        <w:autoSpaceDN/>
        <w:bidi w:val="0"/>
        <w:adjustRightInd w:val="0"/>
        <w:snapToGrid w:val="0"/>
        <w:spacing w:line="560" w:lineRule="exact"/>
        <w:textAlignment w:val="auto"/>
        <w:rPr>
          <w:rFonts w:hint="default" w:ascii="Times New Roman" w:hAnsi="Times New Roman" w:cs="Times New Roman"/>
          <w:color w:val="auto"/>
        </w:rPr>
      </w:pPr>
    </w:p>
    <w:p w14:paraId="43D38A04">
      <w:pPr>
        <w:spacing w:line="590" w:lineRule="exact"/>
        <w:jc w:val="center"/>
        <w:outlineLvl w:val="0"/>
        <w:rPr>
          <w:rFonts w:hint="default" w:ascii="Times New Roman" w:hAnsi="Times New Roman" w:eastAsia="方正小标宋简体" w:cs="Times New Roman"/>
          <w:b w:val="0"/>
          <w:bCs w:val="0"/>
          <w:sz w:val="44"/>
          <w:szCs w:val="44"/>
          <w:lang w:eastAsia="zh-CN"/>
        </w:rPr>
      </w:pPr>
      <w:r>
        <w:rPr>
          <w:rFonts w:hint="default" w:ascii="Times New Roman" w:hAnsi="Times New Roman" w:eastAsia="方正小标宋简体" w:cs="Times New Roman"/>
          <w:b w:val="0"/>
          <w:bCs w:val="0"/>
          <w:sz w:val="44"/>
          <w:szCs w:val="44"/>
        </w:rPr>
        <w:t>广州市生态环境局关于</w:t>
      </w:r>
      <w:r>
        <w:rPr>
          <w:rFonts w:hint="default" w:ascii="Times New Roman" w:hAnsi="Times New Roman" w:eastAsia="方正小标宋简体" w:cs="Times New Roman"/>
          <w:b w:val="0"/>
          <w:bCs w:val="0"/>
          <w:sz w:val="44"/>
          <w:szCs w:val="44"/>
          <w:lang w:eastAsia="zh-CN"/>
        </w:rPr>
        <w:t>光学薄膜及电子专用</w:t>
      </w:r>
    </w:p>
    <w:p w14:paraId="00E21820">
      <w:pPr>
        <w:keepNext w:val="0"/>
        <w:keepLines w:val="0"/>
        <w:pageBreakBefore w:val="0"/>
        <w:kinsoku/>
        <w:overflowPunct/>
        <w:topLinePunct w:val="0"/>
        <w:autoSpaceDE/>
        <w:autoSpaceDN/>
        <w:bidi w:val="0"/>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b w:val="0"/>
          <w:bCs w:val="0"/>
          <w:sz w:val="44"/>
          <w:szCs w:val="44"/>
          <w:lang w:eastAsia="zh-CN"/>
        </w:rPr>
        <w:t>材料制造项目</w:t>
      </w:r>
      <w:r>
        <w:rPr>
          <w:rFonts w:hint="default" w:ascii="Times New Roman" w:hAnsi="Times New Roman" w:eastAsia="方正小标宋简体" w:cs="Times New Roman"/>
          <w:b w:val="0"/>
          <w:bCs w:val="0"/>
          <w:sz w:val="44"/>
          <w:szCs w:val="44"/>
        </w:rPr>
        <w:t>环境影响</w:t>
      </w:r>
      <w:r>
        <w:rPr>
          <w:rFonts w:hint="default" w:ascii="Times New Roman" w:hAnsi="Times New Roman" w:eastAsia="方正小标宋简体" w:cs="Times New Roman"/>
          <w:b w:val="0"/>
          <w:bCs w:val="0"/>
          <w:sz w:val="44"/>
          <w:szCs w:val="44"/>
          <w:lang w:eastAsia="zh-CN"/>
        </w:rPr>
        <w:t>报告表</w:t>
      </w:r>
      <w:r>
        <w:rPr>
          <w:rFonts w:hint="default" w:ascii="Times New Roman" w:hAnsi="Times New Roman" w:eastAsia="方正小标宋简体" w:cs="Times New Roman"/>
          <w:b w:val="0"/>
          <w:bCs w:val="0"/>
          <w:sz w:val="44"/>
          <w:szCs w:val="44"/>
        </w:rPr>
        <w:t>的批复</w:t>
      </w:r>
    </w:p>
    <w:p w14:paraId="522FEEAE">
      <w:pPr>
        <w:keepNext w:val="0"/>
        <w:keepLines w:val="0"/>
        <w:pageBreakBefore w:val="0"/>
        <w:widowControl w:val="0"/>
        <w:kinsoku/>
        <w:overflowPunct/>
        <w:topLinePunct w:val="0"/>
        <w:autoSpaceDE/>
        <w:autoSpaceDN/>
        <w:bidi w:val="0"/>
        <w:spacing w:line="520" w:lineRule="exact"/>
        <w:textAlignment w:val="auto"/>
        <w:rPr>
          <w:rFonts w:hint="default" w:ascii="Times New Roman" w:hAnsi="Times New Roman" w:eastAsia="仿宋_GB2312" w:cs="Times New Roman"/>
          <w:color w:val="auto"/>
          <w:sz w:val="32"/>
          <w:szCs w:val="32"/>
        </w:rPr>
      </w:pPr>
    </w:p>
    <w:p w14:paraId="762FC833">
      <w:pPr>
        <w:keepNext w:val="0"/>
        <w:keepLines w:val="0"/>
        <w:pageBreakBefore w:val="0"/>
        <w:widowControl w:val="0"/>
        <w:kinsoku/>
        <w:wordWrap/>
        <w:overflowPunct/>
        <w:topLinePunct w:val="0"/>
        <w:bidi w:val="0"/>
        <w:snapToGrid w:val="0"/>
        <w:spacing w:line="520" w:lineRule="exact"/>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sz w:val="32"/>
          <w:szCs w:val="32"/>
          <w:lang w:eastAsia="zh-CN"/>
        </w:rPr>
        <w:t>广州市利辉电子有限公司（91440</w:t>
      </w:r>
      <w:r>
        <w:rPr>
          <w:rFonts w:hint="default" w:ascii="Times New Roman" w:hAnsi="Times New Roman" w:eastAsia="仿宋_GB2312" w:cs="Times New Roman"/>
          <w:b w:val="0"/>
          <w:bCs w:val="0"/>
          <w:sz w:val="32"/>
          <w:szCs w:val="32"/>
          <w:lang w:val="en-US" w:eastAsia="zh-CN"/>
        </w:rPr>
        <w:t>113664005138X</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color w:val="auto"/>
          <w:sz w:val="32"/>
          <w:szCs w:val="32"/>
        </w:rPr>
        <w:t>：</w:t>
      </w:r>
    </w:p>
    <w:p w14:paraId="0C3D063E">
      <w:pPr>
        <w:keepNext w:val="0"/>
        <w:keepLines w:val="0"/>
        <w:pageBreakBefore w:val="0"/>
        <w:widowControl w:val="0"/>
        <w:kinsoku/>
        <w:wordWrap/>
        <w:overflowPunct/>
        <w:topLinePunct w:val="0"/>
        <w:bidi w:val="0"/>
        <w:spacing w:line="52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你公司报批的《</w:t>
      </w:r>
      <w:r>
        <w:rPr>
          <w:rFonts w:hint="default" w:ascii="Times New Roman" w:hAnsi="Times New Roman" w:eastAsia="仿宋_GB2312" w:cs="Times New Roman"/>
          <w:b w:val="0"/>
          <w:bCs w:val="0"/>
          <w:sz w:val="32"/>
          <w:szCs w:val="32"/>
          <w:lang w:eastAsia="zh-CN"/>
        </w:rPr>
        <w:t>光学薄膜及电子专用材料制造项目</w:t>
      </w:r>
      <w:r>
        <w:rPr>
          <w:rFonts w:hint="default" w:ascii="Times New Roman" w:hAnsi="Times New Roman" w:eastAsia="仿宋_GB2312" w:cs="Times New Roman"/>
          <w:b w:val="0"/>
          <w:bCs w:val="0"/>
          <w:sz w:val="32"/>
          <w:szCs w:val="32"/>
        </w:rPr>
        <w:t>环境影响</w:t>
      </w:r>
      <w:r>
        <w:rPr>
          <w:rFonts w:hint="default" w:ascii="Times New Roman" w:hAnsi="Times New Roman"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》（以下简称《</w:t>
      </w:r>
      <w:r>
        <w:rPr>
          <w:rFonts w:hint="default" w:ascii="Times New Roman" w:hAnsi="Times New Roman"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》）及相关资料收悉。经研究，批复如下：</w:t>
      </w:r>
    </w:p>
    <w:p w14:paraId="0BE8B979">
      <w:pPr>
        <w:keepNext w:val="0"/>
        <w:keepLines w:val="0"/>
        <w:pageBreakBefore w:val="0"/>
        <w:widowControl w:val="0"/>
        <w:kinsoku/>
        <w:wordWrap/>
        <w:overflowPunct/>
        <w:topLinePunct w:val="0"/>
        <w:bidi w:val="0"/>
        <w:spacing w:line="520" w:lineRule="exact"/>
        <w:ind w:firstLine="640" w:firstLineChars="200"/>
        <w:textAlignment w:val="auto"/>
        <w:rPr>
          <w:rFonts w:hint="default" w:ascii="Times New Roman" w:hAnsi="Times New Roman" w:eastAsia="仿宋_GB2312" w:cs="Times New Roman"/>
          <w:b w:val="0"/>
          <w:bCs w:val="0"/>
          <w:color w:val="FF0000"/>
          <w:kern w:val="0"/>
          <w:sz w:val="32"/>
          <w:szCs w:val="32"/>
          <w:lang w:eastAsia="zh-CN"/>
        </w:rPr>
      </w:pPr>
      <w:r>
        <w:rPr>
          <w:rFonts w:hint="default" w:ascii="Times New Roman" w:hAnsi="Times New Roman" w:eastAsia="仿宋_GB2312" w:cs="Times New Roman"/>
          <w:b w:val="0"/>
          <w:bCs w:val="0"/>
          <w:sz w:val="32"/>
          <w:szCs w:val="32"/>
        </w:rPr>
        <w:t>一、</w:t>
      </w:r>
      <w:r>
        <w:rPr>
          <w:rFonts w:hint="default" w:ascii="Times New Roman" w:hAnsi="Times New Roman" w:eastAsia="仿宋_GB2312" w:cs="Times New Roman"/>
          <w:b w:val="0"/>
          <w:bCs w:val="0"/>
          <w:sz w:val="32"/>
          <w:szCs w:val="32"/>
          <w:lang w:eastAsia="zh-CN"/>
        </w:rPr>
        <w:t>光学薄膜及电子专用材料制造项目</w:t>
      </w:r>
      <w:r>
        <w:rPr>
          <w:rFonts w:hint="default" w:ascii="Times New Roman" w:hAnsi="Times New Roman" w:eastAsia="仿宋_GB2312" w:cs="Times New Roman"/>
          <w:b w:val="0"/>
          <w:bCs w:val="0"/>
          <w:sz w:val="32"/>
          <w:szCs w:val="32"/>
        </w:rPr>
        <w:t>位于</w:t>
      </w:r>
      <w:r>
        <w:rPr>
          <w:rFonts w:hint="default" w:ascii="Times New Roman" w:hAnsi="Times New Roman" w:eastAsia="仿宋_GB2312" w:cs="Times New Roman"/>
          <w:b w:val="0"/>
          <w:bCs w:val="0"/>
          <w:sz w:val="32"/>
          <w:szCs w:val="32"/>
          <w:lang w:val="en-US" w:eastAsia="zh-CN"/>
        </w:rPr>
        <w:t>广州市番禺区石基镇亚运大道南侧939-02地块</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拟建设一栋八层1号厂房、一栋七层2号厂房和一栋十三层3号办公楼，总占地面积22000平方米，总建筑面积54300平方米；主要从事扩散板/发泡板、光学薄膜、电子辅料的生产，年产扩散板/发泡板10000吨、光学薄膜24</w:t>
      </w:r>
      <w:r>
        <w:rPr>
          <w:rFonts w:hint="eastAsia" w:ascii="Times New Roman" w:hAnsi="Times New Roman" w:eastAsia="仿宋_GB2312" w:cs="Times New Roman"/>
          <w:b w:val="0"/>
          <w:bCs w:val="0"/>
          <w:sz w:val="32"/>
          <w:szCs w:val="32"/>
          <w:lang w:val="en-US" w:eastAsia="zh-CN"/>
        </w:rPr>
        <w:t>0</w:t>
      </w:r>
      <w:r>
        <w:rPr>
          <w:rFonts w:hint="default" w:ascii="Times New Roman" w:hAnsi="Times New Roman" w:eastAsia="仿宋_GB2312" w:cs="Times New Roman"/>
          <w:b w:val="0"/>
          <w:bCs w:val="0"/>
          <w:sz w:val="32"/>
          <w:szCs w:val="32"/>
          <w:lang w:val="en-US" w:eastAsia="zh-CN"/>
        </w:rPr>
        <w:t>0万平方米（8400吨）、油墨丝印薄膜40万平方米、电子辅料80万平方米（500吨）；</w:t>
      </w:r>
      <w:r>
        <w:rPr>
          <w:rFonts w:hint="default" w:ascii="Times New Roman" w:hAnsi="Times New Roman" w:eastAsia="仿宋_GB2312" w:cs="Times New Roman"/>
          <w:b w:val="0"/>
          <w:bCs w:val="0"/>
          <w:sz w:val="32"/>
          <w:szCs w:val="32"/>
        </w:rPr>
        <w:t>主要设</w:t>
      </w:r>
      <w:r>
        <w:rPr>
          <w:rFonts w:hint="default" w:ascii="Times New Roman" w:hAnsi="Times New Roman" w:eastAsia="仿宋_GB2312" w:cs="Times New Roman"/>
          <w:b w:val="0"/>
          <w:bCs w:val="0"/>
          <w:sz w:val="32"/>
          <w:szCs w:val="32"/>
          <w:lang w:val="en-US" w:eastAsia="zh-CN"/>
        </w:rPr>
        <w:t>备有塑胶板材生产线4条、挤塑机4台、压光机2台、GPPS片材生产线2条、GPPS发泡板材生产线2条、塑料片板材挤出生产线2条、板材粉碎机1台、丝印</w:t>
      </w:r>
      <w:r>
        <w:rPr>
          <w:rFonts w:hint="eastAsia" w:ascii="Times New Roman" w:hAnsi="Times New Roman" w:eastAsia="仿宋_GB2312" w:cs="Times New Roman"/>
          <w:b w:val="0"/>
          <w:bCs w:val="0"/>
          <w:sz w:val="32"/>
          <w:szCs w:val="32"/>
          <w:lang w:val="en-US" w:eastAsia="zh-CN"/>
        </w:rPr>
        <w:t>机6</w:t>
      </w:r>
      <w:r>
        <w:rPr>
          <w:rFonts w:hint="default" w:ascii="Times New Roman" w:hAnsi="Times New Roman" w:eastAsia="仿宋_GB2312" w:cs="Times New Roman"/>
          <w:b w:val="0"/>
          <w:bCs w:val="0"/>
          <w:sz w:val="32"/>
          <w:szCs w:val="32"/>
          <w:lang w:val="en-US" w:eastAsia="zh-CN"/>
        </w:rPr>
        <w:t>台、UV炉5台、抖料机2台、冷却塔3台及裁切设备、实验检验设备、清洁设备、膜片设备一批等；</w:t>
      </w:r>
      <w:r>
        <w:rPr>
          <w:rFonts w:hint="default" w:ascii="Times New Roman" w:hAnsi="Times New Roman" w:eastAsia="仿宋_GB2312" w:cs="Times New Roman"/>
          <w:b w:val="0"/>
          <w:bCs w:val="0"/>
          <w:sz w:val="32"/>
          <w:szCs w:val="32"/>
        </w:rPr>
        <w:t>员工</w:t>
      </w:r>
      <w:r>
        <w:rPr>
          <w:rFonts w:hint="default" w:ascii="Times New Roman" w:hAnsi="Times New Roman" w:eastAsia="仿宋_GB2312" w:cs="Times New Roman"/>
          <w:b w:val="0"/>
          <w:bCs w:val="0"/>
          <w:sz w:val="32"/>
          <w:szCs w:val="32"/>
          <w:lang w:val="en-US" w:eastAsia="zh-CN"/>
        </w:rPr>
        <w:t>45</w:t>
      </w:r>
      <w:r>
        <w:rPr>
          <w:rFonts w:hint="default" w:ascii="Times New Roman" w:hAnsi="Times New Roman" w:eastAsia="仿宋_GB2312" w:cs="Times New Roman"/>
          <w:b w:val="0"/>
          <w:bCs w:val="0"/>
          <w:sz w:val="32"/>
          <w:szCs w:val="32"/>
        </w:rPr>
        <w:t>0名，内部安排食宿。该项目不使用再生塑料</w:t>
      </w:r>
      <w:r>
        <w:rPr>
          <w:rFonts w:hint="eastAsia" w:ascii="Times New Roman" w:hAnsi="Times New Roman" w:eastAsia="仿宋_GB2312" w:cs="Times New Roman"/>
          <w:b w:val="0"/>
          <w:bCs w:val="0"/>
          <w:sz w:val="32"/>
          <w:szCs w:val="32"/>
          <w:lang w:val="en-US" w:eastAsia="zh-CN"/>
        </w:rPr>
        <w:t>作为原料</w:t>
      </w:r>
      <w:r>
        <w:rPr>
          <w:rFonts w:hint="default" w:ascii="Times New Roman" w:hAnsi="Times New Roman" w:eastAsia="仿宋_GB2312" w:cs="Times New Roman"/>
          <w:b w:val="0"/>
          <w:bCs w:val="0"/>
          <w:sz w:val="32"/>
          <w:szCs w:val="32"/>
        </w:rPr>
        <w:t>。</w:t>
      </w:r>
    </w:p>
    <w:p w14:paraId="794B8DB1">
      <w:pPr>
        <w:keepNext w:val="0"/>
        <w:keepLines w:val="0"/>
        <w:pageBreakBefore w:val="0"/>
        <w:widowControl w:val="0"/>
        <w:kinsoku/>
        <w:wordWrap/>
        <w:overflowPunct/>
        <w:topLinePunct w:val="0"/>
        <w:bidi w:val="0"/>
        <w:snapToGrid w:val="0"/>
        <w:spacing w:line="52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》评价结论认为，在全面落实《</w:t>
      </w:r>
      <w:r>
        <w:rPr>
          <w:rFonts w:hint="default" w:ascii="Times New Roman" w:hAnsi="Times New Roman"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环境保护措施和环境风险防范措施的前提下，该项目建设和运行过程中产生的不良环境影响能够得到有效控制，从环境保护角度，项目建设可行。经审查，我局同意《</w:t>
      </w:r>
      <w:r>
        <w:rPr>
          <w:rFonts w:hint="default" w:ascii="Times New Roman" w:hAnsi="Times New Roman"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》的评价结论。</w:t>
      </w:r>
    </w:p>
    <w:p w14:paraId="5825DE7B">
      <w:pPr>
        <w:keepNext w:val="0"/>
        <w:keepLines w:val="0"/>
        <w:pageBreakBefore w:val="0"/>
        <w:widowControl w:val="0"/>
        <w:kinsoku/>
        <w:wordWrap/>
        <w:overflowPunct/>
        <w:topLinePunct w:val="0"/>
        <w:bidi w:val="0"/>
        <w:spacing w:line="52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w:t>
      </w:r>
      <w:r>
        <w:rPr>
          <w:rFonts w:hint="default" w:ascii="Times New Roman" w:hAnsi="Times New Roman"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》提出的各项环境保护对策措施，重点做好以下工作：</w:t>
      </w:r>
    </w:p>
    <w:p w14:paraId="17A95713">
      <w:pPr>
        <w:keepNext w:val="0"/>
        <w:keepLines w:val="0"/>
        <w:pageBreakBefore w:val="0"/>
        <w:widowControl w:val="0"/>
        <w:kinsoku/>
        <w:wordWrap w:val="0"/>
        <w:overflowPunct/>
        <w:topLinePunct w:val="0"/>
        <w:autoSpaceDE/>
        <w:autoSpaceDN/>
        <w:bidi w:val="0"/>
        <w:adjustRightInd/>
        <w:snapToGrid w:val="0"/>
        <w:spacing w:beforeLines="0" w:afterLines="0" w:line="520" w:lineRule="exact"/>
        <w:ind w:firstLine="640" w:firstLineChars="200"/>
        <w:textAlignment w:val="auto"/>
        <w:outlineLvl w:val="9"/>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（一）</w:t>
      </w:r>
      <w:r>
        <w:rPr>
          <w:rFonts w:hint="default" w:ascii="Times New Roman" w:hAnsi="Times New Roman" w:eastAsia="仿宋_GB2312" w:cs="Times New Roman"/>
          <w:b w:val="0"/>
          <w:bCs w:val="0"/>
          <w:color w:val="auto"/>
          <w:sz w:val="32"/>
          <w:szCs w:val="32"/>
          <w:lang w:val="en-US" w:eastAsia="zh-CN"/>
        </w:rPr>
        <w:t>有机废气有组织</w:t>
      </w:r>
      <w:r>
        <w:rPr>
          <w:rFonts w:hint="default" w:ascii="Times New Roman" w:hAnsi="Times New Roman" w:eastAsia="仿宋_GB2312" w:cs="Times New Roman"/>
          <w:b w:val="0"/>
          <w:bCs w:val="0"/>
          <w:sz w:val="32"/>
          <w:szCs w:val="32"/>
        </w:rPr>
        <w:t>排放执行《合成树脂工业污染物排放标准》（GB31572-2015）及2024年修改单表5大气污染物特别排放限值</w:t>
      </w:r>
      <w:r>
        <w:rPr>
          <w:rFonts w:hint="default" w:ascii="Times New Roman" w:hAnsi="Times New Roman" w:eastAsia="仿宋_GB2312" w:cs="Times New Roman"/>
          <w:b w:val="0"/>
          <w:bCs w:val="0"/>
          <w:sz w:val="32"/>
          <w:szCs w:val="32"/>
          <w:lang w:val="en-US" w:eastAsia="zh-CN"/>
        </w:rPr>
        <w:t>、《印刷工业大气污染物排放标准》（GB41616-2022）表1大气污染物排放限值、《</w:t>
      </w:r>
      <w:r>
        <w:rPr>
          <w:rFonts w:hint="default" w:ascii="Times New Roman" w:hAnsi="Times New Roman" w:eastAsia="仿宋_GB2312" w:cs="Times New Roman"/>
          <w:color w:val="000000"/>
          <w:kern w:val="2"/>
          <w:sz w:val="32"/>
          <w:szCs w:val="32"/>
          <w:lang w:val="en-US" w:eastAsia="zh-CN" w:bidi="ar"/>
        </w:rPr>
        <w:t>印刷行业挥发性有机化合物排放标准》（DB44/815-2010）表2中凹版印刷、凸版印刷、丝网印刷、平版印刷（以金属、陶瓷、玻璃为承印物的平版印刷）第Ⅱ时段排放限值的较严值</w:t>
      </w:r>
      <w:r>
        <w:rPr>
          <w:rFonts w:hint="default" w:ascii="Times New Roman" w:hAnsi="Times New Roman" w:eastAsia="仿宋_GB2312" w:cs="Times New Roman"/>
          <w:b w:val="0"/>
          <w:bCs w:val="0"/>
          <w:color w:val="auto"/>
          <w:sz w:val="32"/>
          <w:szCs w:val="32"/>
        </w:rPr>
        <w:t>；油烟</w:t>
      </w:r>
      <w:r>
        <w:rPr>
          <w:rFonts w:hint="default" w:ascii="Times New Roman" w:hAnsi="Times New Roman" w:eastAsia="仿宋_GB2312" w:cs="Times New Roman"/>
          <w:b w:val="0"/>
          <w:bCs w:val="0"/>
          <w:color w:val="auto"/>
          <w:sz w:val="32"/>
          <w:szCs w:val="32"/>
          <w:lang w:val="en-US" w:eastAsia="zh-CN"/>
        </w:rPr>
        <w:t>有组织</w:t>
      </w:r>
      <w:r>
        <w:rPr>
          <w:rFonts w:hint="default" w:ascii="Times New Roman" w:hAnsi="Times New Roman" w:eastAsia="仿宋_GB2312" w:cs="Times New Roman"/>
          <w:b w:val="0"/>
          <w:bCs w:val="0"/>
          <w:color w:val="auto"/>
          <w:sz w:val="32"/>
          <w:szCs w:val="32"/>
        </w:rPr>
        <w:t>排放执行《饮食业油烟排放标准（试行）》（GB18483-2001）中型规模标准</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备用柴油发电机燃烧尾气</w:t>
      </w:r>
      <w:r>
        <w:rPr>
          <w:rFonts w:hint="default" w:ascii="Times New Roman" w:hAnsi="Times New Roman" w:eastAsia="仿宋_GB2312" w:cs="Times New Roman"/>
          <w:b w:val="0"/>
          <w:bCs w:val="0"/>
          <w:color w:val="auto"/>
          <w:sz w:val="32"/>
          <w:szCs w:val="32"/>
          <w:lang w:val="en-US" w:eastAsia="zh-CN"/>
        </w:rPr>
        <w:t>有组织</w:t>
      </w:r>
      <w:r>
        <w:rPr>
          <w:rFonts w:hint="eastAsia" w:ascii="Times New Roman" w:hAnsi="Times New Roman" w:eastAsia="仿宋_GB2312" w:cs="Times New Roman"/>
          <w:b w:val="0"/>
          <w:bCs w:val="0"/>
          <w:color w:val="auto"/>
          <w:sz w:val="32"/>
          <w:szCs w:val="32"/>
          <w:lang w:val="en-US" w:eastAsia="zh-CN"/>
        </w:rPr>
        <w:t>排放</w:t>
      </w:r>
      <w:r>
        <w:rPr>
          <w:rFonts w:hint="default" w:ascii="Times New Roman" w:hAnsi="Times New Roman" w:eastAsia="仿宋_GB2312" w:cs="Times New Roman"/>
          <w:b w:val="0"/>
          <w:bCs w:val="0"/>
          <w:color w:val="auto"/>
          <w:sz w:val="32"/>
          <w:szCs w:val="32"/>
        </w:rPr>
        <w:t>执行广东省《大气污染物排放限值》（DB44/27-2001）第二时段二级标准</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臭气浓度和苯乙烯有组织排放执行《恶臭污染物排放标准》（GB 14554-93）表2恶臭污染物排放标准值。</w:t>
      </w:r>
      <w:r>
        <w:rPr>
          <w:rFonts w:hint="default" w:ascii="Times New Roman" w:hAnsi="Times New Roman" w:eastAsia="仿宋_GB2312" w:cs="Times New Roman"/>
          <w:b w:val="0"/>
          <w:bCs w:val="0"/>
          <w:color w:val="auto"/>
          <w:sz w:val="32"/>
          <w:szCs w:val="32"/>
          <w:lang w:val="en-US" w:eastAsia="zh-CN"/>
        </w:rPr>
        <w:t>VOCs无组织排放执行《印刷行业挥发性有机化合物排放标准》（DB44/815-2010）表3无组织排放监控点浓度限值；颗粒物无组织排放执行广东省《大气污染物排放限值》（DB44/27-2001）第二时段无组织</w:t>
      </w:r>
      <w:r>
        <w:rPr>
          <w:rFonts w:hint="eastAsia" w:ascii="Times New Roman" w:hAnsi="Times New Roman" w:eastAsia="仿宋_GB2312" w:cs="Times New Roman"/>
          <w:b w:val="0"/>
          <w:bCs w:val="0"/>
          <w:color w:val="auto"/>
          <w:sz w:val="32"/>
          <w:szCs w:val="32"/>
          <w:lang w:val="en-US" w:eastAsia="zh-CN"/>
        </w:rPr>
        <w:t>排放</w:t>
      </w:r>
      <w:r>
        <w:rPr>
          <w:rFonts w:hint="default" w:ascii="Times New Roman" w:hAnsi="Times New Roman" w:eastAsia="仿宋_GB2312" w:cs="Times New Roman"/>
          <w:b w:val="0"/>
          <w:bCs w:val="0"/>
          <w:color w:val="auto"/>
          <w:sz w:val="32"/>
          <w:szCs w:val="32"/>
          <w:lang w:val="en-US" w:eastAsia="zh-CN"/>
        </w:rPr>
        <w:t>监控浓度限值；</w:t>
      </w:r>
      <w:r>
        <w:rPr>
          <w:rFonts w:hint="default" w:ascii="Times New Roman" w:hAnsi="Times New Roman" w:eastAsia="仿宋_GB2312" w:cs="Times New Roman"/>
          <w:b w:val="0"/>
          <w:bCs w:val="0"/>
          <w:color w:val="auto"/>
          <w:sz w:val="32"/>
          <w:szCs w:val="32"/>
        </w:rPr>
        <w:t>臭气浓度</w:t>
      </w:r>
      <w:r>
        <w:rPr>
          <w:rFonts w:hint="default" w:ascii="Times New Roman" w:hAnsi="Times New Roman" w:eastAsia="仿宋_GB2312" w:cs="Times New Roman"/>
          <w:b w:val="0"/>
          <w:bCs w:val="0"/>
          <w:color w:val="auto"/>
          <w:sz w:val="32"/>
          <w:szCs w:val="32"/>
          <w:lang w:val="en-US" w:eastAsia="zh-CN"/>
        </w:rPr>
        <w:t>和苯乙烯</w:t>
      </w:r>
      <w:r>
        <w:rPr>
          <w:rFonts w:hint="eastAsia" w:ascii="Times New Roman" w:hAnsi="Times New Roman" w:eastAsia="仿宋_GB2312" w:cs="Times New Roman"/>
          <w:b w:val="0"/>
          <w:bCs w:val="0"/>
          <w:color w:val="auto"/>
          <w:sz w:val="32"/>
          <w:szCs w:val="32"/>
          <w:lang w:val="en-US" w:eastAsia="zh-CN"/>
        </w:rPr>
        <w:t>无组织</w:t>
      </w:r>
      <w:r>
        <w:rPr>
          <w:rFonts w:hint="default" w:ascii="Times New Roman" w:hAnsi="Times New Roman" w:eastAsia="仿宋_GB2312" w:cs="Times New Roman"/>
          <w:b w:val="0"/>
          <w:bCs w:val="0"/>
          <w:color w:val="auto"/>
          <w:sz w:val="32"/>
          <w:szCs w:val="32"/>
        </w:rPr>
        <w:t>排放执行《恶臭污染物排放标准》（GB14554-93）</w:t>
      </w:r>
      <w:r>
        <w:rPr>
          <w:rFonts w:hint="default" w:ascii="Times New Roman" w:hAnsi="Times New Roman" w:eastAsia="仿宋_GB2312" w:cs="Times New Roman"/>
          <w:b w:val="0"/>
          <w:bCs w:val="0"/>
          <w:color w:val="auto"/>
          <w:sz w:val="32"/>
          <w:szCs w:val="32"/>
          <w:lang w:val="en-US" w:eastAsia="zh-CN"/>
        </w:rPr>
        <w:t>表1恶臭污染物厂界标准值二级新扩改建及</w:t>
      </w:r>
      <w:r>
        <w:rPr>
          <w:rFonts w:hint="default" w:ascii="Times New Roman" w:hAnsi="Times New Roman" w:eastAsia="仿宋_GB2312" w:cs="Times New Roman"/>
          <w:b w:val="0"/>
          <w:bCs w:val="0"/>
          <w:color w:val="auto"/>
          <w:sz w:val="32"/>
          <w:szCs w:val="32"/>
        </w:rPr>
        <w:t>表2排放标准值；厂区内非甲烷总烃排放执行广东省《固定污染源挥发性有机物综合排放标准》（DB44/2367-2022）表3厂区内VOCs无组织排放限值。</w:t>
      </w:r>
    </w:p>
    <w:p w14:paraId="62CC9CD4">
      <w:pPr>
        <w:keepNext w:val="0"/>
        <w:keepLines w:val="0"/>
        <w:pageBreakBefore w:val="0"/>
        <w:widowControl w:val="0"/>
        <w:kinsoku/>
        <w:wordWrap w:val="0"/>
        <w:overflowPunct/>
        <w:topLinePunct w:val="0"/>
        <w:autoSpaceDE/>
        <w:autoSpaceDN/>
        <w:bidi w:val="0"/>
        <w:adjustRightInd/>
        <w:snapToGrid w:val="0"/>
        <w:spacing w:beforeLines="0" w:afterLines="0" w:line="520" w:lineRule="exact"/>
        <w:ind w:firstLine="640" w:firstLineChars="200"/>
        <w:textAlignment w:val="auto"/>
        <w:outlineLvl w:val="9"/>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按照《固定污染源挥发性有机物综合排放标准》（DB44/2367-2022）的无组织排放控制要求落实相关措施。</w:t>
      </w:r>
      <w:r>
        <w:rPr>
          <w:rFonts w:hint="default" w:ascii="Times New Roman" w:hAnsi="Times New Roman" w:eastAsia="仿宋_GB2312" w:cs="Times New Roman"/>
          <w:b w:val="0"/>
          <w:bCs w:val="0"/>
          <w:color w:val="auto"/>
          <w:sz w:val="32"/>
          <w:szCs w:val="32"/>
          <w:lang w:val="en-US" w:eastAsia="zh-CN"/>
        </w:rPr>
        <w:t>裁切粉尘经密闭箱体内的集气口收集后进入脉冲布袋除尘装置处理后无组织排放。有机</w:t>
      </w:r>
      <w:r>
        <w:rPr>
          <w:rFonts w:hint="default" w:ascii="Times New Roman" w:hAnsi="Times New Roman" w:eastAsia="仿宋_GB2312" w:cs="Times New Roman"/>
          <w:b w:val="0"/>
          <w:bCs w:val="0"/>
          <w:color w:val="auto"/>
          <w:sz w:val="32"/>
          <w:szCs w:val="32"/>
        </w:rPr>
        <w:t>废气</w:t>
      </w:r>
      <w:r>
        <w:rPr>
          <w:rFonts w:hint="default" w:ascii="Times New Roman" w:hAnsi="Times New Roman" w:eastAsia="仿宋_GB2312" w:cs="Times New Roman"/>
          <w:b w:val="0"/>
          <w:bCs w:val="0"/>
          <w:color w:val="auto"/>
          <w:sz w:val="32"/>
          <w:szCs w:val="32"/>
          <w:lang w:val="en-US" w:eastAsia="zh-CN"/>
        </w:rPr>
        <w:t>通过车间负压密闭</w:t>
      </w:r>
      <w:r>
        <w:rPr>
          <w:rFonts w:hint="default" w:ascii="Times New Roman" w:hAnsi="Times New Roman" w:eastAsia="仿宋_GB2312" w:cs="Times New Roman"/>
          <w:b w:val="0"/>
          <w:bCs w:val="0"/>
          <w:color w:val="auto"/>
          <w:sz w:val="32"/>
          <w:szCs w:val="32"/>
        </w:rPr>
        <w:t>收集至</w:t>
      </w:r>
      <w:r>
        <w:rPr>
          <w:rFonts w:hint="default" w:ascii="Times New Roman" w:hAnsi="Times New Roman" w:eastAsia="仿宋_GB2312" w:cs="Times New Roman"/>
          <w:b w:val="0"/>
          <w:bCs w:val="0"/>
          <w:color w:val="auto"/>
          <w:sz w:val="32"/>
          <w:szCs w:val="32"/>
          <w:lang w:val="en-US" w:eastAsia="zh-CN"/>
        </w:rPr>
        <w:t>三</w:t>
      </w:r>
      <w:r>
        <w:rPr>
          <w:rFonts w:hint="default" w:ascii="Times New Roman" w:hAnsi="Times New Roman" w:eastAsia="仿宋_GB2312" w:cs="Times New Roman"/>
          <w:b w:val="0"/>
          <w:bCs w:val="0"/>
          <w:color w:val="auto"/>
          <w:sz w:val="32"/>
          <w:szCs w:val="32"/>
        </w:rPr>
        <w:t>级活性炭吸附装置处理</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备用柴油发电机运行产生的燃烧尾气经水喷淋处理；油烟废气经静电式油烟净化器处理；废气处理达标后分别</w:t>
      </w:r>
      <w:r>
        <w:rPr>
          <w:rFonts w:hint="default" w:ascii="Times New Roman" w:hAnsi="Times New Roman" w:eastAsia="仿宋_GB2312" w:cs="Times New Roman"/>
          <w:b w:val="0"/>
          <w:bCs w:val="0"/>
          <w:color w:val="auto"/>
          <w:sz w:val="32"/>
          <w:szCs w:val="32"/>
        </w:rPr>
        <w:t>通过专用管道引至</w:t>
      </w:r>
      <w:r>
        <w:rPr>
          <w:rFonts w:hint="default" w:ascii="Times New Roman" w:hAnsi="Times New Roman" w:eastAsia="仿宋_GB2312" w:cs="Times New Roman"/>
          <w:b w:val="0"/>
          <w:bCs w:val="0"/>
          <w:color w:val="auto"/>
          <w:sz w:val="32"/>
          <w:szCs w:val="32"/>
          <w:lang w:val="en-US" w:eastAsia="zh-CN"/>
        </w:rPr>
        <w:t>楼顶</w:t>
      </w:r>
      <w:r>
        <w:rPr>
          <w:rFonts w:hint="default" w:ascii="Times New Roman" w:hAnsi="Times New Roman" w:eastAsia="仿宋_GB2312" w:cs="Times New Roman"/>
          <w:b w:val="0"/>
          <w:bCs w:val="0"/>
          <w:color w:val="auto"/>
          <w:sz w:val="32"/>
          <w:szCs w:val="32"/>
        </w:rPr>
        <w:t>高空排放</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项目设置废气排放口</w:t>
      </w: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rPr>
        <w:t>个。</w:t>
      </w:r>
    </w:p>
    <w:p w14:paraId="675E8D7F">
      <w:pPr>
        <w:keepNext w:val="0"/>
        <w:keepLines w:val="0"/>
        <w:pageBreakBefore w:val="0"/>
        <w:widowControl w:val="0"/>
        <w:kinsoku/>
        <w:wordWrap w:val="0"/>
        <w:overflowPunct/>
        <w:topLinePunct w:val="0"/>
        <w:autoSpaceDE/>
        <w:autoSpaceDN/>
        <w:bidi w:val="0"/>
        <w:adjustRightInd/>
        <w:snapToGrid w:val="0"/>
        <w:spacing w:beforeLines="0" w:afterLines="0" w:line="520" w:lineRule="exact"/>
        <w:ind w:firstLine="640" w:firstLineChars="200"/>
        <w:textAlignment w:val="auto"/>
        <w:outlineLvl w:val="9"/>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加强车间边界无组织排放废气的监控，确保车间边界无组织排放监控点的废气达到相应标准限值的要求，监测超标时应加强对无组织排放废气进行收集、净化处理。</w:t>
      </w:r>
    </w:p>
    <w:p w14:paraId="03FD0DEE">
      <w:pPr>
        <w:keepNext w:val="0"/>
        <w:keepLines w:val="0"/>
        <w:pageBreakBefore w:val="0"/>
        <w:widowControl w:val="0"/>
        <w:kinsoku/>
        <w:wordWrap/>
        <w:overflowPunct/>
        <w:topLinePunct w:val="0"/>
        <w:autoSpaceDE/>
        <w:autoSpaceDN/>
        <w:bidi w:val="0"/>
        <w:adjustRightInd/>
        <w:snapToGrid w:val="0"/>
        <w:spacing w:beforeLines="0" w:afterLines="0" w:line="520" w:lineRule="exact"/>
        <w:ind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rPr>
        <w:t>（二）排水系统采用雨污</w:t>
      </w:r>
      <w:r>
        <w:rPr>
          <w:rFonts w:hint="default" w:ascii="Times New Roman" w:hAnsi="Times New Roman" w:eastAsia="仿宋_GB2312" w:cs="Times New Roman"/>
          <w:b w:val="0"/>
          <w:bCs w:val="0"/>
          <w:sz w:val="32"/>
          <w:szCs w:val="32"/>
        </w:rPr>
        <w:t>分流。冷却废水</w:t>
      </w:r>
      <w:r>
        <w:rPr>
          <w:rFonts w:hint="default" w:ascii="Times New Roman" w:hAnsi="Times New Roman" w:eastAsia="仿宋_GB2312" w:cs="Times New Roman"/>
          <w:b w:val="0"/>
          <w:bCs w:val="0"/>
          <w:sz w:val="32"/>
          <w:szCs w:val="32"/>
          <w:lang w:val="en-US" w:eastAsia="zh-CN"/>
        </w:rPr>
        <w:t>循环使用，定期外排。</w:t>
      </w:r>
      <w:r>
        <w:rPr>
          <w:rFonts w:hint="default" w:ascii="Times New Roman" w:hAnsi="Times New Roman" w:eastAsia="仿宋_GB2312" w:cs="Times New Roman"/>
          <w:b w:val="0"/>
          <w:bCs w:val="0"/>
          <w:color w:val="auto"/>
          <w:sz w:val="32"/>
          <w:szCs w:val="32"/>
          <w:lang w:val="en-US" w:eastAsia="zh-CN"/>
        </w:rPr>
        <w:t>食堂废水经隔油隔渣池处理、</w:t>
      </w:r>
      <w:r>
        <w:rPr>
          <w:rFonts w:hint="default" w:ascii="Times New Roman" w:hAnsi="Times New Roman" w:eastAsia="仿宋_GB2312" w:cs="Times New Roman"/>
          <w:b w:val="0"/>
          <w:bCs w:val="0"/>
          <w:color w:val="auto"/>
          <w:sz w:val="32"/>
          <w:szCs w:val="32"/>
        </w:rPr>
        <w:t>生活污水经三级化粪池预处理后</w:t>
      </w:r>
      <w:r>
        <w:rPr>
          <w:rFonts w:hint="default" w:ascii="Times New Roman" w:hAnsi="Times New Roman" w:eastAsia="仿宋_GB2312" w:cs="Times New Roman"/>
          <w:b w:val="0"/>
          <w:bCs w:val="0"/>
          <w:color w:val="auto"/>
          <w:sz w:val="32"/>
          <w:szCs w:val="32"/>
          <w:lang w:val="en-US" w:eastAsia="zh-CN"/>
        </w:rPr>
        <w:t>与定期外排的冷却废水一并</w:t>
      </w:r>
      <w:r>
        <w:rPr>
          <w:rFonts w:hint="default" w:ascii="Times New Roman" w:hAnsi="Times New Roman" w:eastAsia="仿宋_GB2312" w:cs="Times New Roman"/>
          <w:b w:val="0"/>
          <w:bCs w:val="0"/>
          <w:color w:val="auto"/>
          <w:sz w:val="32"/>
          <w:szCs w:val="32"/>
        </w:rPr>
        <w:t>排入市政集污管网，送</w:t>
      </w:r>
      <w:r>
        <w:rPr>
          <w:rFonts w:hint="default" w:ascii="Times New Roman" w:hAnsi="Times New Roman" w:eastAsia="仿宋_GB2312" w:cs="Times New Roman"/>
          <w:b w:val="0"/>
          <w:bCs w:val="0"/>
          <w:color w:val="auto"/>
          <w:sz w:val="32"/>
          <w:szCs w:val="32"/>
          <w:lang w:val="en-US" w:eastAsia="zh-CN"/>
        </w:rPr>
        <w:t>前锋</w:t>
      </w:r>
      <w:r>
        <w:rPr>
          <w:rFonts w:hint="default" w:ascii="Times New Roman" w:hAnsi="Times New Roman" w:eastAsia="仿宋_GB2312" w:cs="Times New Roman"/>
          <w:b w:val="0"/>
          <w:bCs w:val="0"/>
          <w:color w:val="auto"/>
          <w:sz w:val="32"/>
          <w:szCs w:val="32"/>
        </w:rPr>
        <w:t>净水厂处理。项目设置废水排放口1个。水污染物排放执行广东省《水污染物排放限值》（DB44/26-2001）第二时段三级标准。生活污水排放量不超过</w:t>
      </w:r>
      <w:r>
        <w:rPr>
          <w:rFonts w:hint="default" w:ascii="Times New Roman" w:hAnsi="Times New Roman" w:eastAsia="仿宋_GB2312" w:cs="Times New Roman"/>
          <w:b w:val="0"/>
          <w:bCs w:val="0"/>
          <w:color w:val="auto"/>
          <w:sz w:val="32"/>
          <w:szCs w:val="32"/>
          <w:lang w:val="en-US" w:eastAsia="zh-CN"/>
        </w:rPr>
        <w:t>5400</w:t>
      </w:r>
      <w:r>
        <w:rPr>
          <w:rFonts w:hint="default" w:ascii="Times New Roman" w:hAnsi="Times New Roman" w:eastAsia="仿宋_GB2312" w:cs="Times New Roman"/>
          <w:b w:val="0"/>
          <w:bCs w:val="0"/>
          <w:color w:val="auto"/>
          <w:sz w:val="32"/>
          <w:szCs w:val="32"/>
        </w:rPr>
        <w:t>吨/年</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val="en-US" w:eastAsia="zh-CN"/>
        </w:rPr>
        <w:t>冷却废水排放量不超过12</w:t>
      </w:r>
      <w:r>
        <w:rPr>
          <w:rFonts w:hint="default" w:ascii="Times New Roman" w:hAnsi="Times New Roman" w:eastAsia="仿宋_GB2312" w:cs="Times New Roman"/>
          <w:b w:val="0"/>
          <w:bCs w:val="0"/>
          <w:color w:val="auto"/>
          <w:sz w:val="32"/>
          <w:szCs w:val="32"/>
        </w:rPr>
        <w:t>吨/年。</w:t>
      </w:r>
    </w:p>
    <w:p w14:paraId="5D9500BC">
      <w:pPr>
        <w:keepNext w:val="0"/>
        <w:keepLines w:val="0"/>
        <w:pageBreakBefore w:val="0"/>
        <w:widowControl w:val="0"/>
        <w:kinsoku/>
        <w:wordWrap/>
        <w:overflowPunct/>
        <w:topLinePunct w:val="0"/>
        <w:autoSpaceDE/>
        <w:autoSpaceDN/>
        <w:bidi w:val="0"/>
        <w:adjustRightInd/>
        <w:snapToGrid w:val="0"/>
        <w:spacing w:beforeLines="0" w:afterLines="0" w:line="52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（三）项目噪声排放执行《工业企业厂界环境噪声排放标准》（GB12348-2008）</w:t>
      </w: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rPr>
        <w:t>类标准。</w:t>
      </w:r>
    </w:p>
    <w:p w14:paraId="00DD0489">
      <w:pPr>
        <w:keepNext w:val="0"/>
        <w:keepLines w:val="0"/>
        <w:pageBreakBefore w:val="0"/>
        <w:widowControl w:val="0"/>
        <w:kinsoku/>
        <w:wordWrap/>
        <w:overflowPunct/>
        <w:topLinePunct w:val="0"/>
        <w:autoSpaceDE/>
        <w:autoSpaceDN/>
        <w:bidi w:val="0"/>
        <w:adjustRightInd/>
        <w:snapToGrid w:val="0"/>
        <w:spacing w:beforeLines="0" w:afterLines="0" w:line="52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（四）各类固体废物实行分类收集、处置。固体废物的贮存、堆放应按《危险废物贮存污染控制标准》（GB18597-2023）、《一般工业固体废物贮存和填埋污染控制标准》(GB 18599-2020)要求进行管理。</w:t>
      </w:r>
    </w:p>
    <w:p w14:paraId="55C1BD51">
      <w:pPr>
        <w:keepNext w:val="0"/>
        <w:keepLines w:val="0"/>
        <w:pageBreakBefore w:val="0"/>
        <w:widowControl w:val="0"/>
        <w:kinsoku/>
        <w:wordWrap/>
        <w:overflowPunct/>
        <w:topLinePunct w:val="0"/>
        <w:autoSpaceDE/>
        <w:autoSpaceDN/>
        <w:bidi w:val="0"/>
        <w:adjustRightInd/>
        <w:snapToGrid w:val="0"/>
        <w:spacing w:beforeLines="0" w:afterLines="0" w:line="52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（五）加强环境风险防范和应急工作。建立健全环境事故应急体系，落实各项环境风险防范与应急措施，确保生态环境安全。</w:t>
      </w:r>
    </w:p>
    <w:p w14:paraId="4E86B7BB">
      <w:pPr>
        <w:keepNext w:val="0"/>
        <w:keepLines w:val="0"/>
        <w:pageBreakBefore w:val="0"/>
        <w:widowControl w:val="0"/>
        <w:kinsoku/>
        <w:wordWrap/>
        <w:overflowPunct/>
        <w:topLinePunct w:val="0"/>
        <w:autoSpaceDE/>
        <w:autoSpaceDN/>
        <w:bidi w:val="0"/>
        <w:adjustRightInd/>
        <w:snapToGrid w:val="0"/>
        <w:spacing w:beforeLines="0" w:afterLines="0" w:line="52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（六）加强运营期环境保护管理，确保各项污染物稳定达标排放，并按规定做好污染物排放的自行监测及信息公开工作。</w:t>
      </w:r>
    </w:p>
    <w:p w14:paraId="09C75044">
      <w:pPr>
        <w:keepNext w:val="0"/>
        <w:keepLines w:val="0"/>
        <w:pageBreakBefore w:val="0"/>
        <w:widowControl w:val="0"/>
        <w:kinsoku/>
        <w:wordWrap/>
        <w:overflowPunct/>
        <w:topLinePunct w:val="0"/>
        <w:autoSpaceDE w:val="0"/>
        <w:autoSpaceDN w:val="0"/>
        <w:bidi w:val="0"/>
        <w:adjustRightInd w:val="0"/>
        <w:snapToGrid w:val="0"/>
        <w:spacing w:line="52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（七）</w:t>
      </w:r>
      <w:r>
        <w:rPr>
          <w:rFonts w:hint="default" w:ascii="Times New Roman" w:hAnsi="Times New Roman" w:eastAsia="仿宋_GB2312" w:cs="Times New Roman"/>
          <w:b w:val="0"/>
          <w:bCs w:val="0"/>
          <w:sz w:val="32"/>
          <w:szCs w:val="32"/>
        </w:rPr>
        <w:t>该项目建成后新增污染物排放总量控制指标如下：</w:t>
      </w:r>
      <w:bookmarkStart w:id="0" w:name="OLE_LINK3"/>
      <w:r>
        <w:rPr>
          <w:rFonts w:hint="default" w:ascii="Times New Roman" w:hAnsi="Times New Roman" w:eastAsia="仿宋_GB2312" w:cs="Times New Roman"/>
          <w:b w:val="0"/>
          <w:bCs w:val="0"/>
          <w:sz w:val="32"/>
          <w:szCs w:val="32"/>
          <w:lang w:eastAsia="zh-CN"/>
        </w:rPr>
        <w:t>挥发性有机物</w:t>
      </w:r>
      <w:bookmarkEnd w:id="0"/>
      <w:r>
        <w:rPr>
          <w:rFonts w:hint="default"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US" w:eastAsia="zh-CN"/>
        </w:rPr>
        <w:t>232</w:t>
      </w:r>
      <w:r>
        <w:rPr>
          <w:rFonts w:hint="default" w:ascii="Times New Roman" w:hAnsi="Times New Roman" w:eastAsia="仿宋_GB2312" w:cs="Times New Roman"/>
          <w:b w:val="0"/>
          <w:bCs w:val="0"/>
          <w:sz w:val="32"/>
          <w:szCs w:val="32"/>
        </w:rPr>
        <w:t>吨/年。该</w:t>
      </w:r>
      <w:bookmarkStart w:id="1" w:name="OLE_LINK4"/>
      <w:r>
        <w:rPr>
          <w:rFonts w:hint="default" w:ascii="Times New Roman" w:hAnsi="Times New Roman" w:eastAsia="仿宋_GB2312" w:cs="Times New Roman"/>
          <w:b w:val="0"/>
          <w:bCs w:val="0"/>
          <w:sz w:val="32"/>
          <w:szCs w:val="32"/>
        </w:rPr>
        <w:t>项目应实施</w:t>
      </w:r>
      <w:r>
        <w:rPr>
          <w:rFonts w:hint="default" w:ascii="Times New Roman" w:hAnsi="Times New Roman" w:eastAsia="仿宋_GB2312" w:cs="Times New Roman"/>
          <w:b w:val="0"/>
          <w:bCs w:val="0"/>
          <w:sz w:val="32"/>
          <w:szCs w:val="32"/>
          <w:lang w:eastAsia="zh-CN"/>
        </w:rPr>
        <w:t>挥发性有机物</w:t>
      </w:r>
      <w:r>
        <w:rPr>
          <w:rFonts w:hint="default" w:ascii="Times New Roman" w:hAnsi="Times New Roman" w:eastAsia="仿宋_GB2312" w:cs="Times New Roman"/>
          <w:b w:val="0"/>
          <w:bCs w:val="0"/>
          <w:color w:val="auto"/>
          <w:sz w:val="32"/>
          <w:szCs w:val="32"/>
          <w:lang w:val="en-US" w:eastAsia="zh-CN"/>
        </w:rPr>
        <w:t>两倍削减</w:t>
      </w:r>
      <w:r>
        <w:rPr>
          <w:rFonts w:hint="default" w:ascii="Times New Roman" w:hAnsi="Times New Roman" w:eastAsia="仿宋_GB2312" w:cs="Times New Roman"/>
          <w:b w:val="0"/>
          <w:bCs w:val="0"/>
          <w:sz w:val="32"/>
          <w:szCs w:val="32"/>
        </w:rPr>
        <w:t>替代</w:t>
      </w:r>
      <w:bookmarkEnd w:id="1"/>
      <w:r>
        <w:rPr>
          <w:rFonts w:hint="default" w:ascii="Times New Roman" w:hAnsi="Times New Roman" w:eastAsia="仿宋_GB2312" w:cs="Times New Roman"/>
          <w:b w:val="0"/>
          <w:bCs w:val="0"/>
          <w:sz w:val="32"/>
          <w:szCs w:val="32"/>
        </w:rPr>
        <w:t>，所需替代指标</w:t>
      </w:r>
      <w:r>
        <w:rPr>
          <w:rFonts w:hint="default" w:ascii="Times New Roman" w:hAnsi="Times New Roman" w:eastAsia="仿宋_GB2312" w:cs="Times New Roman"/>
          <w:b w:val="0"/>
          <w:bCs w:val="0"/>
          <w:sz w:val="32"/>
          <w:szCs w:val="32"/>
          <w:lang w:eastAsia="zh-CN"/>
        </w:rPr>
        <w:t>挥发性有机物</w:t>
      </w:r>
      <w:r>
        <w:rPr>
          <w:rFonts w:hint="default" w:ascii="Times New Roman" w:hAnsi="Times New Roman" w:eastAsia="仿宋_GB2312" w:cs="Times New Roman"/>
          <w:b w:val="0"/>
          <w:bCs w:val="0"/>
          <w:color w:val="auto"/>
          <w:sz w:val="32"/>
          <w:szCs w:val="32"/>
          <w:lang w:val="en-US" w:eastAsia="zh-CN"/>
        </w:rPr>
        <w:t>8.464</w:t>
      </w:r>
      <w:r>
        <w:rPr>
          <w:rFonts w:hint="default" w:ascii="Times New Roman" w:hAnsi="Times New Roman" w:eastAsia="仿宋_GB2312" w:cs="Times New Roman"/>
          <w:b w:val="0"/>
          <w:bCs w:val="0"/>
          <w:color w:val="auto"/>
          <w:sz w:val="32"/>
          <w:szCs w:val="32"/>
        </w:rPr>
        <w:t>吨/年</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color w:val="auto"/>
          <w:sz w:val="32"/>
          <w:szCs w:val="32"/>
          <w:lang w:eastAsia="zh-CN"/>
        </w:rPr>
        <w:t>项目建成后再根据实际排放及污染物总量控制要求予以核定。</w:t>
      </w:r>
    </w:p>
    <w:p w14:paraId="4689B8E2">
      <w:pPr>
        <w:keepNext w:val="0"/>
        <w:keepLines w:val="0"/>
        <w:pageBreakBefore w:val="0"/>
        <w:widowControl w:val="0"/>
        <w:kinsoku/>
        <w:wordWrap/>
        <w:overflowPunct/>
        <w:topLinePunct w:val="0"/>
        <w:autoSpaceDE/>
        <w:autoSpaceDN/>
        <w:bidi w:val="0"/>
        <w:adjustRightInd/>
        <w:snapToGrid w:val="0"/>
        <w:spacing w:beforeLines="0" w:afterLines="0" w:line="52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八</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项目建设应符合法律、法规等要求，如涉及规划、水务、消防等其他部门许可事项的，须依法办理相关手续。</w:t>
      </w:r>
    </w:p>
    <w:p w14:paraId="155A1A95">
      <w:pPr>
        <w:keepNext w:val="0"/>
        <w:keepLines w:val="0"/>
        <w:pageBreakBefore w:val="0"/>
        <w:widowControl w:val="0"/>
        <w:kinsoku/>
        <w:wordWrap/>
        <w:overflowPunct/>
        <w:topLinePunct w:val="0"/>
        <w:autoSpaceDE w:val="0"/>
        <w:autoSpaceDN w:val="0"/>
        <w:bidi w:val="0"/>
        <w:adjustRightInd w:val="0"/>
        <w:snapToGrid w:val="0"/>
        <w:spacing w:line="52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27B4651F">
      <w:pPr>
        <w:keepNext w:val="0"/>
        <w:keepLines w:val="0"/>
        <w:pageBreakBefore w:val="0"/>
        <w:widowControl w:val="0"/>
        <w:kinsoku/>
        <w:overflowPunct/>
        <w:topLinePunct w:val="0"/>
        <w:autoSpaceDE/>
        <w:autoSpaceDN/>
        <w:bidi w:val="0"/>
        <w:spacing w:line="52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74EBAD51">
      <w:pPr>
        <w:keepNext w:val="0"/>
        <w:keepLines w:val="0"/>
        <w:pageBreakBefore w:val="0"/>
        <w:widowControl w:val="0"/>
        <w:kinsoku/>
        <w:overflowPunct/>
        <w:topLinePunct w:val="0"/>
        <w:autoSpaceDE/>
        <w:autoSpaceDN/>
        <w:bidi w:val="0"/>
        <w:spacing w:line="520" w:lineRule="exact"/>
        <w:textAlignment w:val="auto"/>
        <w:rPr>
          <w:rFonts w:hint="default" w:ascii="Times New Roman" w:hAnsi="Times New Roman" w:eastAsia="仿宋_GB2312" w:cs="Times New Roman"/>
          <w:color w:val="auto"/>
          <w:sz w:val="32"/>
          <w:szCs w:val="32"/>
        </w:rPr>
      </w:pPr>
    </w:p>
    <w:p w14:paraId="3E1893AC">
      <w:pPr>
        <w:pStyle w:val="2"/>
        <w:rPr>
          <w:rFonts w:hint="default" w:ascii="Times New Roman" w:hAnsi="Times New Roman" w:cs="Times New Roman"/>
        </w:rPr>
      </w:pPr>
    </w:p>
    <w:p w14:paraId="29A26305">
      <w:pPr>
        <w:keepNext w:val="0"/>
        <w:keepLines w:val="0"/>
        <w:pageBreakBefore w:val="0"/>
        <w:widowControl w:val="0"/>
        <w:kinsoku/>
        <w:overflowPunct/>
        <w:topLinePunct w:val="0"/>
        <w:autoSpaceDE/>
        <w:autoSpaceDN/>
        <w:bidi w:val="0"/>
        <w:spacing w:line="52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广州市生态环境局</w:t>
      </w:r>
    </w:p>
    <w:p w14:paraId="7F29DD9E">
      <w:pPr>
        <w:keepNext w:val="0"/>
        <w:keepLines w:val="0"/>
        <w:pageBreakBefore w:val="0"/>
        <w:widowControl w:val="0"/>
        <w:kinsoku/>
        <w:overflowPunct/>
        <w:topLinePunct w:val="0"/>
        <w:autoSpaceDE/>
        <w:autoSpaceDN/>
        <w:bidi w:val="0"/>
        <w:spacing w:line="520" w:lineRule="exact"/>
        <w:ind w:right="4" w:rightChars="0" w:firstLine="5120" w:firstLineChars="16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w:t>
      </w:r>
      <w:r>
        <w:rPr>
          <w:rFonts w:hint="default"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日</w:t>
      </w:r>
    </w:p>
    <w:p w14:paraId="7C1F3386">
      <w:pPr>
        <w:pStyle w:val="2"/>
        <w:rPr>
          <w:rFonts w:hint="default" w:ascii="Times New Roman" w:hAnsi="Times New Roman" w:eastAsia="仿宋_GB2312" w:cs="Times New Roman"/>
          <w:color w:val="auto"/>
          <w:sz w:val="32"/>
          <w:szCs w:val="32"/>
        </w:rPr>
      </w:pPr>
    </w:p>
    <w:p w14:paraId="1979FAB9">
      <w:pPr>
        <w:pStyle w:val="2"/>
        <w:rPr>
          <w:rFonts w:hint="default" w:ascii="Times New Roman" w:hAnsi="Times New Roman" w:eastAsia="仿宋_GB2312" w:cs="Times New Roman"/>
          <w:color w:val="auto"/>
          <w:sz w:val="32"/>
          <w:szCs w:val="32"/>
        </w:rPr>
      </w:pPr>
    </w:p>
    <w:p w14:paraId="6110AD9E">
      <w:pPr>
        <w:pStyle w:val="2"/>
        <w:rPr>
          <w:rFonts w:hint="default" w:ascii="Times New Roman" w:hAnsi="Times New Roman" w:eastAsia="仿宋_GB2312" w:cs="Times New Roman"/>
          <w:color w:val="auto"/>
          <w:sz w:val="32"/>
          <w:szCs w:val="32"/>
        </w:rPr>
      </w:pPr>
    </w:p>
    <w:p w14:paraId="5D2CBD8A">
      <w:pPr>
        <w:pStyle w:val="2"/>
        <w:rPr>
          <w:rFonts w:hint="default" w:ascii="Times New Roman" w:hAnsi="Times New Roman" w:eastAsia="仿宋_GB2312" w:cs="Times New Roman"/>
          <w:color w:val="auto"/>
          <w:sz w:val="32"/>
          <w:szCs w:val="32"/>
        </w:rPr>
      </w:pPr>
    </w:p>
    <w:p w14:paraId="4F233EE2">
      <w:pPr>
        <w:keepNext w:val="0"/>
        <w:keepLines w:val="0"/>
        <w:pageBreakBefore w:val="0"/>
        <w:widowControl w:val="0"/>
        <w:kinsoku/>
        <w:overflowPunct/>
        <w:topLinePunct w:val="0"/>
        <w:autoSpaceDE/>
        <w:autoSpaceDN/>
        <w:bidi w:val="0"/>
        <w:spacing w:line="52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公开方式：</w:t>
      </w:r>
      <w:r>
        <w:rPr>
          <w:rFonts w:hint="default" w:ascii="Times New Roman" w:hAnsi="Times New Roman" w:eastAsia="仿宋_GB2312" w:cs="Times New Roman"/>
          <w:color w:val="auto"/>
          <w:sz w:val="32"/>
          <w:szCs w:val="32"/>
        </w:rPr>
        <w:t>主动公开</w:t>
      </w:r>
    </w:p>
    <w:p w14:paraId="084C0797">
      <w:pPr>
        <w:keepNext w:val="0"/>
        <w:keepLines w:val="0"/>
        <w:pageBreakBefore w:val="0"/>
        <w:widowControl w:val="0"/>
        <w:kinsoku/>
        <w:overflowPunct/>
        <w:topLinePunct w:val="0"/>
        <w:autoSpaceDE/>
        <w:autoSpaceDN/>
        <w:bidi w:val="0"/>
        <w:spacing w:line="520" w:lineRule="exact"/>
        <w:textAlignment w:val="auto"/>
        <w:rPr>
          <w:rFonts w:hint="default" w:ascii="Times New Roman" w:hAnsi="Times New Roman" w:eastAsia="仿宋_GB2312" w:cs="Times New Roman"/>
          <w:color w:val="auto"/>
          <w:sz w:val="32"/>
          <w:szCs w:val="32"/>
        </w:rPr>
      </w:pPr>
    </w:p>
    <w:p w14:paraId="09EC74C9">
      <w:pPr>
        <w:keepNext w:val="0"/>
        <w:keepLines w:val="0"/>
        <w:pageBreakBefore w:val="0"/>
        <w:widowControl w:val="0"/>
        <w:kinsoku/>
        <w:overflowPunct/>
        <w:topLinePunct w:val="0"/>
        <w:bidi w:val="0"/>
        <w:spacing w:line="520" w:lineRule="exact"/>
        <w:ind w:left="1133" w:leftChars="201" w:hanging="711" w:hangingChars="254"/>
        <w:textAlignment w:val="auto"/>
        <w:rPr>
          <w:rFonts w:hint="default" w:ascii="Times New Roman" w:hAnsi="Times New Roman" w:cs="Times New Roman"/>
          <w:color w:val="auto"/>
          <w:sz w:val="28"/>
          <w:szCs w:val="28"/>
        </w:rPr>
      </w:pPr>
      <w:r>
        <w:rPr>
          <w:rFonts w:hint="default" w:ascii="Times New Roman" w:hAnsi="Times New Roman" w:eastAsia="仿宋_GB2312" w:cs="Times New Roman"/>
          <w:color w:val="auto"/>
          <w:sz w:val="28"/>
          <w:szCs w:val="28"/>
        </w:rPr>
        <w:t>抄送：广州市生态环境局番禺分局</w:t>
      </w:r>
      <w:r>
        <w:rPr>
          <w:rFonts w:hint="eastAsia" w:ascii="Times New Roman" w:hAnsi="Times New Roman" w:eastAsia="仿宋_GB2312" w:cs="Times New Roman"/>
          <w:color w:val="auto"/>
          <w:sz w:val="28"/>
          <w:szCs w:val="28"/>
          <w:lang w:val="en-US" w:eastAsia="zh-CN"/>
        </w:rPr>
        <w:t>监管三科、</w:t>
      </w:r>
      <w:r>
        <w:rPr>
          <w:rFonts w:hint="default" w:ascii="Times New Roman" w:hAnsi="Times New Roman" w:eastAsia="仿宋_GB2312" w:cs="Times New Roman"/>
          <w:color w:val="auto"/>
          <w:sz w:val="28"/>
          <w:szCs w:val="28"/>
        </w:rPr>
        <w:t>执法</w:t>
      </w:r>
      <w:r>
        <w:rPr>
          <w:rFonts w:hint="default" w:ascii="Times New Roman" w:hAnsi="Times New Roman" w:eastAsia="仿宋_GB2312" w:cs="Times New Roman"/>
          <w:color w:val="auto"/>
          <w:sz w:val="28"/>
          <w:szCs w:val="28"/>
          <w:lang w:val="en-US" w:eastAsia="zh-CN"/>
        </w:rPr>
        <w:t>二</w:t>
      </w:r>
      <w:r>
        <w:rPr>
          <w:rFonts w:hint="default" w:ascii="Times New Roman" w:hAnsi="Times New Roman" w:eastAsia="仿宋_GB2312" w:cs="Times New Roman"/>
          <w:color w:val="auto"/>
          <w:sz w:val="28"/>
          <w:szCs w:val="28"/>
        </w:rPr>
        <w:t>科</w:t>
      </w:r>
      <w:r>
        <w:rPr>
          <w:rFonts w:hint="eastAsia" w:ascii="Times New Roman" w:hAnsi="Times New Roman" w:eastAsia="仿宋_GB2312" w:cs="Times New Roman"/>
          <w:color w:val="auto"/>
          <w:sz w:val="28"/>
          <w:szCs w:val="28"/>
          <w:lang w:eastAsia="zh-CN"/>
        </w:rPr>
        <w:t>；</w:t>
      </w:r>
      <w:r>
        <w:rPr>
          <w:rFonts w:hint="eastAsia" w:eastAsia="仿宋_GB2312" w:cs="Times New Roman"/>
          <w:b w:val="0"/>
          <w:bCs w:val="0"/>
          <w:sz w:val="28"/>
          <w:szCs w:val="28"/>
          <w:lang w:val="en-US" w:eastAsia="zh-CN"/>
        </w:rPr>
        <w:t>广州市</w:t>
      </w:r>
      <w:r>
        <w:rPr>
          <w:rFonts w:hint="eastAsia" w:eastAsia="仿宋_GB2312" w:cs="Times New Roman"/>
          <w:b w:val="0"/>
          <w:bCs w:val="0"/>
          <w:sz w:val="28"/>
          <w:szCs w:val="28"/>
          <w:lang w:eastAsia="zh-CN"/>
        </w:rPr>
        <w:t>生态环境局</w:t>
      </w:r>
      <w:r>
        <w:rPr>
          <w:rFonts w:hint="default" w:ascii="Times New Roman" w:hAnsi="Times New Roman" w:eastAsia="仿宋_GB2312" w:cs="Times New Roman"/>
          <w:color w:val="auto"/>
          <w:sz w:val="28"/>
          <w:szCs w:val="28"/>
          <w:lang w:eastAsia="zh-CN"/>
        </w:rPr>
        <w:t>番禺</w:t>
      </w:r>
      <w:r>
        <w:rPr>
          <w:rFonts w:hint="default" w:ascii="Times New Roman" w:hAnsi="Times New Roman" w:eastAsia="仿宋_GB2312" w:cs="Times New Roman"/>
          <w:color w:val="auto"/>
          <w:sz w:val="28"/>
          <w:szCs w:val="28"/>
        </w:rPr>
        <w:t>第</w:t>
      </w:r>
      <w:r>
        <w:rPr>
          <w:rFonts w:hint="default" w:ascii="Times New Roman" w:hAnsi="Times New Roman" w:eastAsia="仿宋_GB2312" w:cs="Times New Roman"/>
          <w:color w:val="auto"/>
          <w:sz w:val="28"/>
          <w:szCs w:val="28"/>
          <w:lang w:val="en-US" w:eastAsia="zh-CN"/>
        </w:rPr>
        <w:t>四</w:t>
      </w:r>
      <w:r>
        <w:rPr>
          <w:rFonts w:hint="default" w:ascii="Times New Roman" w:hAnsi="Times New Roman" w:eastAsia="仿宋_GB2312" w:cs="Times New Roman"/>
          <w:color w:val="auto"/>
          <w:sz w:val="28"/>
          <w:szCs w:val="28"/>
        </w:rPr>
        <w:t>环保所</w:t>
      </w:r>
      <w:r>
        <w:rPr>
          <w:rFonts w:hint="eastAsia" w:ascii="Times New Roman" w:hAnsi="Times New Roman" w:eastAsia="仿宋_GB2312" w:cs="Times New Roman"/>
          <w:color w:val="auto"/>
          <w:sz w:val="28"/>
          <w:szCs w:val="28"/>
          <w:lang w:eastAsia="zh-CN"/>
        </w:rPr>
        <w:t>、</w:t>
      </w:r>
      <w:r>
        <w:rPr>
          <w:rFonts w:hint="eastAsia" w:eastAsia="仿宋_GB2312" w:cs="Times New Roman"/>
          <w:b w:val="0"/>
          <w:bCs w:val="0"/>
          <w:sz w:val="28"/>
          <w:szCs w:val="28"/>
          <w:lang w:val="en-US" w:eastAsia="zh-CN"/>
        </w:rPr>
        <w:t>番禺技术中心</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sz w:val="28"/>
          <w:szCs w:val="28"/>
          <w:lang w:val="en-US" w:eastAsia="zh-CN"/>
        </w:rPr>
        <w:t>广东中惠环保科技有限公司</w:t>
      </w:r>
      <w:r>
        <w:rPr>
          <w:rFonts w:hint="default" w:ascii="Times New Roman" w:hAnsi="Times New Roman" w:eastAsia="仿宋_GB2312" w:cs="Times New Roman"/>
          <w:sz w:val="28"/>
          <w:szCs w:val="28"/>
        </w:rPr>
        <w:t>。</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18030">
    <w:altName w:val="微软雅黑"/>
    <w:panose1 w:val="00000000000000000000"/>
    <w:charset w:val="00"/>
    <w:family w:val="auto"/>
    <w:pitch w:val="default"/>
    <w:sig w:usb0="00000000" w:usb1="00000000" w:usb2="00000000" w:usb3="00000000" w:csb0="00040001" w:csb1="00000000"/>
  </w:font>
  <w:font w:name="公文小标宋简">
    <w:altName w:val="宋体"/>
    <w:panose1 w:val="0201060901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5DC91">
    <w:pPr>
      <w:pStyle w:val="3"/>
      <w:framePr w:wrap="around" w:vAnchor="text" w:hAnchor="margin" w:xAlign="outside" w:y="1"/>
      <w:rPr>
        <w:rStyle w:val="6"/>
        <w:rFonts w:ascii="宋体" w:hAnsi="宋体"/>
        <w:sz w:val="28"/>
        <w:szCs w:val="28"/>
      </w:rPr>
    </w:pPr>
    <w:r>
      <w:rPr>
        <w:rStyle w:val="6"/>
        <w:rFonts w:hint="eastAsia" w:ascii="宋体" w:hAnsi="宋体"/>
        <w:sz w:val="28"/>
        <w:szCs w:val="28"/>
      </w:rPr>
      <w:t xml:space="preserve">— </w:t>
    </w:r>
    <w:r>
      <w:rPr>
        <w:rStyle w:val="6"/>
        <w:rFonts w:ascii="宋体" w:hAnsi="宋体"/>
        <w:sz w:val="28"/>
        <w:szCs w:val="28"/>
      </w:rPr>
      <w:fldChar w:fldCharType="begin"/>
    </w:r>
    <w:r>
      <w:rPr>
        <w:rStyle w:val="6"/>
        <w:rFonts w:ascii="宋体" w:hAnsi="宋体"/>
        <w:sz w:val="28"/>
        <w:szCs w:val="28"/>
      </w:rPr>
      <w:instrText xml:space="preserve">PAGE  </w:instrText>
    </w:r>
    <w:r>
      <w:rPr>
        <w:rStyle w:val="6"/>
        <w:rFonts w:ascii="宋体" w:hAnsi="宋体"/>
        <w:sz w:val="28"/>
        <w:szCs w:val="28"/>
      </w:rPr>
      <w:fldChar w:fldCharType="separate"/>
    </w:r>
    <w:r>
      <w:rPr>
        <w:rStyle w:val="6"/>
        <w:rFonts w:ascii="宋体" w:hAnsi="宋体"/>
        <w:sz w:val="28"/>
        <w:szCs w:val="28"/>
      </w:rPr>
      <w:t>3</w:t>
    </w:r>
    <w:r>
      <w:rPr>
        <w:rStyle w:val="6"/>
        <w:rFonts w:ascii="宋体" w:hAnsi="宋体"/>
        <w:sz w:val="28"/>
        <w:szCs w:val="28"/>
      </w:rPr>
      <w:fldChar w:fldCharType="end"/>
    </w:r>
    <w:r>
      <w:rPr>
        <w:rStyle w:val="6"/>
        <w:rFonts w:hint="eastAsia" w:ascii="宋体" w:hAnsi="宋体"/>
        <w:sz w:val="28"/>
        <w:szCs w:val="28"/>
      </w:rPr>
      <w:t xml:space="preserve"> —</w:t>
    </w:r>
  </w:p>
  <w:p w14:paraId="48DE3797">
    <w:pPr>
      <w:pStyle w:val="3"/>
      <w:ind w:right="360" w:firstLine="360"/>
      <w:jc w:val="center"/>
      <w:rPr>
        <w:rFonts w:ascii="Times New Roman" w:hAnsi="Times New Roman"/>
        <w:sz w:val="28"/>
        <w:szCs w:val="28"/>
      </w:rPr>
    </w:pPr>
  </w:p>
  <w:p w14:paraId="3B967C6C">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2ED8E">
    <w:pPr>
      <w:pStyle w:val="3"/>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14:paraId="4AA547C0">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57469F"/>
    <w:rsid w:val="007F7C33"/>
    <w:rsid w:val="025B104D"/>
    <w:rsid w:val="0BE17122"/>
    <w:rsid w:val="0DE554B7"/>
    <w:rsid w:val="109B1A09"/>
    <w:rsid w:val="12111C2F"/>
    <w:rsid w:val="18C83393"/>
    <w:rsid w:val="1C57469F"/>
    <w:rsid w:val="211865F8"/>
    <w:rsid w:val="22C13F23"/>
    <w:rsid w:val="2F5D55B9"/>
    <w:rsid w:val="2FE249C1"/>
    <w:rsid w:val="3B4413CB"/>
    <w:rsid w:val="3F5A7447"/>
    <w:rsid w:val="43955500"/>
    <w:rsid w:val="4AB94E26"/>
    <w:rsid w:val="4CAE41A1"/>
    <w:rsid w:val="4D430C32"/>
    <w:rsid w:val="4FBF2665"/>
    <w:rsid w:val="4FE15215"/>
    <w:rsid w:val="59251F58"/>
    <w:rsid w:val="5FF217E7"/>
    <w:rsid w:val="60DD643C"/>
    <w:rsid w:val="6433133D"/>
    <w:rsid w:val="69407E24"/>
    <w:rsid w:val="734C3DD1"/>
    <w:rsid w:val="77DE26AB"/>
    <w:rsid w:val="7F322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Calibri" w:hAnsi="Calibri" w:eastAsia="宋体" w:cs="Times New Roman"/>
    </w:rPr>
  </w:style>
  <w:style w:type="paragraph" w:styleId="3">
    <w:name w:val="footer"/>
    <w:basedOn w:val="1"/>
    <w:unhideWhenUsed/>
    <w:qFormat/>
    <w:uiPriority w:val="99"/>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区委办</Company>
  <Pages>4</Pages>
  <Words>1909</Words>
  <Characters>2086</Characters>
  <Lines>0</Lines>
  <Paragraphs>0</Paragraphs>
  <TotalTime>2</TotalTime>
  <ScaleCrop>false</ScaleCrop>
  <LinksUpToDate>false</LinksUpToDate>
  <CharactersWithSpaces>2152</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2025-08-08T08:57:00Z</dcterms:created>
  <dc:creator>圆圈圈儿 ࿔</dc:creator>
  <cp:lastModifiedBy>1</cp:lastModifiedBy>
  <cp:lastPrinted>2025-11-18T06:14:00Z</cp:lastPrinted>
  <dcterms:modified xsi:type="dcterms:W3CDTF">2025-11-25T06:26:30Z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3337AEDC24AA4578A9FF1AF3537227CB_13</vt:lpwstr>
  </property>
  <property fmtid="{D5CDD505-2E9C-101B-9397-08002B2CF9AE}" pid="4" name="KSOTemplateDocerSaveRecord">
    <vt:lpwstr>eyJoZGlkIjoiODdkOTNkZGUwYWU4YWU0YzViNWEwNmQ1ODczOTg2ZTkiLCJ1c2VySWQiOiIxNzIzMDIxNzY5In0=</vt:lpwstr>
  </property>
</Properties>
</file>