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B7B36">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bookmarkStart w:id="0" w:name="Content"/>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146</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78622477">
      <w:pPr>
        <w:spacing w:line="590" w:lineRule="exact"/>
        <w:jc w:val="right"/>
        <w:rPr>
          <w:rFonts w:hint="default" w:ascii="Times New Roman" w:hAnsi="Times New Roman" w:eastAsia="仿宋_GB2312" w:cs="Times New Roman"/>
          <w:b/>
          <w:bCs/>
          <w:sz w:val="32"/>
          <w:szCs w:val="32"/>
        </w:rPr>
      </w:pPr>
    </w:p>
    <w:p w14:paraId="029BB5A0">
      <w:pPr>
        <w:spacing w:line="590" w:lineRule="exact"/>
        <w:jc w:val="right"/>
        <w:rPr>
          <w:rFonts w:hint="default" w:ascii="Times New Roman" w:hAnsi="Times New Roman" w:eastAsia="仿宋_GB2312" w:cs="Times New Roman"/>
          <w:b/>
          <w:bCs/>
          <w:sz w:val="32"/>
          <w:szCs w:val="32"/>
        </w:rPr>
      </w:pPr>
    </w:p>
    <w:p w14:paraId="470C22AC">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广州市生态环境局关于广州开拓者供应链有限公司年产印花服饰及工艺品70.2万件建设项目环境影响报告</w:t>
      </w:r>
      <w:bookmarkStart w:id="1" w:name="OLE_LINK17"/>
      <w:r>
        <w:rPr>
          <w:rFonts w:hint="eastAsia" w:ascii="方正小标宋简体" w:hAnsi="方正小标宋简体" w:eastAsia="方正小标宋简体" w:cs="方正小标宋简体"/>
          <w:b w:val="0"/>
          <w:bCs w:val="0"/>
          <w:sz w:val="44"/>
          <w:szCs w:val="44"/>
          <w:lang w:val="en-US" w:eastAsia="zh-CN"/>
        </w:rPr>
        <w:t>表</w:t>
      </w:r>
      <w:bookmarkEnd w:id="1"/>
      <w:r>
        <w:rPr>
          <w:rFonts w:hint="eastAsia" w:ascii="方正小标宋简体" w:hAnsi="方正小标宋简体" w:eastAsia="方正小标宋简体" w:cs="方正小标宋简体"/>
          <w:b w:val="0"/>
          <w:bCs w:val="0"/>
          <w:sz w:val="44"/>
          <w:szCs w:val="44"/>
        </w:rPr>
        <w:t>的批复</w:t>
      </w:r>
    </w:p>
    <w:p w14:paraId="52B196A8">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689394BA">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7BCAA2D2">
      <w:pPr>
        <w:keepNext w:val="0"/>
        <w:keepLines w:val="0"/>
        <w:pageBreakBefore w:val="0"/>
        <w:widowControl w:val="0"/>
        <w:kinsoku/>
        <w:wordWrap/>
        <w:overflowPunct/>
        <w:topLinePunct w:val="0"/>
        <w:bidi w:val="0"/>
        <w:snapToGrid w:val="0"/>
        <w:spacing w:line="560" w:lineRule="exact"/>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广州开拓者供应链有限公司（91440113MAEXT5LH7R）</w:t>
      </w:r>
      <w:r>
        <w:rPr>
          <w:rFonts w:hint="default" w:ascii="Times New Roman" w:hAnsi="Times New Roman" w:eastAsia="仿宋_GB2312" w:cs="Times New Roman"/>
          <w:b w:val="0"/>
          <w:bCs w:val="0"/>
          <w:sz w:val="32"/>
          <w:szCs w:val="32"/>
        </w:rPr>
        <w:t>：</w:t>
      </w:r>
    </w:p>
    <w:p w14:paraId="6C658F96">
      <w:pPr>
        <w:keepNext w:val="0"/>
        <w:keepLines w:val="0"/>
        <w:pageBreakBefore w:val="0"/>
        <w:widowControl w:val="0"/>
        <w:numPr>
          <w:ilvl w:val="0"/>
          <w:numId w:val="0"/>
        </w:numPr>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你公司报批的《广州开拓者供应链有限公司年产印花服饰及工艺品70.2万件建设项目环境影响报告</w:t>
      </w:r>
      <w:bookmarkStart w:id="2" w:name="OLE_LINK18"/>
      <w:r>
        <w:rPr>
          <w:rFonts w:hint="default" w:ascii="Times New Roman" w:hAnsi="Times New Roman" w:eastAsia="仿宋_GB2312" w:cs="Times New Roman"/>
          <w:b w:val="0"/>
          <w:bCs w:val="0"/>
          <w:sz w:val="32"/>
          <w:szCs w:val="32"/>
          <w:lang w:val="en-US" w:eastAsia="zh-CN"/>
        </w:rPr>
        <w:t>表</w:t>
      </w:r>
      <w:bookmarkEnd w:id="2"/>
      <w:r>
        <w:rPr>
          <w:rFonts w:hint="default" w:ascii="Times New Roman" w:hAnsi="Times New Roman" w:eastAsia="仿宋_GB2312" w:cs="Times New Roman"/>
          <w:b w:val="0"/>
          <w:bCs w:val="0"/>
          <w:sz w:val="32"/>
          <w:szCs w:val="32"/>
          <w:lang w:val="en-US" w:eastAsia="zh-CN"/>
        </w:rPr>
        <w:t>》（以下简称《报告表》）及相关资料收悉。经研究，批复如下：</w:t>
      </w:r>
    </w:p>
    <w:p w14:paraId="77BA3517">
      <w:pPr>
        <w:keepNext w:val="0"/>
        <w:keepLines w:val="0"/>
        <w:pageBreakBefore w:val="0"/>
        <w:widowControl w:val="0"/>
        <w:numPr>
          <w:ilvl w:val="0"/>
          <w:numId w:val="0"/>
        </w:numPr>
        <w:kinsoku/>
        <w:wordWrap/>
        <w:overflowPunct/>
        <w:topLinePunct w:val="0"/>
        <w:bidi w:val="0"/>
        <w:spacing w:line="560" w:lineRule="exact"/>
        <w:ind w:firstLine="640" w:firstLineChars="200"/>
        <w:textAlignment w:val="auto"/>
        <w:rPr>
          <w:rFonts w:hint="default" w:ascii="Times New Roman" w:hAnsi="Times New Roman" w:eastAsia="宋体" w:cs="Times New Roman"/>
          <w:b w:val="0"/>
          <w:bCs w:val="0"/>
          <w:kern w:val="0"/>
          <w:sz w:val="32"/>
          <w:szCs w:val="32"/>
          <w:vertAlign w:val="baseline"/>
          <w:lang w:val="en-US" w:eastAsia="zh-CN"/>
        </w:rPr>
      </w:pPr>
      <w:r>
        <w:rPr>
          <w:rFonts w:hint="default" w:ascii="Times New Roman" w:hAnsi="Times New Roman" w:eastAsia="仿宋_GB2312" w:cs="Times New Roman"/>
          <w:b w:val="0"/>
          <w:bCs w:val="0"/>
          <w:sz w:val="32"/>
          <w:szCs w:val="32"/>
          <w:lang w:val="en-US" w:eastAsia="zh-CN"/>
        </w:rPr>
        <w:t>一、广州开拓者供应链有限公司年产印花服饰及工艺品70.2万件建设项目位于广州市番禺区石楼镇珠江路4号</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主要从事印花服装及工艺品的生产制造，年产印花服装及工艺品70.2万件</w:t>
      </w:r>
      <w:r>
        <w:rPr>
          <w:rFonts w:hint="eastAsia" w:eastAsia="仿宋_GB2312" w:cs="Times New Roman"/>
          <w:b w:val="0"/>
          <w:bCs w:val="0"/>
          <w:sz w:val="32"/>
          <w:szCs w:val="32"/>
          <w:lang w:val="en-US" w:eastAsia="zh-CN"/>
        </w:rPr>
        <w:t>，租用一栋四层厂房进行生产，占地面积为1627平方米，建筑面积6765.73平方米。</w:t>
      </w:r>
      <w:r>
        <w:rPr>
          <w:rFonts w:hint="eastAsia" w:eastAsia="仿宋_GB2312" w:cs="Times New Roman"/>
          <w:b w:val="0"/>
          <w:bCs w:val="0"/>
          <w:kern w:val="0"/>
          <w:sz w:val="32"/>
          <w:szCs w:val="32"/>
          <w:lang w:val="en-US" w:eastAsia="zh-CN"/>
        </w:rPr>
        <w:t>主要设备有裁切机14台、打印机46台、烫画机16台、滚筒印花机3台、激光雕刻机13台、缝纫机100台、覆膜机4台、蒸汽烫熨机4台、真空包装机2台、激光内标机1台、电烙铁3台、压纸机1台、平压压痕机2台、充棉机2台、啤机2台等</w:t>
      </w:r>
      <w:r>
        <w:rPr>
          <w:rFonts w:hint="default" w:ascii="Times New Roman" w:hAnsi="Times New Roman" w:eastAsia="仿宋_GB2312" w:cs="Times New Roman"/>
          <w:color w:val="auto"/>
          <w:spacing w:val="-2"/>
          <w:sz w:val="32"/>
          <w:szCs w:val="32"/>
          <w:lang w:eastAsia="zh-CN"/>
        </w:rPr>
        <w:t>，</w:t>
      </w:r>
      <w:r>
        <w:rPr>
          <w:rFonts w:hint="default" w:ascii="Times New Roman" w:hAnsi="Times New Roman" w:eastAsia="仿宋_GB2312" w:cs="Times New Roman"/>
          <w:color w:val="auto"/>
          <w:spacing w:val="-2"/>
          <w:sz w:val="32"/>
          <w:szCs w:val="32"/>
          <w:lang w:val="en-US" w:eastAsia="zh-CN"/>
        </w:rPr>
        <w:t>员工</w:t>
      </w:r>
      <w:r>
        <w:rPr>
          <w:rFonts w:hint="eastAsia" w:eastAsia="仿宋_GB2312" w:cs="Times New Roman"/>
          <w:color w:val="auto"/>
          <w:spacing w:val="-2"/>
          <w:sz w:val="32"/>
          <w:szCs w:val="32"/>
          <w:lang w:val="en-US" w:eastAsia="zh-CN"/>
        </w:rPr>
        <w:t>60名</w:t>
      </w:r>
      <w:r>
        <w:rPr>
          <w:rFonts w:hint="default" w:ascii="Times New Roman" w:hAnsi="Times New Roman" w:eastAsia="仿宋_GB2312" w:cs="Times New Roman"/>
          <w:color w:val="auto"/>
          <w:spacing w:val="-2"/>
          <w:sz w:val="32"/>
          <w:szCs w:val="32"/>
          <w:lang w:val="en-US" w:eastAsia="zh-CN"/>
        </w:rPr>
        <w:t>，内部不安排食宿</w:t>
      </w:r>
      <w:r>
        <w:rPr>
          <w:rFonts w:hint="default" w:ascii="Times New Roman" w:hAnsi="Times New Roman" w:eastAsia="仿宋_GB2312" w:cs="Times New Roman"/>
          <w:b w:val="0"/>
          <w:bCs w:val="0"/>
          <w:kern w:val="0"/>
          <w:sz w:val="32"/>
          <w:szCs w:val="32"/>
          <w:vertAlign w:val="baseline"/>
          <w:lang w:val="en-US" w:eastAsia="zh-CN"/>
        </w:rPr>
        <w:t>。</w:t>
      </w:r>
    </w:p>
    <w:p w14:paraId="6583F509">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 xml:space="preserve">》的评价结论。 </w:t>
      </w:r>
    </w:p>
    <w:p w14:paraId="5E9FD59F">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46ACC4C3">
      <w:pPr>
        <w:keepNext w:val="0"/>
        <w:keepLines w:val="0"/>
        <w:pageBreakBefore w:val="0"/>
        <w:widowControl w:val="0"/>
        <w:kinsoku/>
        <w:wordWrap/>
        <w:overflowPunct/>
        <w:topLinePunct w:val="0"/>
        <w:bidi w:val="0"/>
        <w:spacing w:line="560" w:lineRule="exact"/>
        <w:ind w:firstLine="640" w:firstLineChars="200"/>
        <w:textAlignment w:val="auto"/>
        <w:rPr>
          <w:rFonts w:hint="default"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一</w:t>
      </w: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val="en-US" w:eastAsia="zh-CN"/>
        </w:rPr>
        <w:t>有机废气有组织排放执行《印刷工业大气污染物排放标准》（GB41616-2022）表1大气污染物排放限值及广东省《印刷行业挥发性有机物排放标准》（DB44/815-2010）中表2平版印刷第Ⅱ时段排放限值的较严值，</w:t>
      </w:r>
      <w:r>
        <w:rPr>
          <w:rFonts w:hint="default" w:ascii="Times New Roman" w:hAnsi="Times New Roman" w:eastAsia="仿宋_GB2312" w:cs="Times New Roman"/>
          <w:b w:val="0"/>
          <w:bCs w:val="0"/>
          <w:color w:val="auto"/>
          <w:sz w:val="32"/>
          <w:szCs w:val="32"/>
        </w:rPr>
        <w:t>臭气浓度排放执行《恶臭污染物排放标准》（GB14554-93）</w:t>
      </w:r>
      <w:r>
        <w:rPr>
          <w:rFonts w:hint="default" w:ascii="Times New Roman" w:hAnsi="Times New Roman" w:eastAsia="仿宋_GB2312" w:cs="Times New Roman"/>
          <w:b w:val="0"/>
          <w:bCs w:val="0"/>
          <w:color w:val="auto"/>
          <w:sz w:val="32"/>
          <w:szCs w:val="32"/>
          <w:lang w:val="en-US" w:eastAsia="zh-CN"/>
        </w:rPr>
        <w:t>表1恶臭污染物厂界标准值二级新扩改建</w:t>
      </w:r>
      <w:r>
        <w:rPr>
          <w:rFonts w:hint="eastAsia" w:eastAsia="仿宋_GB2312" w:cs="Times New Roman"/>
          <w:b w:val="0"/>
          <w:bCs w:val="0"/>
          <w:color w:val="auto"/>
          <w:sz w:val="32"/>
          <w:szCs w:val="32"/>
          <w:lang w:val="en-US" w:eastAsia="zh-CN"/>
        </w:rPr>
        <w:t>及</w:t>
      </w:r>
      <w:r>
        <w:rPr>
          <w:rFonts w:hint="default" w:ascii="Times New Roman" w:hAnsi="Times New Roman" w:eastAsia="仿宋_GB2312" w:cs="Times New Roman"/>
          <w:b w:val="0"/>
          <w:bCs w:val="0"/>
          <w:color w:val="auto"/>
          <w:sz w:val="32"/>
          <w:szCs w:val="32"/>
        </w:rPr>
        <w:t>表2排放标准值</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颗粒物排放执行广东省《大气污染物排放限值》（DB44/27-2001）第二时段二级标准排放限值及第二时段无组织排放监控浓度限值，锡及其化合物排放执行广东省《大气污染物排放限值》（DB44/27-2001）第二时段无组织排放监控浓度限值，厂界总VOCs排放执行广东省《印刷行业挥发性有机化合物排放标准》（DB4</w:t>
      </w:r>
      <w:bookmarkStart w:id="8" w:name="_GoBack"/>
      <w:bookmarkEnd w:id="8"/>
      <w:r>
        <w:rPr>
          <w:rFonts w:hint="eastAsia" w:ascii="Times New Roman" w:hAnsi="Times New Roman" w:eastAsia="仿宋_GB2312" w:cs="Times New Roman"/>
          <w:b w:val="0"/>
          <w:bCs w:val="0"/>
          <w:color w:val="auto"/>
          <w:sz w:val="32"/>
          <w:szCs w:val="32"/>
          <w:lang w:val="en-US" w:eastAsia="zh-CN"/>
        </w:rPr>
        <w:t>4/815-2010）表3无组织排放监控点浓度限值，厂区内非甲烷总烃排放执行广东省《固定污染源挥发性有机物综合排放标准》（DB44/2367-2022）表3厂区内VOCs无组织排放限值</w:t>
      </w:r>
      <w:r>
        <w:rPr>
          <w:rFonts w:hint="default" w:eastAsia="仿宋_GB2312" w:cs="Times New Roman"/>
          <w:b w:val="0"/>
          <w:bCs w:val="0"/>
          <w:sz w:val="32"/>
          <w:szCs w:val="32"/>
          <w:lang w:val="en-US" w:eastAsia="zh-CN"/>
        </w:rPr>
        <w:t>。</w:t>
      </w:r>
    </w:p>
    <w:p w14:paraId="3124B7FC">
      <w:pPr>
        <w:keepNext w:val="0"/>
        <w:keepLines w:val="0"/>
        <w:pageBreakBefore w:val="0"/>
        <w:widowControl w:val="0"/>
        <w:kinsoku/>
        <w:wordWrap/>
        <w:overflowPunct/>
        <w:topLinePunct w:val="0"/>
        <w:bidi w:val="0"/>
        <w:spacing w:line="560" w:lineRule="exact"/>
        <w:ind w:firstLine="640" w:firstLineChars="200"/>
        <w:textAlignment w:val="auto"/>
        <w:rPr>
          <w:rFonts w:hint="default" w:eastAsia="仿宋_GB2312" w:cs="Times New Roman"/>
          <w:b w:val="0"/>
          <w:bCs w:val="0"/>
          <w:sz w:val="32"/>
          <w:szCs w:val="32"/>
          <w:lang w:val="en-US" w:eastAsia="zh-CN"/>
        </w:rPr>
      </w:pPr>
      <w:r>
        <w:rPr>
          <w:rFonts w:hint="eastAsia" w:eastAsia="仿宋_GB2312" w:cs="Times New Roman"/>
          <w:b w:val="0"/>
          <w:bCs w:val="0"/>
          <w:sz w:val="32"/>
          <w:szCs w:val="32"/>
          <w:lang w:val="en-US" w:eastAsia="zh-CN"/>
        </w:rPr>
        <w:t>印刷、转印、激光裁切、激光雕刻、3D打印等工序产生的废气收集后经</w:t>
      </w:r>
      <w:r>
        <w:rPr>
          <w:rFonts w:hint="default" w:eastAsia="仿宋_GB2312" w:cs="Times New Roman"/>
          <w:b w:val="0"/>
          <w:bCs w:val="0"/>
          <w:sz w:val="32"/>
          <w:szCs w:val="32"/>
          <w:lang w:val="en-US" w:eastAsia="zh-CN"/>
        </w:rPr>
        <w:t>“干式过滤层+二级活性炭吸附”</w:t>
      </w:r>
      <w:r>
        <w:rPr>
          <w:rFonts w:hint="eastAsia" w:eastAsia="仿宋_GB2312" w:cs="Times New Roman"/>
          <w:b w:val="0"/>
          <w:bCs w:val="0"/>
          <w:sz w:val="32"/>
          <w:szCs w:val="32"/>
          <w:lang w:val="en-US" w:eastAsia="zh-CN"/>
        </w:rPr>
        <w:t>装置处理达标后，经专用管道引致所在建筑物楼顶高空排放，项目设置废气排放口1个。加强项目边界无组织排放废气的监控，确保项目边界无组织排放监控点的废气达到相应标准限值的要求，监测超标时应加强对无组织排放废气进行收集、净化处理。</w:t>
      </w:r>
    </w:p>
    <w:p w14:paraId="044DE92D">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二</w:t>
      </w: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val="en-US" w:eastAsia="zh-CN"/>
        </w:rPr>
        <w:t>排水系统采用雨污分流，</w:t>
      </w:r>
      <w:r>
        <w:rPr>
          <w:rFonts w:hint="default" w:ascii="Times New Roman" w:hAnsi="Times New Roman" w:eastAsia="仿宋_GB2312" w:cs="Times New Roman"/>
          <w:b w:val="0"/>
          <w:bCs w:val="0"/>
          <w:color w:val="auto"/>
          <w:sz w:val="32"/>
          <w:szCs w:val="32"/>
        </w:rPr>
        <w:t>生活污水经三级化粪池预处理后排入市政集污管网，送</w:t>
      </w:r>
      <w:r>
        <w:rPr>
          <w:rFonts w:hint="default" w:ascii="Times New Roman" w:hAnsi="Times New Roman" w:eastAsia="仿宋_GB2312" w:cs="Times New Roman"/>
          <w:b w:val="0"/>
          <w:bCs w:val="0"/>
          <w:color w:val="auto"/>
          <w:sz w:val="32"/>
          <w:szCs w:val="32"/>
          <w:lang w:val="en-US" w:eastAsia="zh-CN"/>
        </w:rPr>
        <w:t>前锋</w:t>
      </w:r>
      <w:r>
        <w:rPr>
          <w:rFonts w:hint="default" w:ascii="Times New Roman" w:hAnsi="Times New Roman" w:eastAsia="仿宋_GB2312" w:cs="Times New Roman"/>
          <w:b w:val="0"/>
          <w:bCs w:val="0"/>
          <w:color w:val="auto"/>
          <w:sz w:val="32"/>
          <w:szCs w:val="32"/>
        </w:rPr>
        <w:t>净水厂处理。项目设置废水排放口1个。水污染物排放执行广东省《水污染物排放限值》（DB44/26-2001）第二时段三级标准。生活污水排放量不超过</w:t>
      </w:r>
      <w:r>
        <w:rPr>
          <w:rFonts w:hint="eastAsia" w:eastAsia="仿宋_GB2312" w:cs="Times New Roman"/>
          <w:b w:val="0"/>
          <w:bCs w:val="0"/>
          <w:color w:val="auto"/>
          <w:sz w:val="32"/>
          <w:szCs w:val="32"/>
          <w:lang w:val="en-US" w:eastAsia="zh-CN"/>
        </w:rPr>
        <w:t>540</w:t>
      </w:r>
      <w:r>
        <w:rPr>
          <w:rFonts w:hint="default" w:ascii="Times New Roman" w:hAnsi="Times New Roman" w:eastAsia="仿宋_GB2312" w:cs="Times New Roman"/>
          <w:b w:val="0"/>
          <w:bCs w:val="0"/>
          <w:color w:val="auto"/>
          <w:sz w:val="32"/>
          <w:szCs w:val="32"/>
        </w:rPr>
        <w:t>吨/年</w:t>
      </w:r>
      <w:r>
        <w:rPr>
          <w:rFonts w:hint="eastAsia" w:eastAsia="仿宋_GB2312" w:cs="Times New Roman"/>
          <w:b w:val="0"/>
          <w:bCs w:val="0"/>
          <w:sz w:val="32"/>
          <w:szCs w:val="32"/>
          <w:lang w:val="en-US" w:eastAsia="zh-CN"/>
        </w:rPr>
        <w:t>。</w:t>
      </w:r>
    </w:p>
    <w:p w14:paraId="7BCDDF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（三）项目噪声排放执行《工业企业厂界环境噪声排放标准》（GB12348-2008）</w:t>
      </w:r>
      <w:r>
        <w:rPr>
          <w:rFonts w:hint="eastAsia" w:ascii="Times New Roman" w:hAnsi="Times New Roman" w:eastAsia="仿宋_GB2312" w:cs="Times New Roman"/>
          <w:b w:val="0"/>
          <w:bCs w:val="0"/>
          <w:sz w:val="32"/>
          <w:szCs w:val="32"/>
          <w:lang w:val="en-US" w:eastAsia="zh-CN"/>
        </w:rPr>
        <w:t>3类标准</w:t>
      </w:r>
      <w:r>
        <w:rPr>
          <w:rFonts w:hint="default" w:ascii="Times New Roman" w:hAnsi="Times New Roman" w:eastAsia="仿宋_GB2312" w:cs="Times New Roman"/>
          <w:b w:val="0"/>
          <w:bCs w:val="0"/>
          <w:sz w:val="32"/>
          <w:szCs w:val="32"/>
        </w:rPr>
        <w:t>。</w:t>
      </w:r>
    </w:p>
    <w:p w14:paraId="30F588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lang w:val="en-US"/>
        </w:rPr>
      </w:pPr>
      <w:r>
        <w:rPr>
          <w:rFonts w:hint="default" w:ascii="Times New Roman" w:hAnsi="Times New Roman" w:eastAsia="仿宋_GB2312" w:cs="Times New Roman"/>
          <w:b w:val="0"/>
          <w:bCs w:val="0"/>
          <w:sz w:val="32"/>
          <w:szCs w:val="32"/>
        </w:rPr>
        <w:t>（四）</w:t>
      </w:r>
      <w:bookmarkStart w:id="3" w:name="OLE_LINK16"/>
      <w:r>
        <w:rPr>
          <w:rFonts w:hint="default" w:ascii="Times New Roman" w:hAnsi="Times New Roman" w:eastAsia="仿宋_GB2312" w:cs="Times New Roman"/>
          <w:b w:val="0"/>
          <w:bCs w:val="0"/>
          <w:sz w:val="32"/>
          <w:szCs w:val="32"/>
        </w:rPr>
        <w:t>各类固体废物实行分类收集、处置</w:t>
      </w:r>
      <w:bookmarkEnd w:id="3"/>
      <w:bookmarkStart w:id="4" w:name="OLE_LINK12"/>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固体废物</w:t>
      </w:r>
      <w:r>
        <w:rPr>
          <w:rFonts w:hint="eastAsia" w:ascii="Times New Roman" w:hAnsi="Times New Roman" w:eastAsia="仿宋_GB2312" w:cs="Times New Roman"/>
          <w:b w:val="0"/>
          <w:bCs w:val="0"/>
          <w:sz w:val="32"/>
          <w:szCs w:val="32"/>
          <w:lang w:eastAsia="zh-CN"/>
        </w:rPr>
        <w:t>的贮存、堆放应</w:t>
      </w:r>
      <w:r>
        <w:rPr>
          <w:rFonts w:hint="default" w:ascii="Times New Roman" w:hAnsi="Times New Roman" w:eastAsia="仿宋_GB2312" w:cs="Times New Roman"/>
          <w:b w:val="0"/>
          <w:bCs w:val="0"/>
          <w:sz w:val="32"/>
          <w:szCs w:val="32"/>
          <w:lang w:eastAsia="zh-CN"/>
        </w:rPr>
        <w:t>按</w:t>
      </w:r>
      <w:r>
        <w:rPr>
          <w:rFonts w:hint="default" w:ascii="Times New Roman" w:hAnsi="Times New Roman" w:eastAsia="仿宋_GB2312" w:cs="Times New Roman"/>
          <w:b w:val="0"/>
          <w:bCs w:val="0"/>
          <w:sz w:val="32"/>
          <w:szCs w:val="32"/>
        </w:rPr>
        <w:t>《危险废物贮存污染控制标准》（GB18597-20</w:t>
      </w:r>
      <w:r>
        <w:rPr>
          <w:rFonts w:hint="default"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《一般工业固体废物贮存和填埋污染控制标准》(GB 18599-2020)</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进行管理。</w:t>
      </w:r>
      <w:r>
        <w:rPr>
          <w:rFonts w:hint="eastAsia" w:ascii="Times New Roman" w:hAnsi="Times New Roman" w:eastAsia="仿宋_GB2312" w:cs="Times New Roman"/>
          <w:b w:val="0"/>
          <w:bCs w:val="0"/>
          <w:sz w:val="32"/>
          <w:szCs w:val="32"/>
          <w:lang w:eastAsia="zh-CN"/>
        </w:rPr>
        <w:t>危险废物应委托有资质的单位处置。</w:t>
      </w:r>
    </w:p>
    <w:bookmarkEnd w:id="4"/>
    <w:p w14:paraId="5E03C6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rPr>
        <w:t>）加强环境风险防范和应急工作</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建立健全环境事故应急体系，落实各项环境风险防范与应急措施，确保</w:t>
      </w:r>
      <w:r>
        <w:rPr>
          <w:rFonts w:hint="eastAsia"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p>
    <w:p w14:paraId="1087EC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（六）</w:t>
      </w:r>
      <w:r>
        <w:rPr>
          <w:rFonts w:hint="default" w:ascii="Times New Roman" w:hAnsi="Times New Roman" w:eastAsia="仿宋_GB2312" w:cs="Times New Roman"/>
          <w:b w:val="0"/>
          <w:bCs w:val="0"/>
          <w:sz w:val="32"/>
          <w:szCs w:val="32"/>
        </w:rPr>
        <w:t>加强运营期</w:t>
      </w:r>
      <w:r>
        <w:rPr>
          <w:rFonts w:hint="default" w:ascii="Times New Roman" w:hAnsi="Times New Roman" w:eastAsia="仿宋_GB2312" w:cs="Times New Roman"/>
          <w:b w:val="0"/>
          <w:bCs w:val="0"/>
          <w:sz w:val="32"/>
          <w:szCs w:val="32"/>
          <w:lang w:eastAsia="zh-CN"/>
        </w:rPr>
        <w:t>环境保护</w:t>
      </w:r>
      <w:r>
        <w:rPr>
          <w:rFonts w:hint="default" w:ascii="Times New Roman" w:hAnsi="Times New Roman" w:eastAsia="仿宋_GB2312" w:cs="Times New Roman"/>
          <w:b w:val="0"/>
          <w:bCs w:val="0"/>
          <w:sz w:val="32"/>
          <w:szCs w:val="32"/>
        </w:rPr>
        <w:t>管理，</w:t>
      </w:r>
      <w:r>
        <w:rPr>
          <w:rFonts w:hint="default" w:ascii="Times New Roman" w:hAnsi="Times New Roman" w:eastAsia="仿宋_GB2312" w:cs="Times New Roman"/>
          <w:b w:val="0"/>
          <w:bCs w:val="0"/>
          <w:sz w:val="32"/>
          <w:szCs w:val="32"/>
          <w:lang w:eastAsia="zh-CN"/>
        </w:rPr>
        <w:t>确保各项污染物稳定达标排放，并</w:t>
      </w:r>
      <w:bookmarkStart w:id="5" w:name="OLE_LINK15"/>
      <w:r>
        <w:rPr>
          <w:rFonts w:hint="eastAsia" w:ascii="Times New Roman" w:hAnsi="Times New Roman" w:eastAsia="仿宋_GB2312" w:cs="Times New Roman"/>
          <w:b w:val="0"/>
          <w:bCs w:val="0"/>
          <w:sz w:val="32"/>
          <w:szCs w:val="32"/>
          <w:lang w:eastAsia="zh-CN"/>
        </w:rPr>
        <w:t>按规定</w:t>
      </w:r>
      <w:r>
        <w:rPr>
          <w:rFonts w:hint="default" w:ascii="Times New Roman" w:hAnsi="Times New Roman" w:eastAsia="仿宋_GB2312" w:cs="Times New Roman"/>
          <w:b w:val="0"/>
          <w:bCs w:val="0"/>
          <w:sz w:val="32"/>
          <w:szCs w:val="32"/>
        </w:rPr>
        <w:t>做好污染物排放</w:t>
      </w:r>
      <w:r>
        <w:rPr>
          <w:rFonts w:hint="default" w:ascii="Times New Roman" w:hAnsi="Times New Roman" w:eastAsia="仿宋_GB2312" w:cs="Times New Roman"/>
          <w:b w:val="0"/>
          <w:bCs w:val="0"/>
          <w:sz w:val="32"/>
          <w:szCs w:val="32"/>
          <w:lang w:eastAsia="zh-CN"/>
        </w:rPr>
        <w:t>的自行</w:t>
      </w:r>
      <w:r>
        <w:rPr>
          <w:rFonts w:hint="default" w:ascii="Times New Roman" w:hAnsi="Times New Roman" w:eastAsia="仿宋_GB2312" w:cs="Times New Roman"/>
          <w:b w:val="0"/>
          <w:bCs w:val="0"/>
          <w:sz w:val="32"/>
          <w:szCs w:val="32"/>
        </w:rPr>
        <w:t>监测</w:t>
      </w:r>
      <w:r>
        <w:rPr>
          <w:rFonts w:hint="default" w:ascii="Times New Roman" w:hAnsi="Times New Roman" w:eastAsia="仿宋_GB2312" w:cs="Times New Roman"/>
          <w:b w:val="0"/>
          <w:bCs w:val="0"/>
          <w:sz w:val="32"/>
          <w:szCs w:val="32"/>
          <w:lang w:eastAsia="zh-CN"/>
        </w:rPr>
        <w:t>及信息公开工作</w:t>
      </w:r>
      <w:bookmarkEnd w:id="5"/>
      <w:r>
        <w:rPr>
          <w:rFonts w:hint="default" w:ascii="Times New Roman" w:hAnsi="Times New Roman" w:eastAsia="仿宋_GB2312" w:cs="Times New Roman"/>
          <w:b w:val="0"/>
          <w:bCs w:val="0"/>
          <w:sz w:val="32"/>
          <w:szCs w:val="32"/>
        </w:rPr>
        <w:t>。</w:t>
      </w:r>
    </w:p>
    <w:p w14:paraId="1E7F75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sz w:val="32"/>
          <w:szCs w:val="32"/>
        </w:rPr>
        <w:t>（七）</w:t>
      </w:r>
      <w:bookmarkStart w:id="6" w:name="OLE_LINK21"/>
      <w:r>
        <w:rPr>
          <w:rFonts w:hint="eastAsia" w:ascii="Times New Roman" w:hAnsi="Times New Roman" w:eastAsia="仿宋_GB2312" w:cs="Times New Roman"/>
          <w:b w:val="0"/>
          <w:bCs w:val="0"/>
          <w:sz w:val="32"/>
          <w:szCs w:val="32"/>
        </w:rPr>
        <w:t>项目建设</w:t>
      </w:r>
      <w:r>
        <w:rPr>
          <w:rFonts w:hint="eastAsia" w:ascii="Times New Roman" w:hAnsi="Times New Roman" w:eastAsia="仿宋_GB2312" w:cs="Times New Roman"/>
          <w:b w:val="0"/>
          <w:bCs w:val="0"/>
          <w:sz w:val="32"/>
          <w:szCs w:val="32"/>
          <w:lang w:eastAsia="zh-CN"/>
        </w:rPr>
        <w:t>应</w:t>
      </w:r>
      <w:r>
        <w:rPr>
          <w:rFonts w:hint="eastAsia" w:ascii="Times New Roman" w:hAnsi="Times New Roman" w:eastAsia="仿宋_GB2312" w:cs="Times New Roman"/>
          <w:b w:val="0"/>
          <w:bCs w:val="0"/>
          <w:sz w:val="32"/>
          <w:szCs w:val="32"/>
        </w:rPr>
        <w:t>符合法律、法规等要求，如涉及规划、</w:t>
      </w:r>
      <w:r>
        <w:rPr>
          <w:rFonts w:hint="eastAsia" w:ascii="仿宋_GB2312" w:hAnsi="仿宋_GB2312" w:eastAsia="仿宋_GB2312" w:cs="仿宋_GB2312"/>
          <w:color w:val="auto"/>
          <w:sz w:val="32"/>
          <w:szCs w:val="32"/>
          <w:highlight w:val="none"/>
        </w:rPr>
        <w:t>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6"/>
    </w:p>
    <w:p w14:paraId="6B29C81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45838D5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08F9C122">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sz w:val="32"/>
          <w:szCs w:val="32"/>
        </w:rPr>
      </w:pPr>
    </w:p>
    <w:p w14:paraId="719ABC6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sz w:val="32"/>
          <w:szCs w:val="32"/>
        </w:rPr>
      </w:pPr>
    </w:p>
    <w:p w14:paraId="3B215F29">
      <w:pPr>
        <w:keepNext w:val="0"/>
        <w:keepLines w:val="0"/>
        <w:pageBreakBefore w:val="0"/>
        <w:widowControl w:val="0"/>
        <w:kinsoku/>
        <w:wordWrap/>
        <w:overflowPunct/>
        <w:topLinePunct w:val="0"/>
        <w:bidi w:val="0"/>
        <w:spacing w:line="56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4A839BC0">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eastAsia" w:eastAsia="仿宋_GB2312" w:cs="Times New Roman"/>
          <w:b w:val="0"/>
          <w:bCs w:val="0"/>
          <w:sz w:val="32"/>
          <w:szCs w:val="32"/>
          <w:lang w:val="en-US" w:eastAsia="zh-CN"/>
        </w:rPr>
        <w:t>11</w:t>
      </w:r>
      <w:r>
        <w:rPr>
          <w:rFonts w:hint="default" w:ascii="Times New Roman" w:hAnsi="Times New Roman" w:eastAsia="仿宋_GB2312" w:cs="Times New Roman"/>
          <w:b w:val="0"/>
          <w:bCs w:val="0"/>
          <w:sz w:val="32"/>
          <w:szCs w:val="32"/>
        </w:rPr>
        <w:t>月</w:t>
      </w:r>
      <w:r>
        <w:rPr>
          <w:rFonts w:hint="eastAsia" w:eastAsia="仿宋_GB2312" w:cs="Times New Roman"/>
          <w:b w:val="0"/>
          <w:bCs w:val="0"/>
          <w:sz w:val="32"/>
          <w:szCs w:val="32"/>
          <w:lang w:val="en-US" w:eastAsia="zh-CN"/>
        </w:rPr>
        <w:t>24</w:t>
      </w:r>
      <w:r>
        <w:rPr>
          <w:rFonts w:hint="default" w:ascii="Times New Roman" w:hAnsi="Times New Roman" w:eastAsia="仿宋_GB2312" w:cs="Times New Roman"/>
          <w:b w:val="0"/>
          <w:bCs w:val="0"/>
          <w:sz w:val="32"/>
          <w:szCs w:val="32"/>
        </w:rPr>
        <w:t>日</w:t>
      </w:r>
    </w:p>
    <w:p w14:paraId="45D1C52A">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57EA72FC">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51CCF5A1">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4EAA9875">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79BAB0F5">
      <w:pPr>
        <w:keepNext w:val="0"/>
        <w:keepLines w:val="0"/>
        <w:pageBreakBefore w:val="0"/>
        <w:widowControl w:val="0"/>
        <w:kinsoku/>
        <w:wordWrap/>
        <w:overflowPunct/>
        <w:topLinePunct w:val="0"/>
        <w:bidi w:val="0"/>
        <w:spacing w:line="56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39F35121">
      <w:pPr>
        <w:pStyle w:val="24"/>
        <w:keepNext w:val="0"/>
        <w:keepLines w:val="0"/>
        <w:pageBreakBefore w:val="0"/>
        <w:widowControl w:val="0"/>
        <w:kinsoku/>
        <w:wordWrap/>
        <w:overflowPunct/>
        <w:topLinePunct w:val="0"/>
        <w:bidi w:val="0"/>
        <w:spacing w:line="560" w:lineRule="exact"/>
        <w:textAlignment w:val="auto"/>
        <w:rPr>
          <w:rFonts w:hint="eastAsia" w:ascii="黑体" w:hAnsi="黑体" w:eastAsia="黑体" w:cs="黑体"/>
          <w:b w:val="0"/>
          <w:bCs w:val="0"/>
          <w:sz w:val="32"/>
          <w:szCs w:val="32"/>
        </w:rPr>
      </w:pPr>
    </w:p>
    <w:p w14:paraId="13ABBED6">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52116694">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eastAsia" w:ascii="黑体" w:hAnsi="黑体" w:eastAsia="黑体" w:cs="黑体"/>
          <w:b w:val="0"/>
          <w:bCs w:val="0"/>
          <w:sz w:val="32"/>
          <w:szCs w:val="32"/>
        </w:rPr>
      </w:pPr>
    </w:p>
    <w:p w14:paraId="079FB969">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3B2FBB38">
      <w:pPr>
        <w:keepNext w:val="0"/>
        <w:keepLines w:val="0"/>
        <w:pageBreakBefore w:val="0"/>
        <w:widowControl w:val="0"/>
        <w:kinsoku/>
        <w:wordWrap/>
        <w:overflowPunct/>
        <w:topLinePunct w:val="0"/>
        <w:autoSpaceDE/>
        <w:autoSpaceDN/>
        <w:bidi w:val="0"/>
        <w:adjustRightInd/>
        <w:spacing w:line="560" w:lineRule="exact"/>
        <w:textAlignment w:val="auto"/>
        <w:outlineLvl w:val="0"/>
        <w:rPr>
          <w:rFonts w:hint="default" w:ascii="Times New Roman" w:hAnsi="Times New Roman" w:eastAsia="仿宋_GB2312" w:cs="Times New Roman"/>
          <w:b w:val="0"/>
          <w:bCs w:val="0"/>
          <w:sz w:val="32"/>
          <w:szCs w:val="32"/>
        </w:rPr>
      </w:pPr>
    </w:p>
    <w:p w14:paraId="1CF67948">
      <w:pPr>
        <w:keepNext w:val="0"/>
        <w:keepLines w:val="0"/>
        <w:pageBreakBefore w:val="0"/>
        <w:widowControl w:val="0"/>
        <w:kinsoku/>
        <w:wordWrap/>
        <w:overflowPunct/>
        <w:topLinePunct w:val="0"/>
        <w:autoSpaceDE/>
        <w:autoSpaceDN/>
        <w:bidi w:val="0"/>
        <w:adjustRightInd/>
        <w:snapToGrid w:val="0"/>
        <w:spacing w:line="560" w:lineRule="exact"/>
        <w:ind w:left="0" w:leftChars="0" w:firstLine="560" w:firstLineChars="200"/>
        <w:jc w:val="left"/>
        <w:textAlignment w:val="auto"/>
        <w:rPr>
          <w:rFonts w:hint="eastAsia"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rPr>
        <w:t>抄送：</w:t>
      </w:r>
      <w:bookmarkStart w:id="7" w:name="OLE_LINK13"/>
      <w:r>
        <w:rPr>
          <w:rFonts w:hint="eastAsia" w:eastAsia="仿宋_GB2312" w:cs="Times New Roman"/>
          <w:b w:val="0"/>
          <w:bCs w:val="0"/>
          <w:sz w:val="28"/>
          <w:szCs w:val="28"/>
          <w:lang w:eastAsia="zh-CN"/>
        </w:rPr>
        <w:t>广州市生态环境局番禺分局</w:t>
      </w:r>
      <w:r>
        <w:rPr>
          <w:rFonts w:hint="eastAsia" w:eastAsia="仿宋_GB2312" w:cs="Times New Roman"/>
          <w:b w:val="0"/>
          <w:bCs w:val="0"/>
          <w:sz w:val="28"/>
          <w:szCs w:val="28"/>
          <w:lang w:val="en-US" w:eastAsia="zh-CN"/>
        </w:rPr>
        <w:t>监管三科、</w:t>
      </w:r>
      <w:r>
        <w:rPr>
          <w:rFonts w:hint="eastAsia" w:eastAsia="仿宋_GB2312" w:cs="Times New Roman"/>
          <w:b w:val="0"/>
          <w:bCs w:val="0"/>
          <w:sz w:val="28"/>
          <w:szCs w:val="28"/>
          <w:lang w:eastAsia="zh-CN"/>
        </w:rPr>
        <w:t>执法</w:t>
      </w:r>
      <w:r>
        <w:rPr>
          <w:rFonts w:hint="eastAsia" w:eastAsia="仿宋_GB2312" w:cs="Times New Roman"/>
          <w:b w:val="0"/>
          <w:bCs w:val="0"/>
          <w:sz w:val="28"/>
          <w:szCs w:val="28"/>
          <w:lang w:val="en-US" w:eastAsia="zh-CN"/>
        </w:rPr>
        <w:t>二</w:t>
      </w:r>
      <w:r>
        <w:rPr>
          <w:rFonts w:hint="eastAsia" w:eastAsia="仿宋_GB2312" w:cs="Times New Roman"/>
          <w:b w:val="0"/>
          <w:bCs w:val="0"/>
          <w:sz w:val="28"/>
          <w:szCs w:val="28"/>
          <w:lang w:eastAsia="zh-CN"/>
        </w:rPr>
        <w:t>科；</w:t>
      </w:r>
      <w:r>
        <w:rPr>
          <w:rFonts w:hint="eastAsia" w:eastAsia="仿宋_GB2312" w:cs="Times New Roman"/>
          <w:b w:val="0"/>
          <w:bCs w:val="0"/>
          <w:sz w:val="28"/>
          <w:szCs w:val="28"/>
          <w:lang w:val="en-US" w:eastAsia="zh-CN"/>
        </w:rPr>
        <w:t>广州市</w:t>
      </w:r>
      <w:r>
        <w:rPr>
          <w:rFonts w:hint="eastAsia" w:eastAsia="仿宋_GB2312" w:cs="Times New Roman"/>
          <w:b w:val="0"/>
          <w:bCs w:val="0"/>
          <w:sz w:val="28"/>
          <w:szCs w:val="28"/>
          <w:lang w:eastAsia="zh-CN"/>
        </w:rPr>
        <w:t>生态环境局番禺第</w:t>
      </w:r>
      <w:r>
        <w:rPr>
          <w:rFonts w:hint="eastAsia" w:eastAsia="仿宋_GB2312" w:cs="Times New Roman"/>
          <w:b w:val="0"/>
          <w:bCs w:val="0"/>
          <w:sz w:val="28"/>
          <w:szCs w:val="28"/>
          <w:lang w:val="en-US" w:eastAsia="zh-CN"/>
        </w:rPr>
        <w:t>四</w:t>
      </w:r>
      <w:r>
        <w:rPr>
          <w:rFonts w:hint="eastAsia" w:eastAsia="仿宋_GB2312" w:cs="Times New Roman"/>
          <w:b w:val="0"/>
          <w:bCs w:val="0"/>
          <w:sz w:val="28"/>
          <w:szCs w:val="28"/>
          <w:lang w:eastAsia="zh-CN"/>
        </w:rPr>
        <w:t>环保所、</w:t>
      </w:r>
      <w:r>
        <w:rPr>
          <w:rFonts w:hint="eastAsia" w:eastAsia="仿宋_GB2312" w:cs="Times New Roman"/>
          <w:b w:val="0"/>
          <w:bCs w:val="0"/>
          <w:sz w:val="28"/>
          <w:szCs w:val="28"/>
          <w:lang w:val="en-US" w:eastAsia="zh-CN"/>
        </w:rPr>
        <w:t>番禺技术中心；广州市中扬环保工程有限公司</w:t>
      </w:r>
      <w:r>
        <w:rPr>
          <w:rFonts w:hint="default" w:ascii="Times New Roman" w:hAnsi="Times New Roman" w:eastAsia="仿宋_GB2312" w:cs="Times New Roman"/>
          <w:b w:val="0"/>
          <w:bCs w:val="0"/>
          <w:sz w:val="28"/>
          <w:szCs w:val="28"/>
        </w:rPr>
        <w:t>。</w:t>
      </w:r>
      <w:bookmarkEnd w:id="0"/>
      <w:bookmarkEnd w:id="7"/>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328F">
    <w:pPr>
      <w:pStyle w:val="13"/>
      <w:framePr w:wrap="around" w:vAnchor="text" w:hAnchor="margin" w:xAlign="outside" w:y="1"/>
      <w:rPr>
        <w:rStyle w:val="22"/>
        <w:rFonts w:hint="eastAsia"/>
        <w:sz w:val="28"/>
      </w:rPr>
    </w:pPr>
    <w:r>
      <w:rPr>
        <w:rStyle w:val="22"/>
        <w:rFonts w:hint="eastAsia" w:ascii="宋体" w:hAnsi="宋体"/>
        <w:sz w:val="28"/>
      </w:rPr>
      <w:t>―</w:t>
    </w:r>
    <w:r>
      <w:rPr>
        <w:rStyle w:val="22"/>
        <w:rFonts w:hint="eastAsia"/>
        <w:sz w:val="28"/>
      </w:rPr>
      <w:t xml:space="preserve"> </w:t>
    </w:r>
    <w:r>
      <w:rPr>
        <w:rStyle w:val="22"/>
        <w:sz w:val="28"/>
      </w:rPr>
      <w:fldChar w:fldCharType="begin"/>
    </w:r>
    <w:r>
      <w:rPr>
        <w:rStyle w:val="22"/>
        <w:sz w:val="28"/>
      </w:rPr>
      <w:instrText xml:space="preserve">PAGE  </w:instrText>
    </w:r>
    <w:r>
      <w:rPr>
        <w:rStyle w:val="22"/>
        <w:sz w:val="28"/>
      </w:rPr>
      <w:fldChar w:fldCharType="separate"/>
    </w:r>
    <w:r>
      <w:rPr>
        <w:rStyle w:val="22"/>
        <w:sz w:val="28"/>
      </w:rPr>
      <w:t>2</w:t>
    </w:r>
    <w:r>
      <w:rPr>
        <w:rStyle w:val="22"/>
        <w:sz w:val="28"/>
      </w:rPr>
      <w:fldChar w:fldCharType="end"/>
    </w:r>
    <w:r>
      <w:rPr>
        <w:rStyle w:val="22"/>
        <w:rFonts w:hint="eastAsia"/>
        <w:sz w:val="28"/>
      </w:rPr>
      <w:t xml:space="preserve"> </w:t>
    </w:r>
    <w:r>
      <w:rPr>
        <w:rStyle w:val="22"/>
        <w:rFonts w:hint="eastAsia" w:ascii="宋体" w:hAnsi="宋体"/>
        <w:sz w:val="28"/>
      </w:rPr>
      <w:t>―</w:t>
    </w:r>
  </w:p>
  <w:p w14:paraId="20B99668">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A6833">
    <w:pPr>
      <w:pStyle w:val="13"/>
      <w:framePr w:wrap="around" w:vAnchor="text" w:hAnchor="margin" w:xAlign="outside" w:y="1"/>
      <w:rPr>
        <w:rStyle w:val="22"/>
      </w:rPr>
    </w:pPr>
    <w:r>
      <w:rPr>
        <w:rStyle w:val="22"/>
      </w:rPr>
      <w:fldChar w:fldCharType="begin"/>
    </w:r>
    <w:r>
      <w:rPr>
        <w:rStyle w:val="22"/>
      </w:rPr>
      <w:instrText xml:space="preserve">PAGE  </w:instrText>
    </w:r>
    <w:r>
      <w:rPr>
        <w:rStyle w:val="22"/>
      </w:rPr>
      <w:fldChar w:fldCharType="end"/>
    </w:r>
  </w:p>
  <w:p w14:paraId="6609E64F">
    <w:pPr>
      <w:pStyle w:val="1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5E1E4">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CF8389"/>
    <w:multiLevelType w:val="singleLevel"/>
    <w:tmpl w:val="E1CF8389"/>
    <w:lvl w:ilvl="0" w:tentative="0">
      <w:start w:val="1"/>
      <w:numFmt w:val="bullet"/>
      <w:pStyle w:val="5"/>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2401036"/>
    <w:rsid w:val="0726573F"/>
    <w:rsid w:val="09CA1181"/>
    <w:rsid w:val="0D4F2AE5"/>
    <w:rsid w:val="0DEB5A37"/>
    <w:rsid w:val="0E640050"/>
    <w:rsid w:val="0F52122C"/>
    <w:rsid w:val="0F6F1094"/>
    <w:rsid w:val="128379F6"/>
    <w:rsid w:val="12856FF3"/>
    <w:rsid w:val="13C979FA"/>
    <w:rsid w:val="15624E21"/>
    <w:rsid w:val="16153CF4"/>
    <w:rsid w:val="162643F4"/>
    <w:rsid w:val="17D84309"/>
    <w:rsid w:val="18307DB5"/>
    <w:rsid w:val="19FE60C7"/>
    <w:rsid w:val="1A1914F5"/>
    <w:rsid w:val="1B176524"/>
    <w:rsid w:val="1BED373D"/>
    <w:rsid w:val="1C663D97"/>
    <w:rsid w:val="1E765922"/>
    <w:rsid w:val="1F0D7671"/>
    <w:rsid w:val="1FDE71AF"/>
    <w:rsid w:val="20BA50E3"/>
    <w:rsid w:val="220E557A"/>
    <w:rsid w:val="232609F0"/>
    <w:rsid w:val="251610E2"/>
    <w:rsid w:val="252D1EE5"/>
    <w:rsid w:val="260A4701"/>
    <w:rsid w:val="269D7E97"/>
    <w:rsid w:val="27CB7E09"/>
    <w:rsid w:val="284E34A5"/>
    <w:rsid w:val="291649F7"/>
    <w:rsid w:val="291B3F52"/>
    <w:rsid w:val="29FA00EA"/>
    <w:rsid w:val="2A7501F0"/>
    <w:rsid w:val="2BFC0D17"/>
    <w:rsid w:val="2C5348C6"/>
    <w:rsid w:val="2D3E219F"/>
    <w:rsid w:val="2D9B4434"/>
    <w:rsid w:val="2DE54F52"/>
    <w:rsid w:val="2F2E2D8A"/>
    <w:rsid w:val="2FC737F6"/>
    <w:rsid w:val="30023F2B"/>
    <w:rsid w:val="30025200"/>
    <w:rsid w:val="30870396"/>
    <w:rsid w:val="31B62063"/>
    <w:rsid w:val="339B5615"/>
    <w:rsid w:val="357363DE"/>
    <w:rsid w:val="368707A0"/>
    <w:rsid w:val="36E8706D"/>
    <w:rsid w:val="37FF4F0E"/>
    <w:rsid w:val="38A97D85"/>
    <w:rsid w:val="3A282EC7"/>
    <w:rsid w:val="3A53380B"/>
    <w:rsid w:val="3B3F5F02"/>
    <w:rsid w:val="3D957DFF"/>
    <w:rsid w:val="3DFE29E0"/>
    <w:rsid w:val="402A1393"/>
    <w:rsid w:val="40EE14B1"/>
    <w:rsid w:val="40F07806"/>
    <w:rsid w:val="41680404"/>
    <w:rsid w:val="42007882"/>
    <w:rsid w:val="42B875A4"/>
    <w:rsid w:val="438576C5"/>
    <w:rsid w:val="439F0BBE"/>
    <w:rsid w:val="45CF5437"/>
    <w:rsid w:val="461D3EE6"/>
    <w:rsid w:val="4732045C"/>
    <w:rsid w:val="476D05EC"/>
    <w:rsid w:val="48BC7A7A"/>
    <w:rsid w:val="4D037CA5"/>
    <w:rsid w:val="4D4D6CAD"/>
    <w:rsid w:val="4E100354"/>
    <w:rsid w:val="4E823E3F"/>
    <w:rsid w:val="50775E7B"/>
    <w:rsid w:val="51463C84"/>
    <w:rsid w:val="51EC39BC"/>
    <w:rsid w:val="526D1882"/>
    <w:rsid w:val="54535B9B"/>
    <w:rsid w:val="56D90809"/>
    <w:rsid w:val="575E5E0B"/>
    <w:rsid w:val="576C3EC8"/>
    <w:rsid w:val="58F4010C"/>
    <w:rsid w:val="599125D0"/>
    <w:rsid w:val="5AF33D1E"/>
    <w:rsid w:val="5C497B1F"/>
    <w:rsid w:val="5D0C3D95"/>
    <w:rsid w:val="5E175DB4"/>
    <w:rsid w:val="5E3E7416"/>
    <w:rsid w:val="5F63425D"/>
    <w:rsid w:val="633A1D77"/>
    <w:rsid w:val="63C51FC3"/>
    <w:rsid w:val="6534300B"/>
    <w:rsid w:val="66013B47"/>
    <w:rsid w:val="670856A2"/>
    <w:rsid w:val="69271CDD"/>
    <w:rsid w:val="69FC3374"/>
    <w:rsid w:val="6ABE0F32"/>
    <w:rsid w:val="6B743DD4"/>
    <w:rsid w:val="6BB20BEF"/>
    <w:rsid w:val="6BFA5CBF"/>
    <w:rsid w:val="6CB93980"/>
    <w:rsid w:val="6D5C181F"/>
    <w:rsid w:val="6E193FCD"/>
    <w:rsid w:val="6E273EB7"/>
    <w:rsid w:val="6E3D4902"/>
    <w:rsid w:val="70EB61B4"/>
    <w:rsid w:val="719E1C2B"/>
    <w:rsid w:val="71F25EB7"/>
    <w:rsid w:val="721533D8"/>
    <w:rsid w:val="734F6D9E"/>
    <w:rsid w:val="758A7F66"/>
    <w:rsid w:val="75B46566"/>
    <w:rsid w:val="75B66322"/>
    <w:rsid w:val="77A3353E"/>
    <w:rsid w:val="784E3B62"/>
    <w:rsid w:val="793D1A06"/>
    <w:rsid w:val="79AE53C9"/>
    <w:rsid w:val="7A1811CF"/>
    <w:rsid w:val="7A510260"/>
    <w:rsid w:val="7AE349E1"/>
    <w:rsid w:val="7B615D46"/>
    <w:rsid w:val="7BE0008B"/>
    <w:rsid w:val="7C9F4CDD"/>
    <w:rsid w:val="7CBDF9E3"/>
    <w:rsid w:val="7D52649A"/>
    <w:rsid w:val="7D865D8F"/>
    <w:rsid w:val="7DB52296"/>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9">
    <w:name w:val="Default Paragraph Font"/>
    <w:link w:val="20"/>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35"/>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Body Text Indent"/>
    <w:basedOn w:val="1"/>
    <w:qFormat/>
    <w:uiPriority w:val="0"/>
    <w:pPr>
      <w:spacing w:line="560" w:lineRule="exact"/>
      <w:ind w:firstLine="600" w:firstLineChars="200"/>
      <w:outlineLvl w:val="0"/>
    </w:pPr>
    <w:rPr>
      <w:rFonts w:ascii="仿宋_GB2312" w:eastAsia="仿宋_GB2312"/>
      <w:sz w:val="30"/>
    </w:rPr>
  </w:style>
  <w:style w:type="paragraph" w:styleId="5">
    <w:name w:val="List Bullet 2"/>
    <w:basedOn w:val="1"/>
    <w:next w:val="6"/>
    <w:qFormat/>
    <w:uiPriority w:val="0"/>
    <w:pPr>
      <w:numPr>
        <w:ilvl w:val="0"/>
        <w:numId w:val="1"/>
      </w:numPr>
    </w:pPr>
  </w:style>
  <w:style w:type="paragraph" w:customStyle="1" w:styleId="6">
    <w:name w:val="xl70"/>
    <w:basedOn w:val="1"/>
    <w:next w:val="7"/>
    <w:qFormat/>
    <w:uiPriority w:val="0"/>
    <w:pPr>
      <w:widowControl/>
      <w:spacing w:before="100" w:beforeAutospacing="1" w:after="100" w:afterAutospacing="1"/>
      <w:jc w:val="center"/>
    </w:pPr>
    <w:rPr>
      <w:rFonts w:ascii="宋体" w:hAnsi="宋体" w:cs="宋体"/>
      <w:kern w:val="0"/>
      <w:sz w:val="24"/>
    </w:rPr>
  </w:style>
  <w:style w:type="paragraph" w:customStyle="1" w:styleId="7">
    <w:name w:val="正文缩进1"/>
    <w:basedOn w:val="1"/>
    <w:next w:val="8"/>
    <w:qFormat/>
    <w:uiPriority w:val="0"/>
    <w:pPr>
      <w:ind w:firstLine="420"/>
    </w:pPr>
    <w:rPr>
      <w:szCs w:val="20"/>
    </w:rPr>
  </w:style>
  <w:style w:type="paragraph" w:customStyle="1" w:styleId="8">
    <w:name w:val="td1"/>
    <w:basedOn w:val="1"/>
    <w:next w:val="1"/>
    <w:qFormat/>
    <w:uiPriority w:val="0"/>
    <w:pPr>
      <w:widowControl/>
      <w:spacing w:before="280" w:after="280" w:line="300" w:lineRule="atLeast"/>
      <w:ind w:firstLine="200"/>
    </w:pPr>
    <w:rPr>
      <w:color w:val="000000"/>
      <w:sz w:val="18"/>
    </w:rPr>
  </w:style>
  <w:style w:type="paragraph" w:styleId="9">
    <w:name w:val="Plain Text"/>
    <w:basedOn w:val="1"/>
    <w:qFormat/>
    <w:uiPriority w:val="0"/>
    <w:rPr>
      <w:rFonts w:ascii="宋体" w:hAnsi="Courier New" w:eastAsia="宋体"/>
      <w:kern w:val="2"/>
      <w:sz w:val="21"/>
      <w:lang w:val="en-US" w:eastAsia="zh-CN" w:bidi="ar-SA"/>
    </w:rPr>
  </w:style>
  <w:style w:type="paragraph" w:styleId="10">
    <w:name w:val="Date"/>
    <w:basedOn w:val="1"/>
    <w:next w:val="1"/>
    <w:qFormat/>
    <w:uiPriority w:val="0"/>
    <w:pPr>
      <w:ind w:left="100" w:leftChars="2500"/>
    </w:pPr>
    <w:rPr>
      <w:rFonts w:eastAsia="仿宋_GB2312"/>
      <w:w w:val="99"/>
      <w:sz w:val="32"/>
    </w:rPr>
  </w:style>
  <w:style w:type="paragraph" w:styleId="11">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12">
    <w:name w:val="Balloon Text"/>
    <w:basedOn w:val="1"/>
    <w:semiHidden/>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next w:val="5"/>
    <w:qFormat/>
    <w:uiPriority w:val="0"/>
    <w:pPr>
      <w:ind w:left="200" w:hanging="200" w:hangingChars="200"/>
      <w:contextualSpacing/>
    </w:pPr>
  </w:style>
  <w:style w:type="paragraph" w:styleId="1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Char"/>
    <w:basedOn w:val="1"/>
    <w:link w:val="19"/>
    <w:qFormat/>
    <w:uiPriority w:val="0"/>
  </w:style>
  <w:style w:type="character" w:styleId="21">
    <w:name w:val="Strong"/>
    <w:basedOn w:val="19"/>
    <w:qFormat/>
    <w:uiPriority w:val="22"/>
    <w:rPr>
      <w:rFonts w:ascii="Times New Roman" w:hAnsi="Times New Roman" w:eastAsia="宋体" w:cs="Times New Roman"/>
      <w:b/>
      <w:bCs/>
    </w:rPr>
  </w:style>
  <w:style w:type="character" w:styleId="22">
    <w:name w:val="page number"/>
    <w:basedOn w:val="19"/>
    <w:qFormat/>
    <w:uiPriority w:val="0"/>
  </w:style>
  <w:style w:type="character" w:styleId="23">
    <w:name w:val="Hyperlink"/>
    <w:basedOn w:val="19"/>
    <w:qFormat/>
    <w:uiPriority w:val="0"/>
    <w:rPr>
      <w:rFonts w:ascii="Times New Roman" w:hAnsi="Times New Roman" w:eastAsia="宋体" w:cs="Times New Roman"/>
      <w:color w:val="0000FF"/>
      <w:u w:val="single"/>
    </w:rPr>
  </w:style>
  <w:style w:type="paragraph" w:customStyle="1" w:styleId="24">
    <w:name w:val="Default"/>
    <w:basedOn w:val="25"/>
    <w:next w:val="15"/>
    <w:qFormat/>
    <w:uiPriority w:val="0"/>
    <w:pPr>
      <w:widowControl w:val="0"/>
      <w:autoSpaceDE w:val="0"/>
      <w:autoSpaceDN w:val="0"/>
    </w:pPr>
    <w:rPr>
      <w:rFonts w:hint="eastAsia" w:ascii="黑体" w:hAnsi="黑体" w:eastAsia="黑体"/>
      <w:color w:val="000000"/>
      <w:sz w:val="24"/>
      <w:lang w:val="en-US" w:eastAsia="zh-CN" w:bidi="ar-SA"/>
    </w:rPr>
  </w:style>
  <w:style w:type="paragraph" w:styleId="25">
    <w:name w:val="List Paragraph"/>
    <w:basedOn w:val="1"/>
    <w:qFormat/>
    <w:uiPriority w:val="34"/>
    <w:pPr>
      <w:ind w:firstLine="420" w:firstLineChars="200"/>
    </w:pPr>
  </w:style>
  <w:style w:type="paragraph" w:customStyle="1" w:styleId="26">
    <w:name w:val="纯文本1"/>
    <w:basedOn w:val="1"/>
    <w:next w:val="1"/>
    <w:qFormat/>
    <w:uiPriority w:val="0"/>
    <w:pPr>
      <w:adjustRightInd w:val="0"/>
      <w:textAlignment w:val="baseline"/>
    </w:pPr>
    <w:rPr>
      <w:rFonts w:ascii="宋体" w:hAnsi="Courier New"/>
      <w:szCs w:val="20"/>
    </w:rPr>
  </w:style>
  <w:style w:type="paragraph" w:customStyle="1" w:styleId="27">
    <w:name w:val="正文文字 6"/>
    <w:basedOn w:val="28"/>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8">
    <w:name w:val="TT标题"/>
    <w:basedOn w:val="1"/>
    <w:qFormat/>
    <w:uiPriority w:val="0"/>
    <w:pPr>
      <w:jc w:val="center"/>
    </w:pPr>
    <w:rPr>
      <w:rFonts w:cs="宋体"/>
      <w:b/>
      <w:szCs w:val="20"/>
    </w:rPr>
  </w:style>
  <w:style w:type="paragraph" w:customStyle="1" w:styleId="29">
    <w:name w:val="Q-正文"/>
    <w:basedOn w:val="1"/>
    <w:next w:val="1"/>
    <w:qFormat/>
    <w:uiPriority w:val="0"/>
    <w:pPr>
      <w:ind w:firstLine="200"/>
    </w:pPr>
    <w:rPr>
      <w:rFonts w:ascii="Times New Roman" w:hAnsi="Times New Roman" w:eastAsia="宋体" w:cs="Courier New"/>
      <w:sz w:val="21"/>
      <w:szCs w:val="22"/>
    </w:rPr>
  </w:style>
  <w:style w:type="paragraph" w:customStyle="1" w:styleId="30">
    <w:name w:val="A正文-lcc"/>
    <w:basedOn w:val="1"/>
    <w:link w:val="33"/>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31">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32">
    <w:name w:val=" Char"/>
    <w:basedOn w:val="1"/>
    <w:qFormat/>
    <w:uiPriority w:val="0"/>
    <w:pPr>
      <w:spacing w:line="360" w:lineRule="auto"/>
    </w:pPr>
    <w:rPr>
      <w:rFonts w:ascii="Tahoma" w:hAnsi="Tahoma" w:eastAsia="宋体" w:cs="Times New Roman"/>
      <w:sz w:val="28"/>
      <w:szCs w:val="20"/>
    </w:rPr>
  </w:style>
  <w:style w:type="character" w:customStyle="1" w:styleId="33">
    <w:name w:val="A正文-lcc Char"/>
    <w:link w:val="30"/>
    <w:qFormat/>
    <w:uiPriority w:val="0"/>
    <w:rPr>
      <w:rFonts w:ascii="Times New Roman" w:hAnsi="Times New Roman" w:eastAsia="宋体" w:cs="Times New Roman"/>
      <w:color w:val="000000"/>
      <w:kern w:val="0"/>
      <w:sz w:val="24"/>
      <w:szCs w:val="24"/>
    </w:rPr>
  </w:style>
  <w:style w:type="character" w:customStyle="1" w:styleId="34">
    <w:name w:val="content1"/>
    <w:basedOn w:val="19"/>
    <w:qFormat/>
    <w:uiPriority w:val="0"/>
    <w:rPr>
      <w:rFonts w:ascii="Times New Roman" w:hAnsi="Times New Roman" w:eastAsia="宋体" w:cs="Times New Roman"/>
      <w:sz w:val="21"/>
      <w:szCs w:val="21"/>
    </w:rPr>
  </w:style>
  <w:style w:type="character" w:customStyle="1" w:styleId="35">
    <w:name w:val="正文文本 Char"/>
    <w:basedOn w:val="19"/>
    <w:link w:val="3"/>
    <w:semiHidden/>
    <w:qFormat/>
    <w:locked/>
    <w:uiPriority w:val="0"/>
    <w:rPr>
      <w:rFonts w:ascii="方正小标宋简体" w:hAnsi="Times New Roman" w:eastAsia="方正小标宋简体" w:cs="方正小标宋简体"/>
      <w:sz w:val="44"/>
      <w:szCs w:val="44"/>
    </w:rPr>
  </w:style>
  <w:style w:type="character" w:customStyle="1" w:styleId="36">
    <w:name w:val="样式 楷体_GB2312 黑色"/>
    <w:qFormat/>
    <w:uiPriority w:val="0"/>
    <w:rPr>
      <w:rFonts w:ascii="楷体_GB2312" w:hAnsi="宋体" w:eastAsia="楷体_GB2312" w:cs="Times New Roman"/>
      <w:b/>
      <w:color w:val="000000"/>
      <w:sz w:val="24"/>
      <w:lang w:val="en-US" w:eastAsia="zh-CN"/>
    </w:rPr>
  </w:style>
  <w:style w:type="paragraph" w:customStyle="1" w:styleId="37">
    <w:name w:val="无空2表格文字"/>
    <w:basedOn w:val="1"/>
    <w:qFormat/>
    <w:uiPriority w:val="0"/>
    <w:pPr>
      <w:spacing w:line="240" w:lineRule="auto"/>
      <w:ind w:firstLine="0" w:firstLineChars="0"/>
    </w:pPr>
    <w:rPr>
      <w:rFonts w:ascii="Times New Roman" w:hAnsi="Times New Roman" w:eastAsia="宋体" w:cs="Times New Roman"/>
      <w:color w:val="000000"/>
      <w:szCs w:val="21"/>
    </w:rPr>
  </w:style>
  <w:style w:type="paragraph" w:customStyle="1" w:styleId="38">
    <w:name w:val="表格文字"/>
    <w:autoRedefine/>
    <w:qFormat/>
    <w:uiPriority w:val="0"/>
    <w:pPr>
      <w:tabs>
        <w:tab w:val="left" w:pos="-2848"/>
      </w:tabs>
      <w:wordWrap w:val="0"/>
      <w:autoSpaceDE w:val="0"/>
      <w:autoSpaceDN w:val="0"/>
      <w:jc w:val="center"/>
      <w:textAlignment w:val="center"/>
    </w:pPr>
    <w:rPr>
      <w:rFonts w:ascii="Times New Roman" w:hAnsi="Times New Roman" w:eastAsia="宋体" w:cs="Times New Roman"/>
      <w:position w:val="-10"/>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4</Pages>
  <Words>1575</Words>
  <Characters>1731</Characters>
  <Lines>16</Lines>
  <Paragraphs>4</Paragraphs>
  <TotalTime>5</TotalTime>
  <ScaleCrop>false</ScaleCrop>
  <LinksUpToDate>false</LinksUpToDate>
  <CharactersWithSpaces>1762</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1</cp:lastModifiedBy>
  <cp:lastPrinted>2025-10-10T03:38:00Z</cp:lastPrinted>
  <dcterms:modified xsi:type="dcterms:W3CDTF">2025-11-23T02:43:05Z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63C9803DF25F407C8AD9B2B774704222_13</vt:lpwstr>
  </property>
  <property fmtid="{D5CDD505-2E9C-101B-9397-08002B2CF9AE}" pid="4" name="KSOTemplateDocerSaveRecord">
    <vt:lpwstr>eyJoZGlkIjoiOTFmYTNmMGY4YzliOTEyNGRkM2M5OTJiMTUxNWY2YjkiLCJ1c2VySWQiOiIxMDI2OTE4Mzc5In0=</vt:lpwstr>
  </property>
</Properties>
</file>