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6890E">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（番）</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bookmarkStart w:id="6" w:name="_GoBack"/>
      <w:bookmarkEnd w:id="6"/>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145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2349E7F5">
      <w:pPr>
        <w:spacing w:line="590" w:lineRule="exact"/>
        <w:jc w:val="right"/>
        <w:rPr>
          <w:rFonts w:hint="default" w:ascii="Times New Roman" w:hAnsi="Times New Roman" w:eastAsia="仿宋_GB2312" w:cs="Times New Roman"/>
          <w:b/>
          <w:bCs/>
          <w:sz w:val="32"/>
          <w:szCs w:val="32"/>
        </w:rPr>
      </w:pPr>
    </w:p>
    <w:p w14:paraId="2A08A4C9">
      <w:pPr>
        <w:spacing w:line="590" w:lineRule="exact"/>
        <w:jc w:val="right"/>
        <w:rPr>
          <w:rFonts w:hint="default" w:ascii="Times New Roman" w:hAnsi="Times New Roman" w:eastAsia="仿宋_GB2312" w:cs="Times New Roman"/>
          <w:b/>
          <w:bCs/>
          <w:sz w:val="32"/>
          <w:szCs w:val="32"/>
        </w:rPr>
      </w:pPr>
    </w:p>
    <w:p w14:paraId="7FA3759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广州市生态环境局关于</w:t>
      </w:r>
      <w:r>
        <w:rPr>
          <w:rFonts w:hint="eastAsia" w:ascii="方正小标宋简体" w:hAnsi="方正小标宋简体" w:eastAsia="方正小标宋简体" w:cs="方正小标宋简体"/>
          <w:b w:val="0"/>
          <w:bCs w:val="0"/>
          <w:sz w:val="44"/>
          <w:szCs w:val="44"/>
          <w:lang w:val="en-US" w:eastAsia="zh-CN"/>
        </w:rPr>
        <w:t>顶睿科技（广州）有限公司检测实验室建设项目</w:t>
      </w:r>
      <w:r>
        <w:rPr>
          <w:rFonts w:hint="eastAsia" w:ascii="方正小标宋简体" w:hAnsi="方正小标宋简体" w:eastAsia="方正小标宋简体" w:cs="方正小标宋简体"/>
          <w:b w:val="0"/>
          <w:bCs w:val="0"/>
          <w:sz w:val="44"/>
          <w:szCs w:val="44"/>
        </w:rPr>
        <w:t>环境影响</w:t>
      </w:r>
      <w:r>
        <w:rPr>
          <w:rFonts w:hint="eastAsia" w:ascii="方正小标宋简体" w:hAnsi="方正小标宋简体" w:eastAsia="方正小标宋简体" w:cs="方正小标宋简体"/>
          <w:b w:val="0"/>
          <w:bCs w:val="0"/>
          <w:sz w:val="44"/>
          <w:szCs w:val="44"/>
          <w:lang w:eastAsia="zh-CN"/>
        </w:rPr>
        <w:t>报告表</w:t>
      </w:r>
      <w:r>
        <w:rPr>
          <w:rFonts w:hint="eastAsia" w:ascii="方正小标宋简体" w:hAnsi="方正小标宋简体" w:eastAsia="方正小标宋简体" w:cs="方正小标宋简体"/>
          <w:b w:val="0"/>
          <w:bCs w:val="0"/>
          <w:sz w:val="44"/>
          <w:szCs w:val="44"/>
        </w:rPr>
        <w:t>的批复</w:t>
      </w:r>
    </w:p>
    <w:p w14:paraId="40C32911">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35A7E3D5">
      <w:pPr>
        <w:keepNext w:val="0"/>
        <w:keepLines w:val="0"/>
        <w:pageBreakBefore w:val="0"/>
        <w:widowControl w:val="0"/>
        <w:kinsoku/>
        <w:wordWrap/>
        <w:overflowPunct/>
        <w:topLinePunct w:val="0"/>
        <w:bidi w:val="0"/>
        <w:snapToGrid w:val="0"/>
        <w:spacing w:line="500" w:lineRule="exact"/>
        <w:jc w:val="left"/>
        <w:textAlignment w:val="auto"/>
        <w:rPr>
          <w:rFonts w:hint="eastAsia" w:ascii="仿宋_GB2312" w:hAnsi="仿宋_GB2312" w:eastAsia="仿宋_GB2312" w:cs="仿宋_GB2312"/>
          <w:b w:val="0"/>
          <w:bCs w:val="0"/>
          <w:color w:val="auto"/>
          <w:sz w:val="32"/>
          <w:szCs w:val="32"/>
        </w:rPr>
      </w:pPr>
      <w:r>
        <w:rPr>
          <w:rFonts w:hint="eastAsia" w:ascii="仿宋_GB2312" w:eastAsia="仿宋_GB2312"/>
          <w:color w:val="auto"/>
          <w:sz w:val="32"/>
          <w:szCs w:val="32"/>
        </w:rPr>
        <w:t>顶</w:t>
      </w:r>
      <w:r>
        <w:rPr>
          <w:rFonts w:hint="eastAsia" w:ascii="仿宋_GB2312" w:hAnsi="仿宋_GB2312" w:eastAsia="仿宋_GB2312" w:cs="仿宋_GB2312"/>
          <w:color w:val="auto"/>
          <w:sz w:val="32"/>
          <w:szCs w:val="32"/>
        </w:rPr>
        <w:t>睿科技（广州）有限公司（91440101MA9W47G72F）</w:t>
      </w:r>
      <w:r>
        <w:rPr>
          <w:rFonts w:hint="eastAsia" w:ascii="仿宋_GB2312" w:hAnsi="仿宋_GB2312" w:eastAsia="仿宋_GB2312" w:cs="仿宋_GB2312"/>
          <w:b w:val="0"/>
          <w:bCs w:val="0"/>
          <w:color w:val="auto"/>
          <w:sz w:val="32"/>
          <w:szCs w:val="32"/>
        </w:rPr>
        <w:t>：</w:t>
      </w:r>
    </w:p>
    <w:p w14:paraId="1A4C06CF">
      <w:pPr>
        <w:keepNext w:val="0"/>
        <w:keepLines w:val="0"/>
        <w:pageBreakBefore w:val="0"/>
        <w:widowControl w:val="0"/>
        <w:kinsoku/>
        <w:wordWrap/>
        <w:overflowPunct/>
        <w:topLinePunct w:val="0"/>
        <w:bidi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你公司报批的《</w:t>
      </w:r>
      <w:r>
        <w:rPr>
          <w:rFonts w:hint="eastAsia" w:ascii="仿宋_GB2312" w:hAnsi="仿宋_GB2312" w:eastAsia="仿宋_GB2312" w:cs="仿宋_GB2312"/>
          <w:b w:val="0"/>
          <w:bCs w:val="0"/>
          <w:color w:val="auto"/>
          <w:sz w:val="32"/>
          <w:szCs w:val="32"/>
          <w:lang w:val="en-US" w:eastAsia="zh-CN"/>
        </w:rPr>
        <w:t>顶睿科技（广州）有限公司检测实验室建设项目</w:t>
      </w:r>
      <w:r>
        <w:rPr>
          <w:rFonts w:hint="eastAsia" w:ascii="仿宋_GB2312" w:hAnsi="仿宋_GB2312" w:eastAsia="仿宋_GB2312" w:cs="仿宋_GB2312"/>
          <w:b w:val="0"/>
          <w:bCs w:val="0"/>
          <w:color w:val="auto"/>
          <w:sz w:val="32"/>
          <w:szCs w:val="32"/>
        </w:rPr>
        <w:t>环境影响</w:t>
      </w:r>
      <w:r>
        <w:rPr>
          <w:rFonts w:hint="eastAsia" w:ascii="仿宋_GB2312" w:hAnsi="仿宋_GB2312" w:eastAsia="仿宋_GB2312" w:cs="仿宋_GB2312"/>
          <w:b w:val="0"/>
          <w:bCs w:val="0"/>
          <w:color w:val="auto"/>
          <w:sz w:val="32"/>
          <w:szCs w:val="32"/>
          <w:lang w:eastAsia="zh-CN"/>
        </w:rPr>
        <w:t>报告表</w:t>
      </w:r>
      <w:r>
        <w:rPr>
          <w:rFonts w:hint="eastAsia" w:ascii="仿宋_GB2312" w:hAnsi="仿宋_GB2312" w:eastAsia="仿宋_GB2312" w:cs="仿宋_GB2312"/>
          <w:b w:val="0"/>
          <w:bCs w:val="0"/>
          <w:color w:val="auto"/>
          <w:sz w:val="32"/>
          <w:szCs w:val="32"/>
        </w:rPr>
        <w:t>》（以下简称《</w:t>
      </w:r>
      <w:r>
        <w:rPr>
          <w:rFonts w:hint="eastAsia" w:ascii="仿宋_GB2312" w:hAnsi="仿宋_GB2312" w:eastAsia="仿宋_GB2312" w:cs="仿宋_GB2312"/>
          <w:b w:val="0"/>
          <w:bCs w:val="0"/>
          <w:color w:val="auto"/>
          <w:sz w:val="32"/>
          <w:szCs w:val="32"/>
          <w:lang w:eastAsia="zh-CN"/>
        </w:rPr>
        <w:t>报告表</w:t>
      </w:r>
      <w:r>
        <w:rPr>
          <w:rFonts w:hint="eastAsia" w:ascii="仿宋_GB2312" w:hAnsi="仿宋_GB2312" w:eastAsia="仿宋_GB2312" w:cs="仿宋_GB2312"/>
          <w:b w:val="0"/>
          <w:bCs w:val="0"/>
          <w:color w:val="auto"/>
          <w:sz w:val="32"/>
          <w:szCs w:val="32"/>
        </w:rPr>
        <w:t>》）及相关资料收悉。经研究，批复如下：</w:t>
      </w:r>
    </w:p>
    <w:p w14:paraId="5278DA66">
      <w:pPr>
        <w:keepNext w:val="0"/>
        <w:keepLines w:val="0"/>
        <w:pageBreakBefore w:val="0"/>
        <w:widowControl w:val="0"/>
        <w:kinsoku/>
        <w:wordWrap/>
        <w:overflowPunct/>
        <w:topLinePunct w:val="0"/>
        <w:bidi w:val="0"/>
        <w:spacing w:line="500" w:lineRule="exact"/>
        <w:ind w:firstLine="972" w:firstLineChars="304"/>
        <w:textAlignment w:val="auto"/>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sz w:val="32"/>
          <w:szCs w:val="32"/>
        </w:rPr>
        <w:t>一、</w:t>
      </w:r>
      <w:r>
        <w:rPr>
          <w:rFonts w:hint="eastAsia" w:ascii="仿宋_GB2312" w:hAnsi="仿宋_GB2312" w:eastAsia="仿宋_GB2312" w:cs="仿宋_GB2312"/>
          <w:b w:val="0"/>
          <w:bCs w:val="0"/>
          <w:color w:val="auto"/>
          <w:sz w:val="32"/>
          <w:szCs w:val="32"/>
          <w:lang w:val="en-US" w:eastAsia="zh-CN"/>
        </w:rPr>
        <w:t>顶睿科技（广州）有限公司检测实验室建设项目</w:t>
      </w:r>
      <w:r>
        <w:rPr>
          <w:rFonts w:hint="eastAsia" w:ascii="仿宋_GB2312" w:hAnsi="仿宋_GB2312" w:eastAsia="仿宋_GB2312" w:cs="仿宋_GB2312"/>
          <w:color w:val="auto"/>
          <w:sz w:val="32"/>
          <w:szCs w:val="32"/>
        </w:rPr>
        <w:t>（以下简称“该项目”）位于广东</w:t>
      </w:r>
      <w:r>
        <w:rPr>
          <w:rFonts w:hint="eastAsia" w:ascii="仿宋_GB2312" w:hAnsi="仿宋_GB2312" w:eastAsia="仿宋_GB2312" w:cs="仿宋_GB2312"/>
          <w:color w:val="auto"/>
          <w:sz w:val="32"/>
          <w:szCs w:val="32"/>
          <w:lang w:val="en-US" w:eastAsia="zh-CN"/>
        </w:rPr>
        <w:t>省广州市</w:t>
      </w:r>
      <w:r>
        <w:rPr>
          <w:rFonts w:hint="eastAsia" w:ascii="仿宋_GB2312" w:hAnsi="仿宋_GB2312" w:eastAsia="仿宋_GB2312" w:cs="仿宋_GB2312"/>
          <w:color w:val="auto"/>
          <w:sz w:val="32"/>
          <w:szCs w:val="32"/>
        </w:rPr>
        <w:t>番禺区东环街番禺大道北555号天安总部中心30号楼1101室，申报内容为从事生物样本检测服务</w:t>
      </w:r>
      <w:r>
        <w:rPr>
          <w:rFonts w:hint="eastAsia" w:ascii="仿宋_GB2312" w:hAnsi="仿宋_GB2312" w:eastAsia="仿宋_GB2312" w:cs="仿宋_GB2312"/>
          <w:color w:val="auto"/>
          <w:sz w:val="32"/>
          <w:szCs w:val="32"/>
          <w:lang w:eastAsia="zh-CN"/>
        </w:rPr>
        <w:t>，年检测生物样本10000例</w:t>
      </w:r>
      <w:r>
        <w:rPr>
          <w:rFonts w:hint="eastAsia" w:ascii="仿宋_GB2312" w:hAnsi="仿宋_GB2312" w:eastAsia="仿宋_GB2312" w:cs="仿宋_GB2312"/>
          <w:color w:val="auto"/>
          <w:sz w:val="32"/>
          <w:szCs w:val="32"/>
        </w:rPr>
        <w:t>。该项目总建筑面积</w:t>
      </w:r>
      <w:r>
        <w:rPr>
          <w:rFonts w:hint="eastAsia" w:ascii="仿宋_GB2312" w:hAnsi="仿宋_GB2312" w:eastAsia="仿宋_GB2312" w:cs="仿宋_GB2312"/>
          <w:color w:val="auto"/>
          <w:sz w:val="32"/>
          <w:szCs w:val="32"/>
          <w:lang w:val="en-US" w:eastAsia="zh-CN"/>
        </w:rPr>
        <w:t>1361.8</w:t>
      </w:r>
      <w:r>
        <w:rPr>
          <w:rFonts w:hint="eastAsia" w:ascii="仿宋_GB2312" w:hAnsi="仿宋_GB2312" w:eastAsia="仿宋_GB2312" w:cs="仿宋_GB2312"/>
          <w:color w:val="auto"/>
          <w:sz w:val="32"/>
          <w:szCs w:val="32"/>
        </w:rPr>
        <w:t>平方米，</w:t>
      </w:r>
      <w:r>
        <w:rPr>
          <w:rFonts w:hint="eastAsia" w:ascii="仿宋_GB2312" w:hAnsi="仿宋_GB2312" w:eastAsia="仿宋_GB2312" w:cs="仿宋_GB2312"/>
          <w:color w:val="auto"/>
          <w:sz w:val="32"/>
          <w:szCs w:val="32"/>
          <w:lang w:val="en-US" w:eastAsia="zh-CN"/>
        </w:rPr>
        <w:t>租用一栋16层建筑物的第11层部分区域进行建设</w:t>
      </w:r>
      <w:r>
        <w:rPr>
          <w:rFonts w:hint="eastAsia" w:ascii="仿宋_GB2312" w:hAnsi="仿宋_GB2312" w:eastAsia="仿宋_GB2312" w:cs="仿宋_GB2312"/>
          <w:color w:val="auto"/>
          <w:sz w:val="32"/>
          <w:szCs w:val="32"/>
        </w:rPr>
        <w:t>；主要设备有质谱仪</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台、气质联用仪1台、自动固相萃取仪2台、多功能全自动样品浓缩仪1台、样品破碎仪1台、超低温冰箱1台、医用离心机1台、干燥箱3台、马弗炉1台、智能恒温培养振荡器1台、高速冷冻离心机1台、氮气发生器3台、数控超声波清洗器1台</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；员工</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名，内部不安排食宿。</w:t>
      </w:r>
    </w:p>
    <w:p w14:paraId="5934E4CC">
      <w:pPr>
        <w:keepNext w:val="0"/>
        <w:keepLines w:val="0"/>
        <w:pageBreakBefore w:val="0"/>
        <w:widowControl w:val="0"/>
        <w:kinsoku/>
        <w:wordWrap/>
        <w:overflowPunct/>
        <w:topLinePunct w:val="0"/>
        <w:bidi w:val="0"/>
        <w:snapToGrid w:val="0"/>
        <w:spacing w:line="50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报告表</w:t>
      </w:r>
      <w:r>
        <w:rPr>
          <w:rFonts w:hint="eastAsia" w:ascii="仿宋_GB2312" w:hAnsi="仿宋_GB2312" w:eastAsia="仿宋_GB2312" w:cs="仿宋_GB2312"/>
          <w:b w:val="0"/>
          <w:bCs w:val="0"/>
          <w:color w:val="auto"/>
          <w:sz w:val="32"/>
          <w:szCs w:val="32"/>
        </w:rPr>
        <w:t>》评价结论认为，在全面落实《</w:t>
      </w:r>
      <w:r>
        <w:rPr>
          <w:rFonts w:hint="eastAsia" w:ascii="仿宋_GB2312" w:hAnsi="仿宋_GB2312" w:eastAsia="仿宋_GB2312" w:cs="仿宋_GB2312"/>
          <w:b w:val="0"/>
          <w:bCs w:val="0"/>
          <w:color w:val="auto"/>
          <w:sz w:val="32"/>
          <w:szCs w:val="32"/>
          <w:lang w:eastAsia="zh-CN"/>
        </w:rPr>
        <w:t>报告表</w:t>
      </w:r>
      <w:r>
        <w:rPr>
          <w:rFonts w:hint="eastAsia" w:ascii="仿宋_GB2312" w:hAnsi="仿宋_GB2312" w:eastAsia="仿宋_GB2312" w:cs="仿宋_GB2312"/>
          <w:b w:val="0"/>
          <w:bCs w:val="0"/>
          <w:color w:val="auto"/>
          <w:sz w:val="32"/>
          <w:szCs w:val="32"/>
        </w:rPr>
        <w:t>》提出的各项</w:t>
      </w:r>
      <w:r>
        <w:rPr>
          <w:rFonts w:hint="eastAsia" w:ascii="仿宋_GB2312" w:hAnsi="仿宋_GB2312" w:eastAsia="仿宋_GB2312" w:cs="仿宋_GB2312"/>
          <w:b w:val="0"/>
          <w:bCs w:val="0"/>
          <w:color w:val="auto"/>
          <w:sz w:val="32"/>
          <w:szCs w:val="32"/>
          <w:lang w:eastAsia="zh-CN"/>
        </w:rPr>
        <w:t>生态</w:t>
      </w:r>
      <w:r>
        <w:rPr>
          <w:rFonts w:hint="eastAsia" w:ascii="仿宋_GB2312" w:hAnsi="仿宋_GB2312" w:eastAsia="仿宋_GB2312" w:cs="仿宋_GB2312"/>
          <w:b w:val="0"/>
          <w:bCs w:val="0"/>
          <w:color w:val="auto"/>
          <w:sz w:val="32"/>
          <w:szCs w:val="32"/>
        </w:rPr>
        <w:t>环境保护措施和环境风险防范措施的前提下，该项目建设和运行过程中产生的不良环境影响能够得到有效控制，从环境保护角度，项目建设可行。经审查，我局同意《</w:t>
      </w:r>
      <w:r>
        <w:rPr>
          <w:rFonts w:hint="eastAsia" w:ascii="仿宋_GB2312" w:hAnsi="仿宋_GB2312" w:eastAsia="仿宋_GB2312" w:cs="仿宋_GB2312"/>
          <w:b w:val="0"/>
          <w:bCs w:val="0"/>
          <w:color w:val="auto"/>
          <w:sz w:val="32"/>
          <w:szCs w:val="32"/>
          <w:lang w:eastAsia="zh-CN"/>
        </w:rPr>
        <w:t>报告表</w:t>
      </w:r>
      <w:r>
        <w:rPr>
          <w:rFonts w:hint="eastAsia" w:ascii="仿宋_GB2312" w:hAnsi="仿宋_GB2312" w:eastAsia="仿宋_GB2312" w:cs="仿宋_GB2312"/>
          <w:b w:val="0"/>
          <w:bCs w:val="0"/>
          <w:color w:val="auto"/>
          <w:sz w:val="32"/>
          <w:szCs w:val="32"/>
        </w:rPr>
        <w:t>》的评价结论。</w:t>
      </w:r>
    </w:p>
    <w:p w14:paraId="1FF71938">
      <w:pPr>
        <w:keepNext w:val="0"/>
        <w:keepLines w:val="0"/>
        <w:pageBreakBefore w:val="0"/>
        <w:widowControl w:val="0"/>
        <w:kinsoku/>
        <w:wordWrap w:val="0"/>
        <w:overflowPunct/>
        <w:topLinePunct w:val="0"/>
        <w:bidi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二、在项目建设和运营过程中，应认真落实《</w:t>
      </w:r>
      <w:r>
        <w:rPr>
          <w:rFonts w:hint="eastAsia" w:ascii="仿宋_GB2312" w:hAnsi="仿宋_GB2312" w:eastAsia="仿宋_GB2312" w:cs="仿宋_GB2312"/>
          <w:b w:val="0"/>
          <w:bCs w:val="0"/>
          <w:color w:val="auto"/>
          <w:sz w:val="32"/>
          <w:szCs w:val="32"/>
          <w:lang w:eastAsia="zh-CN"/>
        </w:rPr>
        <w:t>报告表</w:t>
      </w:r>
      <w:r>
        <w:rPr>
          <w:rFonts w:hint="eastAsia" w:ascii="仿宋_GB2312" w:hAnsi="仿宋_GB2312" w:eastAsia="仿宋_GB2312" w:cs="仿宋_GB2312"/>
          <w:b w:val="0"/>
          <w:bCs w:val="0"/>
          <w:color w:val="auto"/>
          <w:sz w:val="32"/>
          <w:szCs w:val="32"/>
        </w:rPr>
        <w:t>》提出的各项环境保护对策措施，重点做好以下工作：</w:t>
      </w:r>
    </w:p>
    <w:p w14:paraId="704A0EC0">
      <w:pPr>
        <w:keepNext w:val="0"/>
        <w:keepLines w:val="0"/>
        <w:pageBreakBefore w:val="0"/>
        <w:widowControl w:val="0"/>
        <w:kinsoku/>
        <w:wordWrap w:val="0"/>
        <w:overflowPunct/>
        <w:topLinePunct w:val="0"/>
        <w:bidi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一</w:t>
      </w:r>
      <w:r>
        <w:rPr>
          <w:rFonts w:hint="eastAsia" w:ascii="仿宋_GB2312" w:hAnsi="仿宋_GB2312" w:eastAsia="仿宋_GB2312" w:cs="仿宋_GB2312"/>
          <w:b w:val="0"/>
          <w:bCs w:val="0"/>
          <w:color w:val="auto"/>
          <w:sz w:val="32"/>
          <w:szCs w:val="32"/>
        </w:rPr>
        <w:t>）非甲烷总烃、氯化氢、甲醇等执行广东省《大气污染物排放限值》（DB44/27-2001）第二时段无组织排放监控浓度限值的要求；臭气浓度、氨等执行《恶臭污染物排放标准》（GB14554-93）表1恶臭污染物厂界二级新扩改建标准限值的要求。</w:t>
      </w:r>
      <w:bookmarkStart w:id="1" w:name="OLE_LINK20"/>
    </w:p>
    <w:p w14:paraId="7DD69BC6">
      <w:pPr>
        <w:keepNext w:val="0"/>
        <w:keepLines w:val="0"/>
        <w:pageBreakBefore w:val="0"/>
        <w:widowControl w:val="0"/>
        <w:kinsoku/>
        <w:wordWrap w:val="0"/>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检测实验产生的有机废气经通风柜和万向集气罩收集后引至单级活性炭吸附装置处理后排</w:t>
      </w:r>
      <w:r>
        <w:rPr>
          <w:rFonts w:hint="eastAsia" w:ascii="仿宋_GB2312" w:hAnsi="仿宋_GB2312" w:eastAsia="仿宋_GB2312" w:cs="仿宋_GB2312"/>
          <w:b w:val="0"/>
          <w:bCs w:val="0"/>
          <w:color w:val="auto"/>
          <w:sz w:val="32"/>
          <w:szCs w:val="32"/>
          <w:lang w:val="en-US" w:eastAsia="zh-CN"/>
        </w:rPr>
        <w:t>放</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加强</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边界无组织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边界无组织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56E591A2">
      <w:pPr>
        <w:keepNext w:val="0"/>
        <w:keepLines w:val="0"/>
        <w:pageBreakBefore w:val="0"/>
        <w:widowControl w:val="0"/>
        <w:kinsoku/>
        <w:wordWrap w:val="0"/>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排水系统采用雨污分流。实验废水经“过滤棉+臭氧消毒”工艺</w:t>
      </w:r>
      <w:r>
        <w:rPr>
          <w:rFonts w:hint="eastAsia" w:ascii="仿宋_GB2312" w:hAnsi="仿宋_GB2312" w:eastAsia="仿宋_GB2312" w:cs="仿宋_GB2312"/>
          <w:color w:val="auto"/>
          <w:sz w:val="32"/>
          <w:szCs w:val="32"/>
          <w:lang w:val="en-US" w:eastAsia="zh-CN"/>
        </w:rPr>
        <w:t>预</w:t>
      </w:r>
      <w:r>
        <w:rPr>
          <w:rFonts w:hint="eastAsia" w:ascii="仿宋_GB2312" w:hAnsi="仿宋_GB2312" w:eastAsia="仿宋_GB2312" w:cs="仿宋_GB2312"/>
          <w:color w:val="auto"/>
          <w:sz w:val="32"/>
          <w:szCs w:val="32"/>
        </w:rPr>
        <w:t>处理</w:t>
      </w:r>
      <w:r>
        <w:rPr>
          <w:rFonts w:hint="eastAsia" w:ascii="仿宋_GB2312" w:hAnsi="仿宋_GB2312" w:eastAsia="仿宋_GB2312" w:cs="仿宋_GB2312"/>
          <w:color w:val="auto"/>
          <w:sz w:val="32"/>
          <w:szCs w:val="32"/>
          <w:lang w:val="en-US" w:eastAsia="zh-CN"/>
        </w:rPr>
        <w:t>后与</w:t>
      </w:r>
      <w:r>
        <w:rPr>
          <w:rFonts w:hint="eastAsia" w:ascii="仿宋_GB2312" w:hAnsi="仿宋_GB2312" w:eastAsia="仿宋_GB2312" w:cs="仿宋_GB2312"/>
          <w:color w:val="auto"/>
          <w:sz w:val="32"/>
          <w:szCs w:val="32"/>
        </w:rPr>
        <w:t>生活污水</w:t>
      </w:r>
      <w:r>
        <w:rPr>
          <w:rFonts w:hint="eastAsia" w:ascii="仿宋_GB2312" w:hAnsi="仿宋_GB2312" w:eastAsia="仿宋_GB2312" w:cs="仿宋_GB2312"/>
          <w:color w:val="auto"/>
          <w:sz w:val="32"/>
          <w:szCs w:val="32"/>
          <w:lang w:val="en-US" w:eastAsia="zh-CN"/>
        </w:rPr>
        <w:t>分别</w:t>
      </w:r>
      <w:r>
        <w:rPr>
          <w:rFonts w:hint="eastAsia" w:ascii="仿宋_GB2312" w:hAnsi="仿宋_GB2312" w:eastAsia="仿宋_GB2312" w:cs="仿宋_GB2312"/>
          <w:color w:val="auto"/>
          <w:sz w:val="32"/>
          <w:szCs w:val="32"/>
        </w:rPr>
        <w:t>排入</w:t>
      </w:r>
      <w:r>
        <w:rPr>
          <w:rFonts w:hint="eastAsia" w:ascii="仿宋_GB2312" w:hAnsi="仿宋_GB2312" w:eastAsia="仿宋_GB2312" w:cs="仿宋_GB2312"/>
          <w:color w:val="auto"/>
          <w:sz w:val="32"/>
          <w:szCs w:val="32"/>
          <w:lang w:val="en-US" w:eastAsia="zh-CN"/>
        </w:rPr>
        <w:t>所在</w:t>
      </w:r>
      <w:r>
        <w:rPr>
          <w:rFonts w:hint="eastAsia" w:ascii="仿宋_GB2312" w:hAnsi="仿宋_GB2312" w:eastAsia="仿宋_GB2312" w:cs="仿宋_GB2312"/>
          <w:color w:val="auto"/>
          <w:sz w:val="32"/>
          <w:szCs w:val="32"/>
        </w:rPr>
        <w:t>园区三级化粪池</w:t>
      </w:r>
      <w:r>
        <w:rPr>
          <w:rFonts w:hint="eastAsia" w:ascii="仿宋_GB2312" w:hAnsi="仿宋_GB2312" w:eastAsia="仿宋_GB2312" w:cs="仿宋_GB2312"/>
          <w:color w:val="auto"/>
          <w:sz w:val="32"/>
          <w:szCs w:val="32"/>
          <w:lang w:val="en-US" w:eastAsia="zh-CN"/>
        </w:rPr>
        <w:t>处理，后经市政管道</w:t>
      </w:r>
      <w:r>
        <w:rPr>
          <w:rFonts w:hint="eastAsia" w:ascii="仿宋_GB2312" w:hAnsi="仿宋_GB2312" w:eastAsia="仿宋_GB2312" w:cs="仿宋_GB2312"/>
          <w:color w:val="auto"/>
          <w:sz w:val="32"/>
          <w:szCs w:val="32"/>
        </w:rPr>
        <w:t>送</w:t>
      </w:r>
      <w:r>
        <w:rPr>
          <w:rFonts w:hint="eastAsia" w:ascii="仿宋_GB2312" w:hAnsi="仿宋_GB2312" w:eastAsia="仿宋_GB2312" w:cs="仿宋_GB2312"/>
          <w:color w:val="auto"/>
          <w:sz w:val="32"/>
          <w:szCs w:val="32"/>
          <w:lang w:val="en-US" w:eastAsia="zh-CN"/>
        </w:rPr>
        <w:t>中部</w:t>
      </w:r>
      <w:r>
        <w:rPr>
          <w:rFonts w:hint="eastAsia" w:ascii="仿宋_GB2312" w:hAnsi="仿宋_GB2312" w:eastAsia="仿宋_GB2312" w:cs="仿宋_GB2312"/>
          <w:color w:val="auto"/>
          <w:sz w:val="32"/>
          <w:szCs w:val="32"/>
        </w:rPr>
        <w:t>净水厂处理。项目设置</w:t>
      </w:r>
      <w:r>
        <w:rPr>
          <w:rFonts w:hint="eastAsia" w:ascii="仿宋_GB2312" w:hAnsi="仿宋_GB2312" w:eastAsia="仿宋_GB2312" w:cs="仿宋_GB2312"/>
          <w:color w:val="auto"/>
          <w:sz w:val="32"/>
          <w:szCs w:val="32"/>
          <w:lang w:val="en-US" w:eastAsia="zh-CN"/>
        </w:rPr>
        <w:t>实验室</w:t>
      </w:r>
      <w:r>
        <w:rPr>
          <w:rFonts w:hint="eastAsia" w:ascii="仿宋_GB2312" w:hAnsi="仿宋_GB2312" w:eastAsia="仿宋_GB2312" w:cs="仿宋_GB2312"/>
          <w:color w:val="auto"/>
          <w:sz w:val="32"/>
          <w:szCs w:val="32"/>
        </w:rPr>
        <w:t>综合</w:t>
      </w:r>
      <w:r>
        <w:rPr>
          <w:rFonts w:hint="eastAsia" w:ascii="仿宋_GB2312" w:hAnsi="仿宋_GB2312" w:eastAsia="仿宋_GB2312" w:cs="仿宋_GB2312"/>
          <w:color w:val="auto"/>
          <w:sz w:val="32"/>
          <w:szCs w:val="32"/>
          <w:lang w:val="en-US" w:eastAsia="zh-CN"/>
        </w:rPr>
        <w:t>废</w:t>
      </w:r>
      <w:r>
        <w:rPr>
          <w:rFonts w:hint="eastAsia" w:ascii="仿宋_GB2312" w:hAnsi="仿宋_GB2312" w:eastAsia="仿宋_GB2312" w:cs="仿宋_GB2312"/>
          <w:color w:val="auto"/>
          <w:sz w:val="32"/>
          <w:szCs w:val="32"/>
        </w:rPr>
        <w:t>水</w:t>
      </w:r>
      <w:r>
        <w:rPr>
          <w:rFonts w:hint="eastAsia" w:ascii="仿宋_GB2312" w:hAnsi="仿宋_GB2312" w:eastAsia="仿宋_GB2312" w:cs="仿宋_GB2312"/>
          <w:color w:val="auto"/>
          <w:sz w:val="32"/>
          <w:szCs w:val="32"/>
          <w:lang w:val="en-US" w:eastAsia="zh-CN"/>
        </w:rPr>
        <w:t>排放口1个，生活污水</w:t>
      </w:r>
      <w:r>
        <w:rPr>
          <w:rFonts w:hint="eastAsia" w:ascii="仿宋_GB2312" w:hAnsi="仿宋_GB2312" w:eastAsia="仿宋_GB2312" w:cs="仿宋_GB2312"/>
          <w:color w:val="auto"/>
          <w:sz w:val="32"/>
          <w:szCs w:val="32"/>
        </w:rPr>
        <w:t>排放口</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水污染物</w:t>
      </w:r>
      <w:r>
        <w:rPr>
          <w:rFonts w:hint="eastAsia" w:ascii="仿宋_GB2312" w:hAnsi="仿宋_GB2312" w:eastAsia="仿宋_GB2312" w:cs="仿宋_GB2312"/>
          <w:color w:val="auto"/>
          <w:sz w:val="32"/>
          <w:szCs w:val="32"/>
        </w:rPr>
        <w:t>排放执行广东省《水污染物排放限值》（DB44/26-2001）第二时段三级标准。</w:t>
      </w:r>
      <w:r>
        <w:rPr>
          <w:rFonts w:hint="eastAsia" w:ascii="仿宋_GB2312" w:hAnsi="仿宋_GB2312" w:eastAsia="仿宋_GB2312" w:cs="仿宋_GB2312"/>
          <w:color w:val="auto"/>
          <w:sz w:val="32"/>
          <w:szCs w:val="32"/>
          <w:lang w:val="en-US" w:eastAsia="zh-CN"/>
        </w:rPr>
        <w:t>生活污水排放量不超过72t/a，综合废水排放量不超过18.74t/a。</w:t>
      </w:r>
    </w:p>
    <w:bookmarkEnd w:id="1"/>
    <w:p w14:paraId="67BCD35E">
      <w:pPr>
        <w:keepNext w:val="0"/>
        <w:keepLines w:val="0"/>
        <w:pageBreakBefore w:val="0"/>
        <w:widowControl w:val="0"/>
        <w:kinsoku/>
        <w:wordWrap w:val="0"/>
        <w:overflowPunct/>
        <w:topLinePunct w:val="0"/>
        <w:autoSpaceDE/>
        <w:autoSpaceDN/>
        <w:bidi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（三）</w:t>
      </w:r>
      <w:r>
        <w:rPr>
          <w:rFonts w:hint="eastAsia" w:ascii="仿宋_GB2312" w:hAnsi="仿宋_GB2312" w:eastAsia="仿宋_GB2312" w:cs="仿宋_GB2312"/>
          <w:color w:val="auto"/>
          <w:sz w:val="32"/>
          <w:szCs w:val="32"/>
        </w:rPr>
        <w:t>噪声排放执行《工业企业厂界环境噪声排放标准》（GB 12348</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2008）3类</w:t>
      </w:r>
      <w:r>
        <w:rPr>
          <w:rFonts w:hint="eastAsia"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rPr>
        <w:t>。</w:t>
      </w:r>
    </w:p>
    <w:p w14:paraId="3E1C7A62">
      <w:pPr>
        <w:keepNext w:val="0"/>
        <w:keepLines w:val="0"/>
        <w:pageBreakBefore w:val="0"/>
        <w:widowControl w:val="0"/>
        <w:kinsoku/>
        <w:wordWrap w:val="0"/>
        <w:overflowPunct/>
        <w:topLinePunct w:val="0"/>
        <w:bidi w:val="0"/>
        <w:snapToGrid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（四）</w:t>
      </w:r>
      <w:bookmarkStart w:id="2" w:name="OLE_LINK12"/>
      <w:r>
        <w:rPr>
          <w:rFonts w:hint="default" w:ascii="Times New Roman" w:hAnsi="Times New Roman" w:eastAsia="仿宋_GB2312" w:cs="Times New Roman"/>
          <w:b w:val="0"/>
          <w:bCs w:val="0"/>
          <w:color w:val="auto"/>
          <w:sz w:val="32"/>
          <w:szCs w:val="32"/>
        </w:rPr>
        <w:t>各类固体废物实行分类收集、处置。危险废物</w:t>
      </w:r>
      <w:r>
        <w:rPr>
          <w:rFonts w:hint="default" w:ascii="Times New Roman" w:hAnsi="Times New Roman" w:eastAsia="仿宋_GB2312" w:cs="Times New Roman"/>
          <w:b w:val="0"/>
          <w:bCs w:val="0"/>
          <w:color w:val="auto"/>
          <w:sz w:val="32"/>
          <w:szCs w:val="32"/>
          <w:lang w:eastAsia="zh-CN"/>
        </w:rPr>
        <w:t>的</w:t>
      </w:r>
      <w:r>
        <w:rPr>
          <w:rFonts w:hint="default" w:ascii="Times New Roman" w:hAnsi="Times New Roman" w:eastAsia="仿宋_GB2312" w:cs="Times New Roman"/>
          <w:b w:val="0"/>
          <w:bCs w:val="0"/>
          <w:sz w:val="32"/>
          <w:szCs w:val="32"/>
          <w:lang w:eastAsia="zh-CN"/>
        </w:rPr>
        <w:t>贮存、堆放应</w:t>
      </w:r>
      <w:r>
        <w:rPr>
          <w:rFonts w:hint="default" w:ascii="Times New Roman" w:hAnsi="Times New Roman" w:eastAsia="仿宋_GB2312" w:cs="Times New Roman"/>
          <w:b w:val="0"/>
          <w:bCs w:val="0"/>
          <w:color w:val="auto"/>
          <w:sz w:val="32"/>
          <w:szCs w:val="32"/>
          <w:lang w:eastAsia="zh-CN"/>
        </w:rPr>
        <w:t>按</w:t>
      </w:r>
      <w:r>
        <w:rPr>
          <w:rFonts w:hint="default" w:ascii="Times New Roman" w:hAnsi="Times New Roman" w:eastAsia="仿宋_GB2312" w:cs="Times New Roman"/>
          <w:b w:val="0"/>
          <w:bCs w:val="0"/>
          <w:color w:val="auto"/>
          <w:sz w:val="32"/>
          <w:szCs w:val="32"/>
        </w:rPr>
        <w:t>《危险废物贮存污染控制标准》（GB18597-20</w:t>
      </w:r>
      <w:r>
        <w:rPr>
          <w:rFonts w:hint="default" w:ascii="Times New Roman" w:hAnsi="Times New Roman" w:eastAsia="仿宋_GB2312" w:cs="Times New Roman"/>
          <w:b w:val="0"/>
          <w:bCs w:val="0"/>
          <w:color w:val="auto"/>
          <w:sz w:val="32"/>
          <w:szCs w:val="32"/>
          <w:lang w:val="en-US" w:eastAsia="zh-CN"/>
        </w:rPr>
        <w:t>23</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要求</w:t>
      </w:r>
      <w:r>
        <w:rPr>
          <w:rFonts w:hint="default" w:ascii="Times New Roman" w:hAnsi="Times New Roman" w:eastAsia="仿宋_GB2312" w:cs="Times New Roman"/>
          <w:b w:val="0"/>
          <w:bCs w:val="0"/>
          <w:color w:val="auto"/>
          <w:sz w:val="32"/>
          <w:szCs w:val="32"/>
        </w:rPr>
        <w:t>进行管理</w:t>
      </w:r>
      <w:r>
        <w:rPr>
          <w:rFonts w:hint="eastAsia" w:eastAsia="仿宋_GB2312" w:cs="Times New Roman"/>
          <w:b w:val="0"/>
          <w:bCs w:val="0"/>
          <w:color w:val="auto"/>
          <w:sz w:val="32"/>
          <w:szCs w:val="32"/>
          <w:lang w:eastAsia="zh-CN"/>
        </w:rPr>
        <w:t>，并</w:t>
      </w:r>
      <w:r>
        <w:rPr>
          <w:rFonts w:hint="default" w:ascii="Times New Roman" w:hAnsi="Times New Roman" w:eastAsia="仿宋_GB2312" w:cs="Times New Roman"/>
          <w:b w:val="0"/>
          <w:bCs w:val="0"/>
          <w:color w:val="auto"/>
          <w:sz w:val="32"/>
          <w:szCs w:val="32"/>
          <w:lang w:eastAsia="zh-CN"/>
        </w:rPr>
        <w:t>委托有资质的单位处置</w:t>
      </w:r>
      <w:r>
        <w:rPr>
          <w:rFonts w:hint="default" w:ascii="Times New Roman" w:hAnsi="Times New Roman" w:eastAsia="仿宋_GB2312" w:cs="Times New Roman"/>
          <w:b w:val="0"/>
          <w:bCs w:val="0"/>
          <w:color w:val="auto"/>
          <w:sz w:val="32"/>
          <w:szCs w:val="32"/>
        </w:rPr>
        <w:t>。</w:t>
      </w:r>
    </w:p>
    <w:bookmarkEnd w:id="2"/>
    <w:p w14:paraId="777E49A1">
      <w:pPr>
        <w:keepNext w:val="0"/>
        <w:keepLines w:val="0"/>
        <w:pageBreakBefore w:val="0"/>
        <w:widowControl w:val="0"/>
        <w:kinsoku/>
        <w:wordWrap w:val="0"/>
        <w:overflowPunct/>
        <w:topLinePunct w:val="0"/>
        <w:bidi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五</w:t>
      </w:r>
      <w:r>
        <w:rPr>
          <w:rFonts w:hint="eastAsia" w:ascii="仿宋_GB2312" w:hAnsi="仿宋_GB2312" w:eastAsia="仿宋_GB2312" w:cs="仿宋_GB2312"/>
          <w:b w:val="0"/>
          <w:bCs w:val="0"/>
          <w:color w:val="auto"/>
          <w:sz w:val="32"/>
          <w:szCs w:val="32"/>
        </w:rPr>
        <w:t>）加强环境风险防范和应急工作</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建立健全环境事故应急体系，落实各项环境风险防范与应急措施，确保</w:t>
      </w:r>
      <w:r>
        <w:rPr>
          <w:rFonts w:hint="eastAsia" w:ascii="仿宋_GB2312" w:hAnsi="仿宋_GB2312" w:eastAsia="仿宋_GB2312" w:cs="仿宋_GB2312"/>
          <w:b w:val="0"/>
          <w:bCs w:val="0"/>
          <w:color w:val="auto"/>
          <w:sz w:val="32"/>
          <w:szCs w:val="32"/>
          <w:lang w:eastAsia="zh-CN"/>
        </w:rPr>
        <w:t>生态</w:t>
      </w:r>
      <w:r>
        <w:rPr>
          <w:rFonts w:hint="eastAsia" w:ascii="仿宋_GB2312" w:hAnsi="仿宋_GB2312" w:eastAsia="仿宋_GB2312" w:cs="仿宋_GB2312"/>
          <w:b w:val="0"/>
          <w:bCs w:val="0"/>
          <w:color w:val="auto"/>
          <w:sz w:val="32"/>
          <w:szCs w:val="32"/>
        </w:rPr>
        <w:t>环境安全。</w:t>
      </w:r>
    </w:p>
    <w:p w14:paraId="33700F99">
      <w:pPr>
        <w:keepNext w:val="0"/>
        <w:keepLines w:val="0"/>
        <w:pageBreakBefore w:val="0"/>
        <w:widowControl w:val="0"/>
        <w:kinsoku/>
        <w:wordWrap w:val="0"/>
        <w:overflowPunct/>
        <w:topLinePunct w:val="0"/>
        <w:bidi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（六）</w:t>
      </w:r>
      <w:r>
        <w:rPr>
          <w:rFonts w:hint="eastAsia" w:ascii="仿宋_GB2312" w:hAnsi="仿宋_GB2312" w:eastAsia="仿宋_GB2312" w:cs="仿宋_GB2312"/>
          <w:b w:val="0"/>
          <w:bCs w:val="0"/>
          <w:color w:val="auto"/>
          <w:sz w:val="32"/>
          <w:szCs w:val="32"/>
        </w:rPr>
        <w:t>加强运营期</w:t>
      </w:r>
      <w:r>
        <w:rPr>
          <w:rFonts w:hint="eastAsia" w:ascii="仿宋_GB2312" w:hAnsi="仿宋_GB2312" w:eastAsia="仿宋_GB2312" w:cs="仿宋_GB2312"/>
          <w:b w:val="0"/>
          <w:bCs w:val="0"/>
          <w:color w:val="auto"/>
          <w:sz w:val="32"/>
          <w:szCs w:val="32"/>
          <w:lang w:eastAsia="zh-CN"/>
        </w:rPr>
        <w:t>环境保护</w:t>
      </w:r>
      <w:r>
        <w:rPr>
          <w:rFonts w:hint="eastAsia" w:ascii="仿宋_GB2312" w:hAnsi="仿宋_GB2312" w:eastAsia="仿宋_GB2312" w:cs="仿宋_GB2312"/>
          <w:b w:val="0"/>
          <w:bCs w:val="0"/>
          <w:color w:val="auto"/>
          <w:sz w:val="32"/>
          <w:szCs w:val="32"/>
        </w:rPr>
        <w:t>管理，</w:t>
      </w:r>
      <w:r>
        <w:rPr>
          <w:rFonts w:hint="eastAsia" w:ascii="仿宋_GB2312" w:hAnsi="仿宋_GB2312" w:eastAsia="仿宋_GB2312" w:cs="仿宋_GB2312"/>
          <w:b w:val="0"/>
          <w:bCs w:val="0"/>
          <w:color w:val="auto"/>
          <w:sz w:val="32"/>
          <w:szCs w:val="32"/>
          <w:lang w:eastAsia="zh-CN"/>
        </w:rPr>
        <w:t>确保各项污染物稳定达标排放，并</w:t>
      </w:r>
      <w:bookmarkStart w:id="3" w:name="OLE_LINK15"/>
      <w:r>
        <w:rPr>
          <w:rFonts w:hint="eastAsia" w:ascii="仿宋_GB2312" w:hAnsi="仿宋_GB2312" w:eastAsia="仿宋_GB2312" w:cs="仿宋_GB2312"/>
          <w:b w:val="0"/>
          <w:bCs w:val="0"/>
          <w:color w:val="auto"/>
          <w:sz w:val="32"/>
          <w:szCs w:val="32"/>
          <w:lang w:eastAsia="zh-CN"/>
        </w:rPr>
        <w:t>按规定</w:t>
      </w:r>
      <w:r>
        <w:rPr>
          <w:rFonts w:hint="eastAsia" w:ascii="仿宋_GB2312" w:hAnsi="仿宋_GB2312" w:eastAsia="仿宋_GB2312" w:cs="仿宋_GB2312"/>
          <w:b w:val="0"/>
          <w:bCs w:val="0"/>
          <w:color w:val="auto"/>
          <w:kern w:val="0"/>
          <w:sz w:val="32"/>
          <w:szCs w:val="32"/>
        </w:rPr>
        <w:t>做好污染物排放</w:t>
      </w:r>
      <w:r>
        <w:rPr>
          <w:rFonts w:hint="eastAsia" w:ascii="仿宋_GB2312" w:hAnsi="仿宋_GB2312" w:eastAsia="仿宋_GB2312" w:cs="仿宋_GB2312"/>
          <w:b w:val="0"/>
          <w:bCs w:val="0"/>
          <w:color w:val="auto"/>
          <w:kern w:val="0"/>
          <w:sz w:val="32"/>
          <w:szCs w:val="32"/>
          <w:lang w:eastAsia="zh-CN"/>
        </w:rPr>
        <w:t>的自行</w:t>
      </w:r>
      <w:r>
        <w:rPr>
          <w:rFonts w:hint="eastAsia" w:ascii="仿宋_GB2312" w:hAnsi="仿宋_GB2312" w:eastAsia="仿宋_GB2312" w:cs="仿宋_GB2312"/>
          <w:b w:val="0"/>
          <w:bCs w:val="0"/>
          <w:color w:val="auto"/>
          <w:kern w:val="0"/>
          <w:sz w:val="32"/>
          <w:szCs w:val="32"/>
        </w:rPr>
        <w:t>监测</w:t>
      </w:r>
      <w:r>
        <w:rPr>
          <w:rFonts w:hint="eastAsia" w:ascii="仿宋_GB2312" w:hAnsi="仿宋_GB2312" w:eastAsia="仿宋_GB2312" w:cs="仿宋_GB2312"/>
          <w:b w:val="0"/>
          <w:bCs w:val="0"/>
          <w:color w:val="auto"/>
          <w:kern w:val="0"/>
          <w:sz w:val="32"/>
          <w:szCs w:val="32"/>
          <w:lang w:eastAsia="zh-CN"/>
        </w:rPr>
        <w:t>及信息公开工作</w:t>
      </w:r>
      <w:bookmarkEnd w:id="3"/>
      <w:r>
        <w:rPr>
          <w:rFonts w:hint="eastAsia" w:ascii="仿宋_GB2312" w:hAnsi="仿宋_GB2312" w:eastAsia="仿宋_GB2312" w:cs="仿宋_GB2312"/>
          <w:b w:val="0"/>
          <w:bCs w:val="0"/>
          <w:color w:val="auto"/>
          <w:kern w:val="0"/>
          <w:sz w:val="32"/>
          <w:szCs w:val="32"/>
        </w:rPr>
        <w:t>。</w:t>
      </w:r>
    </w:p>
    <w:p w14:paraId="16F75DE3">
      <w:pPr>
        <w:keepNext w:val="0"/>
        <w:keepLines w:val="0"/>
        <w:pageBreakBefore w:val="0"/>
        <w:widowControl w:val="0"/>
        <w:kinsoku/>
        <w:wordWrap w:val="0"/>
        <w:overflowPunct/>
        <w:topLinePunct w:val="0"/>
        <w:autoSpaceDE/>
        <w:autoSpaceDN/>
        <w:bidi w:val="0"/>
        <w:adjustRightInd/>
        <w:snapToGrid w:val="0"/>
        <w:spacing w:beforeLines="0" w:afterLines="0" w:line="500" w:lineRule="exact"/>
        <w:ind w:firstLine="640" w:firstLineChars="200"/>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i w:val="0"/>
          <w:iCs w:val="0"/>
          <w:color w:val="auto"/>
          <w:sz w:val="32"/>
          <w:szCs w:val="32"/>
        </w:rPr>
        <w:t>（</w:t>
      </w:r>
      <w:r>
        <w:rPr>
          <w:rFonts w:hint="eastAsia" w:ascii="仿宋_GB2312" w:hAnsi="仿宋_GB2312" w:eastAsia="仿宋_GB2312" w:cs="仿宋_GB2312"/>
          <w:i w:val="0"/>
          <w:iCs w:val="0"/>
          <w:color w:val="auto"/>
          <w:sz w:val="32"/>
          <w:szCs w:val="32"/>
          <w:lang w:val="en-US" w:eastAsia="zh-CN"/>
        </w:rPr>
        <w:t>七</w:t>
      </w:r>
      <w:r>
        <w:rPr>
          <w:rFonts w:hint="eastAsia" w:ascii="仿宋_GB2312" w:hAnsi="仿宋_GB2312" w:eastAsia="仿宋_GB2312" w:cs="仿宋_GB2312"/>
          <w:i w:val="0"/>
          <w:iCs w:val="0"/>
          <w:color w:val="auto"/>
          <w:sz w:val="32"/>
          <w:szCs w:val="32"/>
        </w:rPr>
        <w:t>）</w:t>
      </w:r>
      <w:bookmarkStart w:id="4"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4"/>
    </w:p>
    <w:p w14:paraId="74170BEC">
      <w:pPr>
        <w:keepNext w:val="0"/>
        <w:keepLines w:val="0"/>
        <w:pageBreakBefore w:val="0"/>
        <w:widowControl w:val="0"/>
        <w:kinsoku/>
        <w:wordWrap w:val="0"/>
        <w:overflowPunct/>
        <w:topLinePunct w:val="0"/>
        <w:autoSpaceDE w:val="0"/>
        <w:autoSpaceDN w:val="0"/>
        <w:bidi w:val="0"/>
        <w:adjustRightInd w:val="0"/>
        <w:snapToGrid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0BD7DA49">
      <w:pPr>
        <w:keepNext w:val="0"/>
        <w:keepLines w:val="0"/>
        <w:pageBreakBefore w:val="0"/>
        <w:widowControl w:val="0"/>
        <w:kinsoku/>
        <w:wordWrap w:val="0"/>
        <w:overflowPunct/>
        <w:topLinePunct w:val="0"/>
        <w:autoSpaceDE w:val="0"/>
        <w:autoSpaceDN w:val="0"/>
        <w:bidi w:val="0"/>
        <w:adjustRightInd w:val="0"/>
        <w:snapToGrid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69B86FCA">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p>
    <w:p w14:paraId="796E8AD5">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textAlignment w:val="auto"/>
        <w:rPr>
          <w:rFonts w:hint="eastAsia" w:ascii="仿宋_GB2312" w:hAnsi="仿宋_GB2312" w:eastAsia="仿宋_GB2312" w:cs="仿宋_GB2312"/>
          <w:b w:val="0"/>
          <w:bCs w:val="0"/>
          <w:color w:val="auto"/>
          <w:sz w:val="32"/>
          <w:szCs w:val="32"/>
        </w:rPr>
      </w:pPr>
    </w:p>
    <w:p w14:paraId="49A39175">
      <w:pPr>
        <w:keepNext w:val="0"/>
        <w:keepLines w:val="0"/>
        <w:pageBreakBefore w:val="0"/>
        <w:widowControl w:val="0"/>
        <w:kinsoku/>
        <w:wordWrap/>
        <w:overflowPunct/>
        <w:topLinePunct w:val="0"/>
        <w:bidi w:val="0"/>
        <w:spacing w:line="500" w:lineRule="exact"/>
        <w:jc w:val="center"/>
        <w:textAlignment w:val="auto"/>
        <w:outlineLvl w:val="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广州市生态环境局</w:t>
      </w:r>
    </w:p>
    <w:p w14:paraId="4C71BDF6">
      <w:pPr>
        <w:keepNext w:val="0"/>
        <w:keepLines w:val="0"/>
        <w:pageBreakBefore w:val="0"/>
        <w:widowControl w:val="0"/>
        <w:kinsoku/>
        <w:wordWrap/>
        <w:overflowPunct/>
        <w:topLinePunct w:val="0"/>
        <w:bidi w:val="0"/>
        <w:spacing w:line="500" w:lineRule="exact"/>
        <w:ind w:right="838" w:rightChars="399" w:firstLine="640" w:firstLineChars="200"/>
        <w:jc w:val="righ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val="en-US" w:eastAsia="zh-CN"/>
        </w:rPr>
        <w:t>11</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21</w:t>
      </w:r>
      <w:r>
        <w:rPr>
          <w:rFonts w:hint="eastAsia" w:ascii="仿宋_GB2312" w:hAnsi="仿宋_GB2312" w:eastAsia="仿宋_GB2312" w:cs="仿宋_GB2312"/>
          <w:b w:val="0"/>
          <w:bCs w:val="0"/>
          <w:color w:val="auto"/>
          <w:sz w:val="32"/>
          <w:szCs w:val="32"/>
        </w:rPr>
        <w:t>日</w:t>
      </w:r>
    </w:p>
    <w:p w14:paraId="2839ADE7">
      <w:pPr>
        <w:keepNext w:val="0"/>
        <w:keepLines w:val="0"/>
        <w:pageBreakBefore w:val="0"/>
        <w:widowControl w:val="0"/>
        <w:kinsoku/>
        <w:wordWrap/>
        <w:overflowPunct/>
        <w:topLinePunct w:val="0"/>
        <w:bidi w:val="0"/>
        <w:spacing w:line="500" w:lineRule="exact"/>
        <w:ind w:right="838" w:rightChars="399" w:firstLine="640" w:firstLineChars="200"/>
        <w:jc w:val="right"/>
        <w:textAlignment w:val="auto"/>
        <w:rPr>
          <w:rFonts w:hint="eastAsia" w:ascii="仿宋_GB2312" w:hAnsi="仿宋_GB2312" w:eastAsia="仿宋_GB2312" w:cs="仿宋_GB2312"/>
          <w:b w:val="0"/>
          <w:bCs w:val="0"/>
          <w:color w:val="auto"/>
          <w:sz w:val="32"/>
          <w:szCs w:val="32"/>
        </w:rPr>
      </w:pPr>
    </w:p>
    <w:p w14:paraId="518C3014">
      <w:pPr>
        <w:keepNext w:val="0"/>
        <w:keepLines w:val="0"/>
        <w:pageBreakBefore w:val="0"/>
        <w:widowControl w:val="0"/>
        <w:kinsoku/>
        <w:wordWrap/>
        <w:overflowPunct/>
        <w:topLinePunct w:val="0"/>
        <w:bidi w:val="0"/>
        <w:spacing w:line="500" w:lineRule="exact"/>
        <w:ind w:right="838" w:rightChars="399" w:firstLine="640" w:firstLineChars="200"/>
        <w:jc w:val="right"/>
        <w:textAlignment w:val="auto"/>
        <w:rPr>
          <w:rFonts w:hint="eastAsia" w:ascii="仿宋_GB2312" w:hAnsi="仿宋_GB2312" w:eastAsia="仿宋_GB2312" w:cs="仿宋_GB2312"/>
          <w:b w:val="0"/>
          <w:bCs w:val="0"/>
          <w:color w:val="auto"/>
          <w:sz w:val="32"/>
          <w:szCs w:val="32"/>
        </w:rPr>
      </w:pPr>
    </w:p>
    <w:p w14:paraId="2EEFC558">
      <w:pPr>
        <w:keepNext w:val="0"/>
        <w:keepLines w:val="0"/>
        <w:pageBreakBefore w:val="0"/>
        <w:widowControl w:val="0"/>
        <w:kinsoku/>
        <w:wordWrap/>
        <w:overflowPunct/>
        <w:topLinePunct w:val="0"/>
        <w:bidi w:val="0"/>
        <w:spacing w:line="500" w:lineRule="exact"/>
        <w:ind w:right="838" w:rightChars="399" w:firstLine="640" w:firstLineChars="200"/>
        <w:jc w:val="right"/>
        <w:textAlignment w:val="auto"/>
        <w:rPr>
          <w:rFonts w:hint="eastAsia" w:ascii="仿宋_GB2312" w:hAnsi="仿宋_GB2312" w:eastAsia="仿宋_GB2312" w:cs="仿宋_GB2312"/>
          <w:b w:val="0"/>
          <w:bCs w:val="0"/>
          <w:color w:val="auto"/>
          <w:sz w:val="32"/>
          <w:szCs w:val="32"/>
        </w:rPr>
      </w:pPr>
    </w:p>
    <w:p w14:paraId="64E47C42">
      <w:pPr>
        <w:keepNext w:val="0"/>
        <w:keepLines w:val="0"/>
        <w:pageBreakBefore w:val="0"/>
        <w:widowControl w:val="0"/>
        <w:kinsoku/>
        <w:wordWrap/>
        <w:overflowPunct/>
        <w:topLinePunct w:val="0"/>
        <w:bidi w:val="0"/>
        <w:spacing w:line="500" w:lineRule="exact"/>
        <w:ind w:right="838" w:rightChars="399" w:firstLine="640" w:firstLineChars="200"/>
        <w:jc w:val="right"/>
        <w:textAlignment w:val="auto"/>
        <w:rPr>
          <w:rFonts w:hint="eastAsia" w:ascii="仿宋_GB2312" w:hAnsi="仿宋_GB2312" w:eastAsia="仿宋_GB2312" w:cs="仿宋_GB2312"/>
          <w:b w:val="0"/>
          <w:bCs w:val="0"/>
          <w:color w:val="auto"/>
          <w:sz w:val="32"/>
          <w:szCs w:val="32"/>
        </w:rPr>
      </w:pPr>
    </w:p>
    <w:p w14:paraId="5FFEEECE">
      <w:pPr>
        <w:keepNext w:val="0"/>
        <w:keepLines w:val="0"/>
        <w:pageBreakBefore w:val="0"/>
        <w:widowControl w:val="0"/>
        <w:kinsoku/>
        <w:wordWrap/>
        <w:overflowPunct/>
        <w:topLinePunct w:val="0"/>
        <w:autoSpaceDE/>
        <w:autoSpaceDN/>
        <w:bidi w:val="0"/>
        <w:adjustRightInd/>
        <w:spacing w:line="500" w:lineRule="exact"/>
        <w:textAlignment w:val="auto"/>
        <w:outlineLvl w:val="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公开方式：主动公开</w:t>
      </w:r>
    </w:p>
    <w:p w14:paraId="782C34F9">
      <w:pPr>
        <w:keepNext w:val="0"/>
        <w:keepLines w:val="0"/>
        <w:pageBreakBefore w:val="0"/>
        <w:widowControl w:val="0"/>
        <w:kinsoku/>
        <w:wordWrap/>
        <w:overflowPunct/>
        <w:topLinePunct w:val="0"/>
        <w:autoSpaceDE/>
        <w:autoSpaceDN/>
        <w:bidi w:val="0"/>
        <w:adjustRightInd/>
        <w:spacing w:line="500" w:lineRule="exact"/>
        <w:textAlignment w:val="auto"/>
        <w:outlineLvl w:val="0"/>
        <w:rPr>
          <w:rFonts w:hint="eastAsia" w:ascii="仿宋_GB2312" w:hAnsi="仿宋_GB2312" w:eastAsia="仿宋_GB2312" w:cs="仿宋_GB2312"/>
          <w:b w:val="0"/>
          <w:bCs w:val="0"/>
          <w:color w:val="auto"/>
          <w:sz w:val="32"/>
          <w:szCs w:val="32"/>
        </w:rPr>
      </w:pPr>
    </w:p>
    <w:p w14:paraId="13E4F1DC">
      <w:pPr>
        <w:keepNext w:val="0"/>
        <w:keepLines w:val="0"/>
        <w:pageBreakBefore w:val="0"/>
        <w:widowControl w:val="0"/>
        <w:kinsoku/>
        <w:wordWrap/>
        <w:overflowPunct/>
        <w:topLinePunct w:val="0"/>
        <w:autoSpaceDE/>
        <w:autoSpaceDN/>
        <w:bidi w:val="0"/>
        <w:adjustRightInd/>
        <w:snapToGrid w:val="0"/>
        <w:spacing w:line="500" w:lineRule="exact"/>
        <w:ind w:left="1119" w:leftChars="133" w:hanging="840" w:hangingChars="300"/>
        <w:jc w:val="left"/>
        <w:textAlignment w:val="auto"/>
        <w:rPr>
          <w:rFonts w:hint="eastAsia" w:ascii="华文楷体" w:hAnsi="华文楷体" w:eastAsia="华文楷体" w:cs="华文楷体"/>
          <w:b w:val="0"/>
          <w:bCs w:val="0"/>
          <w:color w:val="auto"/>
          <w:sz w:val="30"/>
          <w:szCs w:val="30"/>
          <w:lang w:val="en-US" w:eastAsia="zh-CN"/>
        </w:rPr>
      </w:pPr>
      <w:r>
        <w:rPr>
          <w:rFonts w:hint="eastAsia" w:ascii="仿宋_GB2312" w:hAnsi="仿宋_GB2312" w:eastAsia="仿宋_GB2312" w:cs="仿宋_GB2312"/>
          <w:b w:val="0"/>
          <w:bCs w:val="0"/>
          <w:color w:val="auto"/>
          <w:sz w:val="28"/>
          <w:szCs w:val="28"/>
        </w:rPr>
        <w:t>抄送：</w:t>
      </w:r>
      <w:r>
        <w:rPr>
          <w:rFonts w:hint="eastAsia" w:ascii="仿宋_GB2312" w:hAnsi="仿宋_GB2312" w:eastAsia="仿宋_GB2312" w:cs="仿宋_GB2312"/>
          <w:color w:val="auto"/>
          <w:sz w:val="28"/>
          <w:szCs w:val="28"/>
        </w:rPr>
        <w:t>广州市生态环境局番禺分局</w:t>
      </w:r>
      <w:r>
        <w:rPr>
          <w:rFonts w:hint="eastAsia" w:ascii="仿宋_GB2312" w:hAnsi="仿宋_GB2312" w:eastAsia="仿宋_GB2312" w:cs="仿宋_GB2312"/>
          <w:color w:val="auto"/>
          <w:sz w:val="28"/>
          <w:szCs w:val="28"/>
          <w:lang w:val="en-US" w:eastAsia="zh-CN"/>
        </w:rPr>
        <w:t>监管三科、</w:t>
      </w:r>
      <w:r>
        <w:rPr>
          <w:rFonts w:hint="eastAsia" w:ascii="仿宋_GB2312" w:hAnsi="仿宋_GB2312" w:eastAsia="仿宋_GB2312" w:cs="仿宋_GB2312"/>
          <w:color w:val="auto"/>
          <w:sz w:val="28"/>
          <w:szCs w:val="28"/>
        </w:rPr>
        <w:t>执法</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28"/>
          <w:szCs w:val="28"/>
        </w:rPr>
        <w:t>科</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广州市生态环境局</w:t>
      </w:r>
      <w:bookmarkStart w:id="5" w:name="OLE_LINK13"/>
      <w:r>
        <w:rPr>
          <w:rFonts w:hint="eastAsia" w:ascii="仿宋_GB2312" w:hAnsi="仿宋_GB2312" w:eastAsia="仿宋_GB2312" w:cs="仿宋_GB2312"/>
          <w:b w:val="0"/>
          <w:bCs w:val="0"/>
          <w:color w:val="auto"/>
          <w:sz w:val="28"/>
          <w:szCs w:val="28"/>
        </w:rPr>
        <w:t>番禺技术中心</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color w:val="auto"/>
          <w:sz w:val="28"/>
          <w:szCs w:val="28"/>
          <w:lang w:eastAsia="zh-CN"/>
        </w:rPr>
        <w:t>番禺</w:t>
      </w: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28"/>
          <w:szCs w:val="28"/>
        </w:rPr>
        <w:t>环保所</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广州市共融环境工程有限公司</w:t>
      </w:r>
      <w:r>
        <w:rPr>
          <w:rFonts w:hint="eastAsia" w:ascii="仿宋_GB2312" w:hAnsi="仿宋_GB2312" w:eastAsia="仿宋_GB2312" w:cs="仿宋_GB2312"/>
          <w:b w:val="0"/>
          <w:bCs w:val="0"/>
          <w:color w:val="auto"/>
          <w:sz w:val="28"/>
          <w:szCs w:val="28"/>
        </w:rPr>
        <w:t>。</w:t>
      </w:r>
      <w:bookmarkEnd w:id="0"/>
      <w:bookmarkEnd w:id="5"/>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8E51">
    <w:pPr>
      <w:pStyle w:val="9"/>
      <w:framePr w:wrap="around" w:vAnchor="text" w:hAnchor="margin" w:xAlign="outside" w:y="1"/>
      <w:rPr>
        <w:rStyle w:val="17"/>
        <w:rFonts w:hint="eastAsia"/>
        <w:sz w:val="28"/>
      </w:rPr>
    </w:pPr>
    <w:r>
      <w:rPr>
        <w:rStyle w:val="17"/>
        <w:rFonts w:hint="eastAsia" w:ascii="宋体" w:hAnsi="宋体"/>
        <w:sz w:val="28"/>
      </w:rPr>
      <w:t>―</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ascii="宋体" w:hAnsi="宋体"/>
        <w:sz w:val="28"/>
      </w:rPr>
      <w:t>―</w:t>
    </w:r>
  </w:p>
  <w:p w14:paraId="5A2D853F">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9D3FE">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29F93B6E">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11CEE">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11B6882"/>
    <w:rsid w:val="0726573F"/>
    <w:rsid w:val="09CA1181"/>
    <w:rsid w:val="0A125676"/>
    <w:rsid w:val="0B000F60"/>
    <w:rsid w:val="0D4F2AE5"/>
    <w:rsid w:val="0DEB5A37"/>
    <w:rsid w:val="0E640050"/>
    <w:rsid w:val="0F52122C"/>
    <w:rsid w:val="0F6F1094"/>
    <w:rsid w:val="120E1C01"/>
    <w:rsid w:val="128379F6"/>
    <w:rsid w:val="12856FF3"/>
    <w:rsid w:val="13C979FA"/>
    <w:rsid w:val="16153CF4"/>
    <w:rsid w:val="17D84309"/>
    <w:rsid w:val="19FE60C7"/>
    <w:rsid w:val="1A1914F5"/>
    <w:rsid w:val="1B176524"/>
    <w:rsid w:val="1BED373D"/>
    <w:rsid w:val="1C663D97"/>
    <w:rsid w:val="1E765922"/>
    <w:rsid w:val="1F0D7671"/>
    <w:rsid w:val="1FDE71AF"/>
    <w:rsid w:val="20BA50E3"/>
    <w:rsid w:val="220E557A"/>
    <w:rsid w:val="232609F0"/>
    <w:rsid w:val="252D1EE5"/>
    <w:rsid w:val="260A4701"/>
    <w:rsid w:val="269D7E97"/>
    <w:rsid w:val="27CB7E09"/>
    <w:rsid w:val="284E34A5"/>
    <w:rsid w:val="291649F7"/>
    <w:rsid w:val="291B3F52"/>
    <w:rsid w:val="29FA00EA"/>
    <w:rsid w:val="2A7501F0"/>
    <w:rsid w:val="2BFC0D17"/>
    <w:rsid w:val="2D3E219F"/>
    <w:rsid w:val="2D9B4434"/>
    <w:rsid w:val="2F9741F9"/>
    <w:rsid w:val="2FC737F6"/>
    <w:rsid w:val="30025200"/>
    <w:rsid w:val="30870396"/>
    <w:rsid w:val="31B62063"/>
    <w:rsid w:val="339B5615"/>
    <w:rsid w:val="349B0E30"/>
    <w:rsid w:val="355549D6"/>
    <w:rsid w:val="362F290C"/>
    <w:rsid w:val="368707A0"/>
    <w:rsid w:val="36E8706D"/>
    <w:rsid w:val="3742314B"/>
    <w:rsid w:val="37FF4F0E"/>
    <w:rsid w:val="38A97D85"/>
    <w:rsid w:val="3A282EC7"/>
    <w:rsid w:val="3A53380B"/>
    <w:rsid w:val="3D957DFF"/>
    <w:rsid w:val="3DFE29E0"/>
    <w:rsid w:val="402A1393"/>
    <w:rsid w:val="40EE14B1"/>
    <w:rsid w:val="41680404"/>
    <w:rsid w:val="42007882"/>
    <w:rsid w:val="42B875A4"/>
    <w:rsid w:val="438576C5"/>
    <w:rsid w:val="439F0BBE"/>
    <w:rsid w:val="461D3EE6"/>
    <w:rsid w:val="4732045C"/>
    <w:rsid w:val="476D05EC"/>
    <w:rsid w:val="48BC7A7A"/>
    <w:rsid w:val="4B8D3358"/>
    <w:rsid w:val="4D037CA5"/>
    <w:rsid w:val="4D4D6CAD"/>
    <w:rsid w:val="4E100354"/>
    <w:rsid w:val="4E823E3F"/>
    <w:rsid w:val="50775E7B"/>
    <w:rsid w:val="51463C84"/>
    <w:rsid w:val="51EC39BC"/>
    <w:rsid w:val="526D1882"/>
    <w:rsid w:val="527D3E2F"/>
    <w:rsid w:val="54535B9B"/>
    <w:rsid w:val="56D90809"/>
    <w:rsid w:val="575E5E0B"/>
    <w:rsid w:val="576C3EC8"/>
    <w:rsid w:val="58F4010C"/>
    <w:rsid w:val="599125D0"/>
    <w:rsid w:val="5A7B4474"/>
    <w:rsid w:val="5D0C3D95"/>
    <w:rsid w:val="5E175DB4"/>
    <w:rsid w:val="5E3E7416"/>
    <w:rsid w:val="5F63425D"/>
    <w:rsid w:val="5FE63F8D"/>
    <w:rsid w:val="60542D1F"/>
    <w:rsid w:val="633A1D77"/>
    <w:rsid w:val="63C51FC3"/>
    <w:rsid w:val="6534300B"/>
    <w:rsid w:val="66013B47"/>
    <w:rsid w:val="666D147E"/>
    <w:rsid w:val="670856A2"/>
    <w:rsid w:val="69271CDD"/>
    <w:rsid w:val="69FC3374"/>
    <w:rsid w:val="6ABE0F32"/>
    <w:rsid w:val="6B743DD4"/>
    <w:rsid w:val="6BB20BEF"/>
    <w:rsid w:val="6BFA5CBF"/>
    <w:rsid w:val="6CB93980"/>
    <w:rsid w:val="6E193FCD"/>
    <w:rsid w:val="6E273EB7"/>
    <w:rsid w:val="70EB61B4"/>
    <w:rsid w:val="719E1C2B"/>
    <w:rsid w:val="71A71BA1"/>
    <w:rsid w:val="71F25EB7"/>
    <w:rsid w:val="721533D8"/>
    <w:rsid w:val="734F6D9E"/>
    <w:rsid w:val="75B46566"/>
    <w:rsid w:val="75B66322"/>
    <w:rsid w:val="77A3353E"/>
    <w:rsid w:val="784E3B62"/>
    <w:rsid w:val="78B600C0"/>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3</Pages>
  <Words>1542</Words>
  <Characters>1664</Characters>
  <Lines>16</Lines>
  <Paragraphs>4</Paragraphs>
  <TotalTime>66</TotalTime>
  <ScaleCrop>false</ScaleCrop>
  <LinksUpToDate>false</LinksUpToDate>
  <CharactersWithSpaces>1695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dolyzzzz</cp:lastModifiedBy>
  <cp:lastPrinted>2025-11-19T09:32:00Z</cp:lastPrinted>
  <dcterms:modified xsi:type="dcterms:W3CDTF">2025-11-21T03:50:14Z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80EEDB4B9A514F95B67CFCD2B528543A</vt:lpwstr>
  </property>
  <property fmtid="{D5CDD505-2E9C-101B-9397-08002B2CF9AE}" pid="4" name="KSOTemplateDocerSaveRecord">
    <vt:lpwstr>eyJoZGlkIjoiZTk3OTI2Y2Y4NTVhMDE4ZDI0NmQ3YmQxYzcwODhjOTYiLCJ1c2VySWQiOiIxMjEwNzk5MTAifQ==</vt:lpwstr>
  </property>
</Properties>
</file>