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FDE16">
      <w:pPr>
        <w:spacing w:line="580" w:lineRule="exact"/>
        <w:ind w:right="23" w:rightChars="11"/>
        <w:rPr>
          <w:rFonts w:hint="eastAsia" w:ascii="仿宋_GB2312" w:eastAsia="仿宋_GB2312"/>
          <w:sz w:val="32"/>
        </w:rPr>
      </w:pPr>
      <w:r>
        <w:rPr>
          <w:rFonts w:hint="eastAsia" w:eastAsia="仿宋_GB2312"/>
          <w:sz w:val="32"/>
        </w:rPr>
        <w:t xml:space="preserve">                                          </w:t>
      </w:r>
    </w:p>
    <w:p w14:paraId="18CDA06A">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0" w:name="Content"/>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143</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11CEDC0F">
      <w:pPr>
        <w:spacing w:line="590" w:lineRule="exact"/>
        <w:jc w:val="right"/>
        <w:rPr>
          <w:rFonts w:hint="default" w:ascii="Times New Roman" w:hAnsi="Times New Roman" w:eastAsia="仿宋_GB2312" w:cs="Times New Roman"/>
          <w:b/>
          <w:bCs/>
          <w:sz w:val="32"/>
          <w:szCs w:val="32"/>
        </w:rPr>
      </w:pPr>
    </w:p>
    <w:p w14:paraId="0B7C17BF">
      <w:pPr>
        <w:spacing w:line="590" w:lineRule="exact"/>
        <w:jc w:val="right"/>
        <w:rPr>
          <w:rFonts w:hint="default" w:ascii="Times New Roman" w:hAnsi="Times New Roman" w:eastAsia="仿宋_GB2312" w:cs="Times New Roman"/>
          <w:b/>
          <w:bCs/>
          <w:sz w:val="32"/>
          <w:szCs w:val="32"/>
        </w:rPr>
      </w:pPr>
    </w:p>
    <w:p w14:paraId="01B6AC57">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广州市生态环境局关于广州天祺检测技术有限公司实验室建设项目环境影响报告</w:t>
      </w:r>
      <w:bookmarkStart w:id="1" w:name="OLE_LINK17"/>
      <w:r>
        <w:rPr>
          <w:rFonts w:hint="eastAsia" w:ascii="方正小标宋简体" w:hAnsi="方正小标宋简体" w:eastAsia="方正小标宋简体" w:cs="方正小标宋简体"/>
          <w:b w:val="0"/>
          <w:bCs w:val="0"/>
          <w:sz w:val="44"/>
          <w:szCs w:val="44"/>
          <w:lang w:val="en-US" w:eastAsia="zh-CN"/>
        </w:rPr>
        <w:t>表</w:t>
      </w:r>
      <w:bookmarkEnd w:id="1"/>
      <w:r>
        <w:rPr>
          <w:rFonts w:hint="eastAsia" w:ascii="方正小标宋简体" w:hAnsi="方正小标宋简体" w:eastAsia="方正小标宋简体" w:cs="方正小标宋简体"/>
          <w:b w:val="0"/>
          <w:bCs w:val="0"/>
          <w:sz w:val="44"/>
          <w:szCs w:val="44"/>
        </w:rPr>
        <w:t>的批复</w:t>
      </w:r>
    </w:p>
    <w:p w14:paraId="4D33860A">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6D182BDD">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t>广州天祺检测技术有限公司（91440101MA9XQKC655）</w:t>
      </w:r>
      <w:r>
        <w:rPr>
          <w:rFonts w:hint="default" w:ascii="Times New Roman" w:hAnsi="Times New Roman" w:eastAsia="仿宋_GB2312" w:cs="Times New Roman"/>
          <w:b w:val="0"/>
          <w:bCs w:val="0"/>
          <w:sz w:val="32"/>
          <w:szCs w:val="32"/>
        </w:rPr>
        <w:t>：</w:t>
      </w:r>
    </w:p>
    <w:p w14:paraId="44A21656">
      <w:pPr>
        <w:keepNext w:val="0"/>
        <w:keepLines w:val="0"/>
        <w:pageBreakBefore w:val="0"/>
        <w:widowControl w:val="0"/>
        <w:kinsoku/>
        <w:wordWrap/>
        <w:overflowPunct/>
        <w:topLinePunct w:val="0"/>
        <w:bidi w:val="0"/>
        <w:spacing w:line="600" w:lineRule="exac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你公司报批的《广州天祺检测技术有限公司实验室建设项目环境影响报告表》（以下简称《报告</w:t>
      </w:r>
      <w:r>
        <w:rPr>
          <w:rFonts w:hint="default" w:ascii="Times New Roman" w:hAnsi="Times New Roman" w:eastAsia="仿宋_GB2312" w:cs="Times New Roman"/>
          <w:b w:val="0"/>
          <w:bCs w:val="0"/>
          <w:sz w:val="32"/>
          <w:szCs w:val="32"/>
          <w:lang w:val="en-US" w:eastAsia="zh-CN"/>
        </w:rPr>
        <w:t>表</w:t>
      </w:r>
      <w:r>
        <w:rPr>
          <w:rFonts w:hint="default" w:ascii="Times New Roman" w:hAnsi="Times New Roman" w:eastAsia="仿宋_GB2312" w:cs="Times New Roman"/>
          <w:b w:val="0"/>
          <w:bCs w:val="0"/>
          <w:sz w:val="32"/>
          <w:szCs w:val="32"/>
        </w:rPr>
        <w:t>》）及相关资料收悉。经研究，批复如下：</w:t>
      </w:r>
    </w:p>
    <w:p w14:paraId="37BE7279">
      <w:pPr>
        <w:keepNext w:val="0"/>
        <w:keepLines w:val="0"/>
        <w:pageBreakBefore w:val="0"/>
        <w:widowControl w:val="0"/>
        <w:kinsoku/>
        <w:wordWrap/>
        <w:overflowPunct/>
        <w:topLinePunct w:val="0"/>
        <w:bidi w:val="0"/>
        <w:spacing w:line="600" w:lineRule="exact"/>
        <w:ind w:firstLine="972" w:firstLineChars="304"/>
        <w:textAlignment w:val="auto"/>
        <w:rPr>
          <w:rFonts w:hint="eastAsia" w:ascii="Times New Roman" w:hAnsi="Times New Roman" w:eastAsia="仿宋_GB2312" w:cs="Times New Roman"/>
          <w:b w:val="0"/>
          <w:bCs w:val="0"/>
          <w:color w:val="FF0000"/>
          <w:kern w:val="0"/>
          <w:sz w:val="32"/>
          <w:szCs w:val="32"/>
          <w:lang w:eastAsia="zh-CN"/>
        </w:rPr>
      </w:pPr>
      <w:r>
        <w:rPr>
          <w:rFonts w:hint="default" w:ascii="Times New Roman" w:hAnsi="Times New Roman" w:eastAsia="仿宋_GB2312" w:cs="Times New Roman"/>
          <w:b w:val="0"/>
          <w:bCs w:val="0"/>
          <w:sz w:val="32"/>
          <w:szCs w:val="32"/>
        </w:rPr>
        <w:t>一、广州天祺检测技术有限公司实验室建设项目位于广州市番禺区钟村街钟一村新六亩路3号（自编301）</w:t>
      </w:r>
      <w:r>
        <w:rPr>
          <w:rFonts w:hint="eastAsia" w:ascii="Times New Roman" w:hAnsi="Times New Roman" w:eastAsia="仿宋_GB2312" w:cs="Times New Roman"/>
          <w:b w:val="0"/>
          <w:bCs w:val="0"/>
          <w:sz w:val="32"/>
          <w:szCs w:val="32"/>
          <w:lang w:eastAsia="zh-CN"/>
        </w:rPr>
        <w:t>，申报内容为从事环境监测（土壤、地下水、地表水、废气）、公共卫生检测、职业卫生检测，年出具检测报告2000份。该项目占地面积</w:t>
      </w:r>
      <w:r>
        <w:rPr>
          <w:rFonts w:hint="eastAsia" w:eastAsia="仿宋_GB2312" w:cs="Times New Roman"/>
          <w:b w:val="0"/>
          <w:bCs w:val="0"/>
          <w:sz w:val="32"/>
          <w:szCs w:val="32"/>
          <w:lang w:val="en-US" w:eastAsia="zh-CN"/>
        </w:rPr>
        <w:t>300</w:t>
      </w:r>
      <w:r>
        <w:rPr>
          <w:rFonts w:hint="eastAsia" w:ascii="Times New Roman" w:hAnsi="Times New Roman" w:eastAsia="仿宋_GB2312" w:cs="Times New Roman"/>
          <w:b w:val="0"/>
          <w:bCs w:val="0"/>
          <w:sz w:val="32"/>
          <w:szCs w:val="32"/>
          <w:lang w:eastAsia="zh-CN"/>
        </w:rPr>
        <w:t>平方米，总建筑面积</w:t>
      </w:r>
      <w:r>
        <w:rPr>
          <w:rFonts w:hint="eastAsia" w:eastAsia="仿宋_GB2312" w:cs="Times New Roman"/>
          <w:b w:val="0"/>
          <w:bCs w:val="0"/>
          <w:sz w:val="32"/>
          <w:szCs w:val="32"/>
          <w:lang w:val="en-US" w:eastAsia="zh-CN"/>
        </w:rPr>
        <w:t>300</w:t>
      </w:r>
      <w:r>
        <w:rPr>
          <w:rFonts w:hint="eastAsia" w:ascii="Times New Roman" w:hAnsi="Times New Roman" w:eastAsia="仿宋_GB2312" w:cs="Times New Roman"/>
          <w:b w:val="0"/>
          <w:bCs w:val="0"/>
          <w:sz w:val="32"/>
          <w:szCs w:val="32"/>
          <w:lang w:eastAsia="zh-CN"/>
        </w:rPr>
        <w:t>平方米，租用一栋</w:t>
      </w:r>
      <w:r>
        <w:rPr>
          <w:rFonts w:hint="eastAsia" w:eastAsia="仿宋_GB2312" w:cs="Times New Roman"/>
          <w:b w:val="0"/>
          <w:bCs w:val="0"/>
          <w:sz w:val="32"/>
          <w:szCs w:val="32"/>
          <w:lang w:val="en-US" w:eastAsia="zh-CN"/>
        </w:rPr>
        <w:t>6</w:t>
      </w:r>
      <w:r>
        <w:rPr>
          <w:rFonts w:hint="eastAsia" w:ascii="Times New Roman" w:hAnsi="Times New Roman" w:eastAsia="仿宋_GB2312" w:cs="Times New Roman"/>
          <w:b w:val="0"/>
          <w:bCs w:val="0"/>
          <w:sz w:val="32"/>
          <w:szCs w:val="32"/>
          <w:lang w:eastAsia="zh-CN"/>
        </w:rPr>
        <w:t>层建筑物的第</w:t>
      </w:r>
      <w:r>
        <w:rPr>
          <w:rFonts w:hint="eastAsia" w:eastAsia="仿宋_GB2312" w:cs="Times New Roman"/>
          <w:b w:val="0"/>
          <w:bCs w:val="0"/>
          <w:sz w:val="32"/>
          <w:szCs w:val="32"/>
          <w:lang w:val="en-US" w:eastAsia="zh-CN"/>
        </w:rPr>
        <w:t>3</w:t>
      </w:r>
      <w:r>
        <w:rPr>
          <w:rFonts w:hint="eastAsia" w:ascii="Times New Roman" w:hAnsi="Times New Roman" w:eastAsia="仿宋_GB2312" w:cs="Times New Roman"/>
          <w:b w:val="0"/>
          <w:bCs w:val="0"/>
          <w:sz w:val="32"/>
          <w:szCs w:val="32"/>
          <w:lang w:eastAsia="zh-CN"/>
        </w:rPr>
        <w:t>层部分区域进行建设；主要设备有光度计</w:t>
      </w:r>
      <w:r>
        <w:rPr>
          <w:rFonts w:hint="eastAsia" w:eastAsia="仿宋_GB2312" w:cs="Times New Roman"/>
          <w:b w:val="0"/>
          <w:bCs w:val="0"/>
          <w:sz w:val="32"/>
          <w:szCs w:val="32"/>
          <w:lang w:val="en-US" w:eastAsia="zh-CN"/>
        </w:rPr>
        <w:t>19台、气相色谱-质谱联用仪14台、气相色谱8台、手提式压力蒸汽灭菌器10台、微生物采样器4</w:t>
      </w:r>
      <w:r>
        <w:rPr>
          <w:rFonts w:hint="eastAsia" w:ascii="Times New Roman" w:hAnsi="Times New Roman" w:eastAsia="仿宋_GB2312" w:cs="Times New Roman"/>
          <w:b w:val="0"/>
          <w:bCs w:val="0"/>
          <w:sz w:val="32"/>
          <w:szCs w:val="32"/>
          <w:lang w:val="en-US" w:eastAsia="zh-CN"/>
        </w:rPr>
        <w:t>台</w:t>
      </w:r>
      <w:r>
        <w:rPr>
          <w:rFonts w:hint="eastAsia" w:eastAsia="仿宋_GB2312" w:cs="Times New Roman"/>
          <w:b w:val="0"/>
          <w:bCs w:val="0"/>
          <w:sz w:val="32"/>
          <w:szCs w:val="32"/>
          <w:lang w:val="en-US" w:eastAsia="zh-CN"/>
        </w:rPr>
        <w:t>、大气采样器14台、粉尘采样器10台、培养箱18台、生物安全柜1台</w:t>
      </w:r>
      <w:r>
        <w:rPr>
          <w:rFonts w:hint="eastAsia" w:ascii="Times New Roman" w:hAnsi="Times New Roman" w:eastAsia="仿宋_GB2312" w:cs="Times New Roman"/>
          <w:b w:val="0"/>
          <w:bCs w:val="0"/>
          <w:sz w:val="32"/>
          <w:szCs w:val="32"/>
          <w:lang w:val="en-US" w:eastAsia="zh-CN"/>
        </w:rPr>
        <w:t>等</w:t>
      </w:r>
      <w:r>
        <w:rPr>
          <w:rFonts w:hint="eastAsia" w:ascii="Times New Roman" w:hAnsi="Times New Roman" w:eastAsia="仿宋_GB2312" w:cs="Times New Roman"/>
          <w:b w:val="0"/>
          <w:bCs w:val="0"/>
          <w:sz w:val="32"/>
          <w:szCs w:val="32"/>
          <w:lang w:eastAsia="zh-CN"/>
        </w:rPr>
        <w:t>；员工</w:t>
      </w:r>
      <w:r>
        <w:rPr>
          <w:rFonts w:hint="eastAsia" w:eastAsia="仿宋_GB2312" w:cs="Times New Roman"/>
          <w:b w:val="0"/>
          <w:bCs w:val="0"/>
          <w:sz w:val="32"/>
          <w:szCs w:val="32"/>
          <w:lang w:val="en-US" w:eastAsia="zh-CN"/>
        </w:rPr>
        <w:t>30</w:t>
      </w:r>
      <w:r>
        <w:rPr>
          <w:rFonts w:hint="eastAsia" w:ascii="Times New Roman" w:hAnsi="Times New Roman" w:eastAsia="仿宋_GB2312" w:cs="Times New Roman"/>
          <w:b w:val="0"/>
          <w:bCs w:val="0"/>
          <w:sz w:val="32"/>
          <w:szCs w:val="32"/>
          <w:lang w:eastAsia="zh-CN"/>
        </w:rPr>
        <w:t>名，内部不安排食宿</w:t>
      </w:r>
      <w:r>
        <w:rPr>
          <w:rFonts w:hint="default" w:ascii="Times New Roman" w:hAnsi="Times New Roman" w:eastAsia="仿宋_GB2312" w:cs="Times New Roman"/>
          <w:b w:val="0"/>
          <w:bCs w:val="0"/>
          <w:kern w:val="0"/>
          <w:sz w:val="32"/>
          <w:szCs w:val="32"/>
          <w:lang w:val="en-US" w:eastAsia="zh-CN"/>
        </w:rPr>
        <w:t>。</w:t>
      </w:r>
    </w:p>
    <w:p w14:paraId="5C2CA834">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5C769E33">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11A0B93C">
      <w:pPr>
        <w:keepNext w:val="0"/>
        <w:keepLines w:val="0"/>
        <w:pageBreakBefore w:val="0"/>
        <w:widowControl w:val="0"/>
        <w:kinsoku/>
        <w:wordWrap/>
        <w:overflowPunct/>
        <w:topLinePunct w:val="0"/>
        <w:bidi w:val="0"/>
        <w:spacing w:line="600" w:lineRule="exact"/>
        <w:ind w:firstLine="640" w:firstLineChars="200"/>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b w:val="0"/>
          <w:bCs w:val="0"/>
          <w:sz w:val="32"/>
          <w:szCs w:val="32"/>
        </w:rPr>
        <w:t>）实验室</w:t>
      </w:r>
      <w:r>
        <w:rPr>
          <w:rFonts w:hint="eastAsia" w:eastAsia="仿宋_GB2312" w:cs="Times New Roman"/>
          <w:b w:val="0"/>
          <w:bCs w:val="0"/>
          <w:sz w:val="32"/>
          <w:szCs w:val="32"/>
          <w:lang w:val="en-US" w:eastAsia="zh-CN"/>
        </w:rPr>
        <w:t>有机</w:t>
      </w:r>
      <w:r>
        <w:rPr>
          <w:rFonts w:hint="default" w:ascii="Times New Roman" w:hAnsi="Times New Roman" w:eastAsia="仿宋_GB2312" w:cs="Times New Roman"/>
          <w:b w:val="0"/>
          <w:bCs w:val="0"/>
          <w:sz w:val="32"/>
          <w:szCs w:val="32"/>
        </w:rPr>
        <w:t>废气采用通风橱</w:t>
      </w:r>
      <w:r>
        <w:rPr>
          <w:rFonts w:hint="eastAsia" w:eastAsia="仿宋_GB2312" w:cs="Times New Roman"/>
          <w:b w:val="0"/>
          <w:bCs w:val="0"/>
          <w:sz w:val="32"/>
          <w:szCs w:val="32"/>
          <w:lang w:val="en-US" w:eastAsia="zh-CN"/>
        </w:rPr>
        <w:t>及万向</w:t>
      </w:r>
      <w:r>
        <w:rPr>
          <w:rFonts w:hint="default" w:ascii="Times New Roman" w:hAnsi="Times New Roman" w:eastAsia="仿宋_GB2312" w:cs="Times New Roman"/>
          <w:b w:val="0"/>
          <w:bCs w:val="0"/>
          <w:sz w:val="32"/>
          <w:szCs w:val="32"/>
        </w:rPr>
        <w:t>罩收集，</w:t>
      </w:r>
      <w:r>
        <w:rPr>
          <w:rFonts w:hint="eastAsia" w:eastAsia="仿宋_GB2312" w:cs="Times New Roman"/>
          <w:b w:val="0"/>
          <w:bCs w:val="0"/>
          <w:sz w:val="32"/>
          <w:szCs w:val="32"/>
          <w:lang w:val="en-US" w:eastAsia="zh-CN"/>
        </w:rPr>
        <w:t>经</w:t>
      </w:r>
      <w:r>
        <w:rPr>
          <w:rFonts w:hint="default" w:ascii="Times New Roman" w:hAnsi="Times New Roman" w:eastAsia="仿宋_GB2312" w:cs="Times New Roman"/>
          <w:b w:val="0"/>
          <w:bCs w:val="0"/>
          <w:sz w:val="32"/>
          <w:szCs w:val="32"/>
        </w:rPr>
        <w:t>“二级活性炭吸附装置”处理后</w:t>
      </w:r>
      <w:r>
        <w:rPr>
          <w:rFonts w:hint="eastAsia" w:eastAsia="仿宋_GB2312" w:cs="Times New Roman"/>
          <w:b w:val="0"/>
          <w:bCs w:val="0"/>
          <w:sz w:val="32"/>
          <w:szCs w:val="32"/>
          <w:lang w:val="en-US" w:eastAsia="zh-CN"/>
        </w:rPr>
        <w:t>引至</w:t>
      </w:r>
      <w:r>
        <w:rPr>
          <w:rFonts w:hint="eastAsia" w:eastAsia="仿宋_GB2312" w:cs="Times New Roman"/>
          <w:b w:val="0"/>
          <w:bCs w:val="0"/>
          <w:color w:val="auto"/>
          <w:sz w:val="32"/>
          <w:szCs w:val="32"/>
          <w:lang w:val="en-US" w:eastAsia="zh-CN"/>
        </w:rPr>
        <w:t>楼顶</w:t>
      </w:r>
      <w:r>
        <w:rPr>
          <w:rFonts w:hint="default" w:ascii="Times New Roman" w:hAnsi="Times New Roman" w:eastAsia="仿宋_GB2312" w:cs="Times New Roman"/>
          <w:b w:val="0"/>
          <w:bCs w:val="0"/>
          <w:sz w:val="32"/>
          <w:szCs w:val="32"/>
        </w:rPr>
        <w:t>排气筒排放</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color w:val="auto"/>
          <w:sz w:val="32"/>
          <w:szCs w:val="32"/>
          <w:lang w:val="en-US" w:eastAsia="zh-CN"/>
        </w:rPr>
        <w:t>实验过程</w:t>
      </w:r>
      <w:r>
        <w:rPr>
          <w:rFonts w:hint="default" w:ascii="Times New Roman" w:hAnsi="Times New Roman" w:eastAsia="仿宋_GB2312" w:cs="Times New Roman"/>
          <w:b w:val="0"/>
          <w:bCs w:val="0"/>
          <w:color w:val="auto"/>
          <w:sz w:val="32"/>
          <w:szCs w:val="32"/>
          <w:lang w:eastAsia="zh-CN"/>
        </w:rPr>
        <w:t>无机废气</w:t>
      </w:r>
      <w:r>
        <w:rPr>
          <w:rFonts w:hint="eastAsia" w:eastAsia="仿宋_GB2312" w:cs="Times New Roman"/>
          <w:b w:val="0"/>
          <w:bCs w:val="0"/>
          <w:color w:val="auto"/>
          <w:sz w:val="32"/>
          <w:szCs w:val="32"/>
          <w:lang w:val="en-US" w:eastAsia="zh-CN"/>
        </w:rPr>
        <w:t>采用</w:t>
      </w:r>
      <w:r>
        <w:rPr>
          <w:rFonts w:hint="default" w:ascii="Times New Roman" w:hAnsi="Times New Roman" w:eastAsia="仿宋_GB2312" w:cs="Times New Roman"/>
          <w:b w:val="0"/>
          <w:bCs w:val="0"/>
          <w:sz w:val="32"/>
          <w:szCs w:val="32"/>
        </w:rPr>
        <w:t>通风橱</w:t>
      </w:r>
      <w:r>
        <w:rPr>
          <w:rFonts w:hint="eastAsia" w:eastAsia="仿宋_GB2312" w:cs="Times New Roman"/>
          <w:b w:val="0"/>
          <w:bCs w:val="0"/>
          <w:sz w:val="32"/>
          <w:szCs w:val="32"/>
          <w:lang w:val="en-US" w:eastAsia="zh-CN"/>
        </w:rPr>
        <w:t>及万向</w:t>
      </w:r>
      <w:r>
        <w:rPr>
          <w:rFonts w:hint="default" w:ascii="Times New Roman" w:hAnsi="Times New Roman" w:eastAsia="仿宋_GB2312" w:cs="Times New Roman"/>
          <w:b w:val="0"/>
          <w:bCs w:val="0"/>
          <w:sz w:val="32"/>
          <w:szCs w:val="32"/>
        </w:rPr>
        <w:t>罩</w:t>
      </w:r>
      <w:r>
        <w:rPr>
          <w:rFonts w:hint="eastAsia" w:eastAsia="仿宋_GB2312" w:cs="Times New Roman"/>
          <w:b w:val="0"/>
          <w:bCs w:val="0"/>
          <w:color w:val="auto"/>
          <w:sz w:val="32"/>
          <w:szCs w:val="32"/>
          <w:lang w:val="en-US" w:eastAsia="zh-CN"/>
        </w:rPr>
        <w:t>收集，经“碱液喷淋塔”处理后引至楼顶排气筒排放</w:t>
      </w:r>
      <w:r>
        <w:rPr>
          <w:rFonts w:hint="eastAsia" w:eastAsia="仿宋_GB2312" w:cs="Times New Roman"/>
          <w:b w:val="0"/>
          <w:bCs w:val="0"/>
          <w:color w:val="auto"/>
          <w:sz w:val="32"/>
          <w:szCs w:val="32"/>
          <w:lang w:eastAsia="zh-CN"/>
        </w:rPr>
        <w:t>；</w:t>
      </w:r>
      <w:r>
        <w:rPr>
          <w:rFonts w:hint="eastAsia" w:ascii="Times New Roman" w:hAnsi="Times New Roman" w:eastAsia="仿宋_GB2312" w:cs="Times New Roman"/>
          <w:b w:val="0"/>
          <w:bCs w:val="0"/>
          <w:sz w:val="32"/>
          <w:szCs w:val="32"/>
        </w:rPr>
        <w:t>微生物</w:t>
      </w:r>
      <w:r>
        <w:rPr>
          <w:rFonts w:hint="eastAsia" w:eastAsia="仿宋_GB2312" w:cs="Times New Roman"/>
          <w:b w:val="0"/>
          <w:bCs w:val="0"/>
          <w:sz w:val="32"/>
          <w:szCs w:val="32"/>
          <w:lang w:val="en-US" w:eastAsia="zh-CN"/>
        </w:rPr>
        <w:t>实验产生</w:t>
      </w:r>
      <w:r>
        <w:rPr>
          <w:rFonts w:hint="eastAsia" w:ascii="Times New Roman" w:hAnsi="Times New Roman" w:eastAsia="仿宋_GB2312" w:cs="Times New Roman"/>
          <w:b w:val="0"/>
          <w:bCs w:val="0"/>
          <w:sz w:val="32"/>
          <w:szCs w:val="32"/>
        </w:rPr>
        <w:t>气溶胶</w:t>
      </w:r>
      <w:r>
        <w:rPr>
          <w:rFonts w:hint="eastAsia" w:eastAsia="仿宋_GB2312" w:cs="Times New Roman"/>
          <w:b w:val="0"/>
          <w:bCs w:val="0"/>
          <w:sz w:val="32"/>
          <w:szCs w:val="32"/>
          <w:lang w:val="en-US" w:eastAsia="zh-CN"/>
        </w:rPr>
        <w:t>经生物安全柜配套的空气过滤器处理后无组织排放</w:t>
      </w:r>
      <w:r>
        <w:rPr>
          <w:rFonts w:hint="eastAsia" w:eastAsia="仿宋_GB2312" w:cs="Times New Roman"/>
          <w:b w:val="0"/>
          <w:bCs w:val="0"/>
          <w:color w:val="auto"/>
          <w:sz w:val="32"/>
          <w:szCs w:val="32"/>
          <w:lang w:val="en-US" w:eastAsia="zh-CN"/>
        </w:rPr>
        <w:t>。项目设置废气排放口2个，</w:t>
      </w:r>
      <w:r>
        <w:rPr>
          <w:rFonts w:hint="eastAsia" w:ascii="Times New Roman" w:hAnsi="Times New Roman" w:eastAsia="仿宋_GB2312" w:cs="Times New Roman"/>
          <w:b w:val="0"/>
          <w:bCs w:val="0"/>
          <w:color w:val="auto"/>
          <w:sz w:val="32"/>
          <w:szCs w:val="32"/>
          <w:lang w:eastAsia="zh-CN"/>
        </w:rPr>
        <w:t>加强项目边界无组织排放废气的监控，确保项目边界无组织排放监控点的废气达到相应标准限值的要求，监测超标时应加强对无组织排放废气进行收集、净化处理。</w:t>
      </w:r>
    </w:p>
    <w:p w14:paraId="0A3F84AC">
      <w:pPr>
        <w:keepNext w:val="0"/>
        <w:keepLines w:val="0"/>
        <w:pageBreakBefore w:val="0"/>
        <w:widowControl w:val="0"/>
        <w:kinsoku/>
        <w:wordWrap/>
        <w:overflowPunct/>
        <w:topLinePunct w:val="0"/>
        <w:bidi w:val="0"/>
        <w:spacing w:line="600" w:lineRule="exact"/>
        <w:ind w:firstLine="640" w:firstLineChars="200"/>
        <w:textAlignment w:val="auto"/>
        <w:rPr>
          <w:rFonts w:hint="eastAsia" w:eastAsia="仿宋_GB2312" w:cs="Times New Roman"/>
          <w:b w:val="0"/>
          <w:bCs w:val="0"/>
          <w:sz w:val="32"/>
          <w:szCs w:val="32"/>
          <w:lang w:val="en-US" w:eastAsia="zh-CN"/>
        </w:rPr>
      </w:pPr>
      <w:r>
        <w:rPr>
          <w:rFonts w:hint="eastAsia" w:eastAsia="仿宋_GB2312" w:cs="Times New Roman"/>
          <w:b w:val="0"/>
          <w:bCs w:val="0"/>
          <w:sz w:val="32"/>
          <w:szCs w:val="32"/>
          <w:lang w:val="en-US" w:eastAsia="zh-CN"/>
        </w:rPr>
        <w:t>二氯甲烷、三氯甲烷、四氯乙烯、丙酮排放参照执行《石油化学工业污染物排放标准》（GB31571-2015，含2024年修改单）表6废气中有机特征污染物及排放限值要求，氨、臭气浓度排放执行《恶臭污染物排放标准》（GB14554-93）表1新扩改建二级厂界标准和表2排放标准值；其他大气污染物排放执行广东省《大气污染物排放限值》（DB44/27-2001）第二时段二级标准和无组织排放监控浓度限值。</w:t>
      </w:r>
    </w:p>
    <w:p w14:paraId="322EFAD0">
      <w:pPr>
        <w:keepNext w:val="0"/>
        <w:keepLines w:val="0"/>
        <w:pageBreakBefore w:val="0"/>
        <w:widowControl w:val="0"/>
        <w:kinsoku/>
        <w:wordWrap/>
        <w:overflowPunct/>
        <w:topLinePunct w:val="0"/>
        <w:bidi w:val="0"/>
        <w:spacing w:line="600" w:lineRule="exact"/>
        <w:ind w:firstLine="640" w:firstLineChars="200"/>
        <w:textAlignment w:val="auto"/>
        <w:rPr>
          <w:rFonts w:hint="eastAsia" w:ascii="华文楷体" w:hAnsi="华文楷体" w:eastAsia="仿宋_GB2312" w:cs="华文楷体"/>
          <w:b w:val="0"/>
          <w:bCs w:val="0"/>
          <w:sz w:val="30"/>
          <w:szCs w:val="30"/>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二</w:t>
      </w:r>
      <w:r>
        <w:rPr>
          <w:rFonts w:hint="default" w:ascii="Times New Roman" w:hAnsi="Times New Roman" w:eastAsia="仿宋_GB2312" w:cs="Times New Roman"/>
          <w:b w:val="0"/>
          <w:bCs w:val="0"/>
          <w:sz w:val="32"/>
          <w:szCs w:val="32"/>
        </w:rPr>
        <w:t>）排</w:t>
      </w:r>
      <w:r>
        <w:rPr>
          <w:rFonts w:hint="default" w:ascii="Times New Roman" w:hAnsi="Times New Roman" w:eastAsia="仿宋_GB2312" w:cs="Times New Roman"/>
          <w:b w:val="0"/>
          <w:bCs w:val="0"/>
          <w:sz w:val="32"/>
          <w:szCs w:val="32"/>
          <w:lang w:eastAsia="zh-CN"/>
        </w:rPr>
        <w:t>水系统采用雨污分流。生活污水经三级化粪池预处理</w:t>
      </w:r>
      <w:r>
        <w:rPr>
          <w:rFonts w:hint="eastAsia" w:ascii="Times New Roman" w:hAnsi="Times New Roman" w:eastAsia="仿宋_GB2312" w:cs="Times New Roman"/>
          <w:b w:val="0"/>
          <w:bCs w:val="0"/>
          <w:sz w:val="32"/>
          <w:szCs w:val="32"/>
          <w:lang w:eastAsia="zh-CN"/>
        </w:rPr>
        <w:t>达标后，</w:t>
      </w:r>
      <w:r>
        <w:rPr>
          <w:rFonts w:hint="eastAsia" w:eastAsia="仿宋_GB2312" w:cs="Times New Roman"/>
          <w:b w:val="0"/>
          <w:bCs w:val="0"/>
          <w:sz w:val="32"/>
          <w:szCs w:val="32"/>
          <w:lang w:val="en-US" w:eastAsia="zh-CN"/>
        </w:rPr>
        <w:t>实验室综合废水经“中和+混凝沉淀”预处理达标后，排</w:t>
      </w:r>
      <w:bookmarkStart w:id="8" w:name="_GoBack"/>
      <w:bookmarkEnd w:id="8"/>
      <w:r>
        <w:rPr>
          <w:rFonts w:hint="eastAsia" w:ascii="Times New Roman" w:hAnsi="Times New Roman" w:eastAsia="仿宋_GB2312" w:cs="Times New Roman"/>
          <w:b w:val="0"/>
          <w:bCs w:val="0"/>
          <w:sz w:val="32"/>
          <w:szCs w:val="32"/>
          <w:lang w:eastAsia="zh-CN"/>
        </w:rPr>
        <w:t>入市政污水管道送</w:t>
      </w:r>
      <w:r>
        <w:rPr>
          <w:rFonts w:hint="eastAsia" w:eastAsia="仿宋_GB2312" w:cs="Times New Roman"/>
          <w:b w:val="0"/>
          <w:bCs w:val="0"/>
          <w:sz w:val="32"/>
          <w:szCs w:val="32"/>
          <w:lang w:val="en-US" w:eastAsia="zh-CN"/>
        </w:rPr>
        <w:t>钟村</w:t>
      </w:r>
      <w:r>
        <w:rPr>
          <w:rFonts w:hint="eastAsia" w:ascii="Times New Roman" w:hAnsi="Times New Roman" w:eastAsia="仿宋_GB2312" w:cs="Times New Roman"/>
          <w:b w:val="0"/>
          <w:bCs w:val="0"/>
          <w:sz w:val="32"/>
          <w:szCs w:val="32"/>
          <w:lang w:eastAsia="zh-CN"/>
        </w:rPr>
        <w:t>净水厂进一步处理</w:t>
      </w:r>
      <w:r>
        <w:rPr>
          <w:rFonts w:hint="default" w:ascii="Times New Roman" w:hAnsi="Times New Roman" w:eastAsia="仿宋_GB2312" w:cs="Times New Roman"/>
          <w:b w:val="0"/>
          <w:bCs w:val="0"/>
          <w:sz w:val="32"/>
          <w:szCs w:val="32"/>
          <w:lang w:eastAsia="zh-CN"/>
        </w:rPr>
        <w:t>。</w:t>
      </w:r>
      <w:r>
        <w:rPr>
          <w:rFonts w:hint="eastAsia" w:eastAsia="仿宋_GB2312" w:cs="Times New Roman"/>
          <w:b w:val="0"/>
          <w:bCs w:val="0"/>
          <w:sz w:val="32"/>
          <w:szCs w:val="32"/>
          <w:lang w:val="en-US" w:eastAsia="zh-CN"/>
        </w:rPr>
        <w:t>项目</w:t>
      </w:r>
      <w:r>
        <w:rPr>
          <w:rFonts w:hint="default" w:ascii="Times New Roman" w:hAnsi="Times New Roman" w:eastAsia="仿宋_GB2312" w:cs="Times New Roman"/>
          <w:b w:val="0"/>
          <w:bCs w:val="0"/>
          <w:sz w:val="32"/>
          <w:szCs w:val="32"/>
          <w:lang w:eastAsia="zh-CN"/>
        </w:rPr>
        <w:t>设置废水排放口</w:t>
      </w:r>
      <w:r>
        <w:rPr>
          <w:rFonts w:hint="eastAsia"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eastAsia="zh-CN"/>
        </w:rPr>
        <w:t>个。水污染物排放执行广东省《水污染物排放限值》（DB44/26-2001）第二时段三级标准。</w:t>
      </w:r>
      <w:r>
        <w:rPr>
          <w:rFonts w:hint="eastAsia" w:eastAsia="仿宋_GB2312" w:cs="Times New Roman"/>
          <w:b w:val="0"/>
          <w:bCs w:val="0"/>
          <w:sz w:val="32"/>
          <w:szCs w:val="32"/>
          <w:lang w:val="en-US" w:eastAsia="zh-CN"/>
        </w:rPr>
        <w:t>实验室</w:t>
      </w:r>
      <w:r>
        <w:rPr>
          <w:rFonts w:hint="default" w:ascii="Times New Roman" w:hAnsi="Times New Roman" w:eastAsia="仿宋_GB2312" w:cs="Times New Roman"/>
          <w:b w:val="0"/>
          <w:bCs w:val="0"/>
          <w:sz w:val="32"/>
          <w:szCs w:val="32"/>
          <w:lang w:eastAsia="zh-CN"/>
        </w:rPr>
        <w:t>综合废水</w:t>
      </w:r>
      <w:r>
        <w:rPr>
          <w:rFonts w:hint="eastAsia" w:eastAsia="仿宋_GB2312" w:cs="Times New Roman"/>
          <w:b w:val="0"/>
          <w:bCs w:val="0"/>
          <w:sz w:val="32"/>
          <w:szCs w:val="32"/>
          <w:lang w:val="en-US" w:eastAsia="zh-CN"/>
        </w:rPr>
        <w:t>排放量不超过55.388吨/年，</w:t>
      </w:r>
      <w:r>
        <w:rPr>
          <w:rFonts w:hint="default" w:ascii="Times New Roman" w:hAnsi="Times New Roman" w:eastAsia="仿宋_GB2312" w:cs="Times New Roman"/>
          <w:b w:val="0"/>
          <w:bCs w:val="0"/>
          <w:sz w:val="32"/>
          <w:szCs w:val="32"/>
        </w:rPr>
        <w:t>生活污水</w:t>
      </w:r>
      <w:r>
        <w:rPr>
          <w:rFonts w:hint="eastAsia" w:eastAsia="仿宋_GB2312" w:cs="Times New Roman"/>
          <w:b w:val="0"/>
          <w:bCs w:val="0"/>
          <w:sz w:val="32"/>
          <w:szCs w:val="32"/>
          <w:lang w:val="en-US" w:eastAsia="zh-CN"/>
        </w:rPr>
        <w:t>排放量</w:t>
      </w:r>
      <w:r>
        <w:rPr>
          <w:rFonts w:hint="default" w:ascii="Times New Roman" w:hAnsi="Times New Roman" w:eastAsia="仿宋_GB2312" w:cs="Times New Roman"/>
          <w:b w:val="0"/>
          <w:bCs w:val="0"/>
          <w:sz w:val="32"/>
          <w:szCs w:val="32"/>
        </w:rPr>
        <w:t>不超</w:t>
      </w:r>
      <w:r>
        <w:rPr>
          <w:rFonts w:hint="default" w:ascii="Times New Roman" w:hAnsi="Times New Roman" w:eastAsia="仿宋_GB2312" w:cs="Times New Roman"/>
          <w:b w:val="0"/>
          <w:bCs w:val="0"/>
          <w:sz w:val="32"/>
          <w:szCs w:val="32"/>
          <w:lang w:eastAsia="zh-CN"/>
        </w:rPr>
        <w:t>过</w:t>
      </w:r>
      <w:r>
        <w:rPr>
          <w:rFonts w:hint="eastAsia" w:eastAsia="仿宋_GB2312" w:cs="Times New Roman"/>
          <w:b w:val="0"/>
          <w:bCs w:val="0"/>
          <w:sz w:val="32"/>
          <w:szCs w:val="32"/>
          <w:lang w:val="en-US" w:eastAsia="zh-CN"/>
        </w:rPr>
        <w:t>270</w:t>
      </w:r>
      <w:r>
        <w:rPr>
          <w:rFonts w:hint="default" w:ascii="Times New Roman" w:hAnsi="Times New Roman" w:eastAsia="仿宋_GB2312" w:cs="Times New Roman"/>
          <w:b w:val="0"/>
          <w:bCs w:val="0"/>
          <w:sz w:val="32"/>
          <w:szCs w:val="32"/>
          <w:lang w:eastAsia="zh-CN"/>
        </w:rPr>
        <w:t>吨/</w:t>
      </w:r>
      <w:r>
        <w:rPr>
          <w:rFonts w:hint="default" w:ascii="Times New Roman" w:hAnsi="Times New Roman" w:eastAsia="仿宋_GB2312" w:cs="Times New Roman"/>
          <w:b w:val="0"/>
          <w:bCs w:val="0"/>
          <w:sz w:val="32"/>
          <w:szCs w:val="32"/>
        </w:rPr>
        <w:t>年</w:t>
      </w:r>
      <w:bookmarkStart w:id="2" w:name="OLE_LINK20"/>
      <w:r>
        <w:rPr>
          <w:rFonts w:hint="eastAsia" w:eastAsia="仿宋_GB2312" w:cs="Times New Roman"/>
          <w:b w:val="0"/>
          <w:bCs w:val="0"/>
          <w:sz w:val="32"/>
          <w:szCs w:val="32"/>
          <w:lang w:eastAsia="zh-CN"/>
        </w:rPr>
        <w:t>。</w:t>
      </w:r>
    </w:p>
    <w:bookmarkEnd w:id="2"/>
    <w:p w14:paraId="2B803086">
      <w:pPr>
        <w:keepNext w:val="0"/>
        <w:keepLines w:val="0"/>
        <w:pageBreakBefore w:val="0"/>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（三）</w:t>
      </w:r>
      <w:r>
        <w:rPr>
          <w:rFonts w:hint="default" w:ascii="Times New Roman" w:hAnsi="Times New Roman" w:eastAsia="仿宋_GB2312" w:cs="Times New Roman"/>
          <w:b w:val="0"/>
          <w:bCs w:val="0"/>
          <w:sz w:val="32"/>
          <w:szCs w:val="32"/>
          <w:lang w:eastAsia="zh-CN"/>
        </w:rPr>
        <w:t>项目噪声排放执行《工业企业厂界环境噪声排放标准》（GB12348-2008）</w:t>
      </w:r>
      <w:r>
        <w:rPr>
          <w:rFonts w:hint="eastAsia" w:eastAsia="仿宋_GB2312" w:cs="Times New Roman"/>
          <w:b w:val="0"/>
          <w:bCs w:val="0"/>
          <w:sz w:val="32"/>
          <w:szCs w:val="32"/>
          <w:lang w:val="en-US" w:eastAsia="zh-CN"/>
        </w:rPr>
        <w:t>2</w:t>
      </w:r>
      <w:r>
        <w:rPr>
          <w:rFonts w:hint="eastAsia" w:ascii="Times New Roman" w:hAnsi="Times New Roman" w:eastAsia="仿宋_GB2312" w:cs="Times New Roman"/>
          <w:b w:val="0"/>
          <w:bCs w:val="0"/>
          <w:sz w:val="32"/>
          <w:szCs w:val="32"/>
          <w:lang w:eastAsia="zh-CN"/>
        </w:rPr>
        <w:t>类</w:t>
      </w:r>
      <w:r>
        <w:rPr>
          <w:rFonts w:hint="eastAsia" w:ascii="Times New Roman" w:hAnsi="Times New Roman" w:eastAsia="仿宋_GB2312" w:cs="Times New Roman"/>
          <w:b w:val="0"/>
          <w:bCs w:val="0"/>
          <w:sz w:val="32"/>
          <w:szCs w:val="32"/>
          <w:lang w:val="en-US" w:eastAsia="zh-CN"/>
        </w:rPr>
        <w:t>标准</w:t>
      </w:r>
      <w:r>
        <w:rPr>
          <w:rFonts w:hint="default" w:ascii="Times New Roman" w:hAnsi="Times New Roman" w:eastAsia="仿宋_GB2312" w:cs="Times New Roman"/>
          <w:b w:val="0"/>
          <w:bCs w:val="0"/>
          <w:sz w:val="32"/>
          <w:szCs w:val="32"/>
          <w:lang w:eastAsia="zh-CN"/>
        </w:rPr>
        <w:t>。</w:t>
      </w:r>
    </w:p>
    <w:p w14:paraId="1AC2DBC6">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FF0000"/>
          <w:sz w:val="32"/>
          <w:szCs w:val="32"/>
        </w:rPr>
      </w:pPr>
      <w:r>
        <w:rPr>
          <w:rFonts w:hint="default" w:ascii="Times New Roman" w:hAnsi="Times New Roman" w:eastAsia="仿宋_GB2312" w:cs="Times New Roman"/>
          <w:b w:val="0"/>
          <w:bCs w:val="0"/>
          <w:sz w:val="32"/>
          <w:szCs w:val="32"/>
        </w:rPr>
        <w:t>（四）</w:t>
      </w:r>
      <w:bookmarkStart w:id="3" w:name="OLE_LINK16"/>
      <w:r>
        <w:rPr>
          <w:rFonts w:hint="default" w:ascii="Times New Roman" w:hAnsi="Times New Roman" w:eastAsia="仿宋_GB2312" w:cs="Times New Roman"/>
          <w:b w:val="0"/>
          <w:bCs w:val="0"/>
          <w:sz w:val="32"/>
          <w:szCs w:val="32"/>
        </w:rPr>
        <w:t>各类固体废物实行分类收集、处置</w:t>
      </w:r>
      <w:bookmarkEnd w:id="3"/>
      <w:r>
        <w:rPr>
          <w:rFonts w:hint="default" w:ascii="Times New Roman" w:hAnsi="Times New Roman" w:eastAsia="仿宋_GB2312" w:cs="Times New Roman"/>
          <w:b w:val="0"/>
          <w:bCs w:val="0"/>
          <w:sz w:val="32"/>
          <w:szCs w:val="32"/>
        </w:rPr>
        <w:t>。</w:t>
      </w:r>
      <w:bookmarkStart w:id="4" w:name="OLE_LINK12"/>
      <w:r>
        <w:rPr>
          <w:rFonts w:hint="default" w:ascii="Times New Roman" w:hAnsi="Times New Roman" w:eastAsia="仿宋_GB2312" w:cs="Times New Roman"/>
          <w:b w:val="0"/>
          <w:bCs w:val="0"/>
          <w:sz w:val="32"/>
          <w:szCs w:val="32"/>
        </w:rPr>
        <w:t>固体废物</w:t>
      </w:r>
      <w:r>
        <w:rPr>
          <w:rFonts w:hint="eastAsia" w:eastAsia="仿宋_GB2312" w:cs="Times New Roman"/>
          <w:b w:val="0"/>
          <w:bCs w:val="0"/>
          <w:sz w:val="32"/>
          <w:szCs w:val="32"/>
          <w:lang w:eastAsia="zh-CN"/>
        </w:rPr>
        <w:t>的贮存、堆放应</w:t>
      </w:r>
      <w:r>
        <w:rPr>
          <w:rFonts w:hint="default" w:ascii="Times New Roman" w:hAnsi="Times New Roman" w:eastAsia="仿宋_GB2312" w:cs="Times New Roman"/>
          <w:b w:val="0"/>
          <w:bCs w:val="0"/>
          <w:sz w:val="32"/>
          <w:szCs w:val="32"/>
          <w:lang w:eastAsia="zh-CN"/>
        </w:rPr>
        <w:t>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《一般工业固体废物贮存和填埋污染控制标准》(GB 18599-2020)</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w:t>
      </w:r>
      <w:r>
        <w:rPr>
          <w:rFonts w:hint="eastAsia" w:ascii="Times New Roman" w:hAnsi="Times New Roman" w:eastAsia="仿宋_GB2312" w:cs="Times New Roman"/>
          <w:b w:val="0"/>
          <w:bCs w:val="0"/>
          <w:sz w:val="32"/>
          <w:szCs w:val="32"/>
          <w:lang w:eastAsia="zh-CN"/>
        </w:rPr>
        <w:t>危险</w:t>
      </w:r>
      <w:r>
        <w:rPr>
          <w:rFonts w:hint="eastAsia" w:eastAsia="仿宋_GB2312" w:cs="Times New Roman"/>
          <w:b w:val="0"/>
          <w:bCs w:val="0"/>
          <w:color w:val="auto"/>
          <w:sz w:val="32"/>
          <w:szCs w:val="32"/>
          <w:lang w:eastAsia="zh-CN"/>
        </w:rPr>
        <w:t>废物应委托有资质的单位处置；</w:t>
      </w:r>
      <w:r>
        <w:rPr>
          <w:rFonts w:hint="eastAsia" w:eastAsia="仿宋_GB2312" w:cs="Times New Roman"/>
          <w:b w:val="0"/>
          <w:bCs w:val="0"/>
          <w:color w:val="auto"/>
          <w:sz w:val="32"/>
          <w:szCs w:val="32"/>
          <w:lang w:val="en-US" w:eastAsia="zh-CN"/>
        </w:rPr>
        <w:t>实验室废液作为危险废物处理，不得混入其他废水中排放</w:t>
      </w:r>
      <w:r>
        <w:rPr>
          <w:rFonts w:hint="eastAsia" w:eastAsia="仿宋_GB2312" w:cs="Times New Roman"/>
          <w:b w:val="0"/>
          <w:bCs w:val="0"/>
          <w:color w:val="auto"/>
          <w:sz w:val="32"/>
          <w:szCs w:val="32"/>
          <w:lang w:eastAsia="zh-CN"/>
        </w:rPr>
        <w:t>。</w:t>
      </w:r>
    </w:p>
    <w:bookmarkEnd w:id="4"/>
    <w:p w14:paraId="1951DBBF">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eastAsia"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63449336">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5" w:name="OLE_LINK15"/>
      <w:r>
        <w:rPr>
          <w:rFonts w:hint="eastAsia"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5"/>
      <w:r>
        <w:rPr>
          <w:rFonts w:hint="default" w:ascii="Times New Roman" w:hAnsi="Times New Roman" w:eastAsia="仿宋_GB2312" w:cs="Times New Roman"/>
          <w:b w:val="0"/>
          <w:bCs w:val="0"/>
          <w:color w:val="auto"/>
          <w:kern w:val="0"/>
          <w:sz w:val="32"/>
          <w:szCs w:val="32"/>
        </w:rPr>
        <w:t>。</w:t>
      </w:r>
    </w:p>
    <w:p w14:paraId="4F92F2E2">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sz w:val="32"/>
          <w:szCs w:val="32"/>
        </w:rPr>
        <w:t>（七）</w:t>
      </w:r>
      <w:bookmarkStart w:id="6" w:name="OLE_LINK21"/>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6"/>
    </w:p>
    <w:p w14:paraId="4C091AE7">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253C6B24">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52204B2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0B381D55">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3C8A1BB5">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6588B29F">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11</w:t>
      </w:r>
      <w:r>
        <w:rPr>
          <w:rFonts w:hint="default" w:ascii="Times New Roman" w:hAnsi="Times New Roman" w:eastAsia="仿宋_GB2312" w:cs="Times New Roman"/>
          <w:b w:val="0"/>
          <w:bCs w:val="0"/>
          <w:sz w:val="32"/>
          <w:szCs w:val="32"/>
        </w:rPr>
        <w:t>月</w:t>
      </w:r>
      <w:r>
        <w:rPr>
          <w:rFonts w:hint="eastAsia" w:eastAsia="仿宋_GB2312" w:cs="Times New Roman"/>
          <w:b w:val="0"/>
          <w:bCs w:val="0"/>
          <w:sz w:val="32"/>
          <w:szCs w:val="32"/>
          <w:lang w:val="en-US" w:eastAsia="zh-CN"/>
        </w:rPr>
        <w:t>19</w:t>
      </w:r>
      <w:r>
        <w:rPr>
          <w:rFonts w:hint="default" w:ascii="Times New Roman" w:hAnsi="Times New Roman" w:eastAsia="仿宋_GB2312" w:cs="Times New Roman"/>
          <w:b w:val="0"/>
          <w:bCs w:val="0"/>
          <w:sz w:val="32"/>
          <w:szCs w:val="32"/>
        </w:rPr>
        <w:t>日</w:t>
      </w:r>
    </w:p>
    <w:p w14:paraId="6CA21602">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17D8ACE9">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3B71C25A">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272A61D5">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642EA28E">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2816A750">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6CC289D4">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3301F067">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2D5B8CA8">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71F4F48B">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p>
    <w:p w14:paraId="66DDA05D">
      <w:pPr>
        <w:keepNext w:val="0"/>
        <w:keepLines w:val="0"/>
        <w:pageBreakBefore w:val="0"/>
        <w:widowControl w:val="0"/>
        <w:kinsoku/>
        <w:wordWrap/>
        <w:overflowPunct/>
        <w:topLinePunct w:val="0"/>
        <w:autoSpaceDE/>
        <w:autoSpaceDN/>
        <w:bidi w:val="0"/>
        <w:adjustRightInd/>
        <w:snapToGrid w:val="0"/>
        <w:spacing w:line="590" w:lineRule="exact"/>
        <w:ind w:left="1119" w:leftChars="133" w:hanging="840" w:hangingChars="300"/>
        <w:jc w:val="left"/>
        <w:textAlignment w:val="auto"/>
        <w:rPr>
          <w:rFonts w:hint="eastAsia" w:ascii="华文楷体" w:hAnsi="华文楷体" w:eastAsia="华文楷体" w:cs="华文楷体"/>
          <w:b w:val="0"/>
          <w:bCs w:val="0"/>
          <w:sz w:val="30"/>
          <w:szCs w:val="30"/>
          <w:lang w:val="en-US" w:eastAsia="zh-CN"/>
        </w:rPr>
      </w:pPr>
      <w:r>
        <w:rPr>
          <w:rFonts w:hint="default" w:ascii="Times New Roman" w:hAnsi="Times New Roman" w:eastAsia="仿宋_GB2312" w:cs="Times New Roman"/>
          <w:b w:val="0"/>
          <w:bCs w:val="0"/>
          <w:sz w:val="28"/>
          <w:szCs w:val="28"/>
        </w:rPr>
        <w:t>抄送：广州市生态环境局番禺分局监管三科</w:t>
      </w:r>
      <w:r>
        <w:rPr>
          <w:rFonts w:hint="eastAsia" w:eastAsia="仿宋_GB2312" w:cs="Times New Roman"/>
          <w:b w:val="0"/>
          <w:bCs w:val="0"/>
          <w:sz w:val="28"/>
          <w:szCs w:val="28"/>
          <w:lang w:eastAsia="zh-CN"/>
        </w:rPr>
        <w:t>、执</w:t>
      </w:r>
      <w:r>
        <w:rPr>
          <w:rFonts w:hint="eastAsia" w:eastAsia="仿宋_GB2312" w:cs="Times New Roman"/>
          <w:b w:val="0"/>
          <w:bCs w:val="0"/>
          <w:color w:val="auto"/>
          <w:sz w:val="28"/>
          <w:szCs w:val="28"/>
          <w:lang w:eastAsia="zh-CN"/>
        </w:rPr>
        <w:t>法</w:t>
      </w:r>
      <w:r>
        <w:rPr>
          <w:rFonts w:hint="eastAsia" w:eastAsia="仿宋_GB2312" w:cs="Times New Roman"/>
          <w:b w:val="0"/>
          <w:bCs w:val="0"/>
          <w:color w:val="auto"/>
          <w:sz w:val="28"/>
          <w:szCs w:val="28"/>
          <w:lang w:val="en-US" w:eastAsia="zh-CN"/>
        </w:rPr>
        <w:t>一科、</w:t>
      </w:r>
      <w:r>
        <w:rPr>
          <w:rFonts w:hint="default" w:ascii="Times New Roman" w:hAnsi="Times New Roman" w:eastAsia="仿宋_GB2312" w:cs="Times New Roman"/>
          <w:b w:val="0"/>
          <w:bCs w:val="0"/>
          <w:color w:val="auto"/>
          <w:sz w:val="28"/>
          <w:szCs w:val="28"/>
        </w:rPr>
        <w:t>广州市生态环境局</w:t>
      </w:r>
      <w:r>
        <w:rPr>
          <w:rFonts w:hint="eastAsia" w:eastAsia="仿宋_GB2312" w:cs="Times New Roman"/>
          <w:b w:val="0"/>
          <w:bCs w:val="0"/>
          <w:color w:val="auto"/>
          <w:sz w:val="28"/>
          <w:szCs w:val="28"/>
          <w:lang w:val="en-US" w:eastAsia="zh-CN"/>
        </w:rPr>
        <w:t>番禺第二环保所</w:t>
      </w:r>
      <w:bookmarkStart w:id="7" w:name="OLE_LINK13"/>
      <w:r>
        <w:rPr>
          <w:rFonts w:hint="eastAsia" w:eastAsia="仿宋_GB2312" w:cs="Times New Roman"/>
          <w:b w:val="0"/>
          <w:bCs w:val="0"/>
          <w:color w:val="auto"/>
          <w:sz w:val="28"/>
          <w:szCs w:val="28"/>
          <w:lang w:eastAsia="zh-CN"/>
        </w:rPr>
        <w:t>、</w:t>
      </w:r>
      <w:r>
        <w:rPr>
          <w:rFonts w:hint="default" w:ascii="Times New Roman" w:hAnsi="Times New Roman" w:eastAsia="仿宋_GB2312" w:cs="Times New Roman"/>
          <w:b w:val="0"/>
          <w:bCs w:val="0"/>
          <w:color w:val="auto"/>
          <w:sz w:val="28"/>
          <w:szCs w:val="28"/>
        </w:rPr>
        <w:t>番禺技术中心，广东省华源环境工程有限公司</w:t>
      </w:r>
      <w:r>
        <w:rPr>
          <w:rFonts w:hint="default" w:ascii="Times New Roman" w:hAnsi="Times New Roman" w:eastAsia="仿宋_GB2312" w:cs="Times New Roman"/>
          <w:b w:val="0"/>
          <w:bCs w:val="0"/>
          <w:sz w:val="28"/>
          <w:szCs w:val="28"/>
        </w:rPr>
        <w:t>。</w:t>
      </w:r>
      <w:bookmarkEnd w:id="0"/>
      <w:bookmarkEnd w:id="7"/>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43FFC044-580F-4BDF-9352-C11F8137AA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824BE0E-7BC0-4658-83D9-B56ED2B0AA75}"/>
  </w:font>
  <w:font w:name="方正小标宋简体">
    <w:panose1 w:val="03000509000000000000"/>
    <w:charset w:val="86"/>
    <w:family w:val="script"/>
    <w:pitch w:val="default"/>
    <w:sig w:usb0="00000001" w:usb1="080E0000" w:usb2="00000000" w:usb3="00000000" w:csb0="00040000" w:csb1="00000000"/>
    <w:embedRegular r:id="rId3" w:fontKey="{E51D7358-78DE-46D4-A093-E5B6AA8ACEE1}"/>
  </w:font>
  <w:font w:name="MS Mincho">
    <w:panose1 w:val="02020609040205080304"/>
    <w:charset w:val="80"/>
    <w:family w:val="modern"/>
    <w:pitch w:val="default"/>
    <w:sig w:usb0="A00002BF" w:usb1="68C7FCFB" w:usb2="00000010" w:usb3="00000000" w:csb0="4002009F" w:csb1="DFD70000"/>
  </w:font>
  <w:font w:name="华文中宋">
    <w:panose1 w:val="02010600040101010101"/>
    <w:charset w:val="86"/>
    <w:family w:val="auto"/>
    <w:pitch w:val="default"/>
    <w:sig w:usb0="00000287" w:usb1="080F0000" w:usb2="00000000" w:usb3="00000000" w:csb0="0004009F" w:csb1="DFD7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embedRegular r:id="rId4" w:fontKey="{311315BD-74D0-4589-91E9-BC21E4AF40E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68A68">
    <w:pPr>
      <w:pStyle w:val="26"/>
      <w:framePr w:wrap="around" w:vAnchor="text" w:hAnchor="margin" w:xAlign="outside" w:y="1"/>
      <w:rPr>
        <w:rStyle w:val="34"/>
        <w:rFonts w:hint="eastAsia"/>
        <w:sz w:val="28"/>
      </w:rPr>
    </w:pPr>
    <w:r>
      <w:rPr>
        <w:rStyle w:val="34"/>
        <w:rFonts w:hint="eastAsia" w:ascii="宋体" w:hAnsi="宋体"/>
        <w:sz w:val="28"/>
      </w:rPr>
      <w:t>―</w:t>
    </w:r>
    <w:r>
      <w:rPr>
        <w:rStyle w:val="34"/>
        <w:rFonts w:hint="eastAsia"/>
        <w:sz w:val="28"/>
      </w:rPr>
      <w:t xml:space="preserve"> </w:t>
    </w:r>
    <w:r>
      <w:rPr>
        <w:rStyle w:val="34"/>
        <w:sz w:val="28"/>
      </w:rPr>
      <w:fldChar w:fldCharType="begin"/>
    </w:r>
    <w:r>
      <w:rPr>
        <w:rStyle w:val="34"/>
        <w:sz w:val="28"/>
      </w:rPr>
      <w:instrText xml:space="preserve">PAGE  </w:instrText>
    </w:r>
    <w:r>
      <w:rPr>
        <w:rStyle w:val="34"/>
        <w:sz w:val="28"/>
      </w:rPr>
      <w:fldChar w:fldCharType="separate"/>
    </w:r>
    <w:r>
      <w:rPr>
        <w:rStyle w:val="34"/>
        <w:sz w:val="28"/>
      </w:rPr>
      <w:t>2</w:t>
    </w:r>
    <w:r>
      <w:rPr>
        <w:rStyle w:val="34"/>
        <w:sz w:val="28"/>
      </w:rPr>
      <w:fldChar w:fldCharType="end"/>
    </w:r>
    <w:r>
      <w:rPr>
        <w:rStyle w:val="34"/>
        <w:rFonts w:hint="eastAsia"/>
        <w:sz w:val="28"/>
      </w:rPr>
      <w:t xml:space="preserve"> </w:t>
    </w:r>
    <w:r>
      <w:rPr>
        <w:rStyle w:val="34"/>
        <w:rFonts w:hint="eastAsia" w:ascii="宋体" w:hAnsi="宋体"/>
        <w:sz w:val="28"/>
      </w:rPr>
      <w:t>―</w:t>
    </w:r>
  </w:p>
  <w:p w14:paraId="210104FE">
    <w:pPr>
      <w:pStyle w:val="2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3707E">
    <w:pPr>
      <w:pStyle w:val="26"/>
      <w:framePr w:wrap="around" w:vAnchor="text" w:hAnchor="margin" w:xAlign="outside" w:y="1"/>
      <w:rPr>
        <w:rStyle w:val="34"/>
      </w:rPr>
    </w:pPr>
    <w:r>
      <w:rPr>
        <w:rStyle w:val="34"/>
      </w:rPr>
      <w:fldChar w:fldCharType="begin"/>
    </w:r>
    <w:r>
      <w:rPr>
        <w:rStyle w:val="34"/>
      </w:rPr>
      <w:instrText xml:space="preserve">PAGE  </w:instrText>
    </w:r>
    <w:r>
      <w:rPr>
        <w:rStyle w:val="34"/>
      </w:rPr>
      <w:fldChar w:fldCharType="end"/>
    </w:r>
  </w:p>
  <w:p w14:paraId="0C065787">
    <w:pPr>
      <w:pStyle w:val="2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E785">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53AF0"/>
    <w:multiLevelType w:val="multilevel"/>
    <w:tmpl w:val="C6753AF0"/>
    <w:lvl w:ilvl="0" w:tentative="0">
      <w:start w:val="1"/>
      <w:numFmt w:val="decimal"/>
      <w:suff w:val="nothing"/>
      <w:lvlText w:val="%1"/>
      <w:lvlJc w:val="left"/>
      <w:pPr>
        <w:tabs>
          <w:tab w:val="left" w:pos="0"/>
        </w:tabs>
        <w:ind w:left="432" w:hanging="432"/>
      </w:pPr>
      <w:rPr>
        <w:rFonts w:hint="default" w:ascii="Times New Roman" w:hAnsi="Times New Roman" w:eastAsia="宋体" w:cs="宋体"/>
      </w:rPr>
    </w:lvl>
    <w:lvl w:ilvl="1" w:tentative="0">
      <w:start w:val="1"/>
      <w:numFmt w:val="decimal"/>
      <w:pStyle w:val="2"/>
      <w:isLgl/>
      <w:lvlText w:val="%1.%2."/>
      <w:lvlJc w:val="left"/>
      <w:pPr>
        <w:ind w:left="575" w:hanging="575"/>
      </w:pPr>
      <w:rPr>
        <w:rFonts w:hint="eastAsia"/>
      </w:rPr>
    </w:lvl>
    <w:lvl w:ilvl="2" w:tentative="0">
      <w:start w:val="1"/>
      <w:numFmt w:val="decimal"/>
      <w:isLgl/>
      <w:suff w:val="nothing"/>
      <w:lvlText w:val="%1.%2.%3."/>
      <w:lvlJc w:val="left"/>
      <w:pPr>
        <w:tabs>
          <w:tab w:val="left" w:pos="0"/>
        </w:tabs>
        <w:ind w:left="1200" w:hanging="120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5D141AAB"/>
    <w:multiLevelType w:val="multilevel"/>
    <w:tmpl w:val="5D141AAB"/>
    <w:lvl w:ilvl="0" w:tentative="0">
      <w:start w:val="1"/>
      <w:numFmt w:val="decimal"/>
      <w:lvlText w:val="%1"/>
      <w:lvlJc w:val="left"/>
      <w:pPr>
        <w:tabs>
          <w:tab w:val="left" w:pos="432"/>
        </w:tabs>
        <w:ind w:left="432" w:hanging="432"/>
      </w:pPr>
      <w:rPr>
        <w:rFonts w:hint="eastAsia"/>
      </w:rPr>
    </w:lvl>
    <w:lvl w:ilvl="1" w:tentative="0">
      <w:start w:val="1"/>
      <w:numFmt w:val="decimal"/>
      <w:isLgl/>
      <w:lvlText w:val="%1.%2."/>
      <w:lvlJc w:val="left"/>
      <w:pPr>
        <w:tabs>
          <w:tab w:val="left" w:pos="576"/>
        </w:tabs>
        <w:ind w:left="576" w:hanging="576"/>
      </w:pPr>
      <w:rPr>
        <w:rFonts w:hint="eastAsia"/>
        <w:sz w:val="32"/>
        <w:szCs w:val="32"/>
      </w:rPr>
    </w:lvl>
    <w:lvl w:ilvl="2" w:tentative="0">
      <w:start w:val="1"/>
      <w:numFmt w:val="decimal"/>
      <w:isLgl/>
      <w:lvlText w:val="%1.%2.%3."/>
      <w:lvlJc w:val="left"/>
      <w:pPr>
        <w:tabs>
          <w:tab w:val="left" w:pos="720"/>
        </w:tabs>
        <w:ind w:left="720" w:hanging="720"/>
      </w:pPr>
      <w:rPr>
        <w:rFonts w:hint="eastAsia"/>
        <w:sz w:val="30"/>
        <w:szCs w:val="30"/>
      </w:rPr>
    </w:lvl>
    <w:lvl w:ilvl="3" w:tentative="0">
      <w:start w:val="1"/>
      <w:numFmt w:val="decimal"/>
      <w:pStyle w:val="19"/>
      <w:isLgl/>
      <w:lvlText w:val="%1.%2.%3.%4."/>
      <w:lvlJc w:val="left"/>
      <w:pPr>
        <w:tabs>
          <w:tab w:val="left" w:pos="864"/>
        </w:tabs>
        <w:ind w:left="1677"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726573F"/>
    <w:rsid w:val="09CA1181"/>
    <w:rsid w:val="0D4F2AE5"/>
    <w:rsid w:val="0D70118F"/>
    <w:rsid w:val="0DEB5A37"/>
    <w:rsid w:val="0E640050"/>
    <w:rsid w:val="0F52122C"/>
    <w:rsid w:val="0F6F1094"/>
    <w:rsid w:val="128379F6"/>
    <w:rsid w:val="12856FF3"/>
    <w:rsid w:val="13C979FA"/>
    <w:rsid w:val="16153CF4"/>
    <w:rsid w:val="17D84309"/>
    <w:rsid w:val="19FE60C7"/>
    <w:rsid w:val="1A1914F5"/>
    <w:rsid w:val="1B176524"/>
    <w:rsid w:val="1BED373D"/>
    <w:rsid w:val="1C663D97"/>
    <w:rsid w:val="1DE13B91"/>
    <w:rsid w:val="1E765922"/>
    <w:rsid w:val="1F0D7671"/>
    <w:rsid w:val="1FDE71AF"/>
    <w:rsid w:val="20BA50E3"/>
    <w:rsid w:val="220E557A"/>
    <w:rsid w:val="232609F0"/>
    <w:rsid w:val="252D1EE5"/>
    <w:rsid w:val="260A4701"/>
    <w:rsid w:val="269D7E97"/>
    <w:rsid w:val="27CB7E09"/>
    <w:rsid w:val="284E34A5"/>
    <w:rsid w:val="291649F7"/>
    <w:rsid w:val="291B3F52"/>
    <w:rsid w:val="29FA00EA"/>
    <w:rsid w:val="2A7501F0"/>
    <w:rsid w:val="2BFC0D17"/>
    <w:rsid w:val="2D3E219F"/>
    <w:rsid w:val="2D9B4434"/>
    <w:rsid w:val="2F502040"/>
    <w:rsid w:val="2FC737F6"/>
    <w:rsid w:val="30025200"/>
    <w:rsid w:val="30870396"/>
    <w:rsid w:val="31B62063"/>
    <w:rsid w:val="339B5615"/>
    <w:rsid w:val="340D18C0"/>
    <w:rsid w:val="35CF0225"/>
    <w:rsid w:val="368707A0"/>
    <w:rsid w:val="36E8706D"/>
    <w:rsid w:val="37FF4F0E"/>
    <w:rsid w:val="38A97D85"/>
    <w:rsid w:val="3A282EC7"/>
    <w:rsid w:val="3A53380B"/>
    <w:rsid w:val="3CFA71FE"/>
    <w:rsid w:val="3D957DFF"/>
    <w:rsid w:val="3DFE29E0"/>
    <w:rsid w:val="402A1393"/>
    <w:rsid w:val="40EE14B1"/>
    <w:rsid w:val="41680404"/>
    <w:rsid w:val="42007882"/>
    <w:rsid w:val="42B875A4"/>
    <w:rsid w:val="438576C5"/>
    <w:rsid w:val="439F0BBE"/>
    <w:rsid w:val="461D3EE6"/>
    <w:rsid w:val="4732045C"/>
    <w:rsid w:val="476D05EC"/>
    <w:rsid w:val="48BC7A7A"/>
    <w:rsid w:val="49F72B69"/>
    <w:rsid w:val="4D037CA5"/>
    <w:rsid w:val="4D4D6CAD"/>
    <w:rsid w:val="4E100354"/>
    <w:rsid w:val="4E823E3F"/>
    <w:rsid w:val="4EC05A55"/>
    <w:rsid w:val="50775E7B"/>
    <w:rsid w:val="51463C84"/>
    <w:rsid w:val="51EC39BC"/>
    <w:rsid w:val="526D1882"/>
    <w:rsid w:val="54535B9B"/>
    <w:rsid w:val="56D90809"/>
    <w:rsid w:val="575E5E0B"/>
    <w:rsid w:val="576C3EC8"/>
    <w:rsid w:val="58F4010C"/>
    <w:rsid w:val="599125D0"/>
    <w:rsid w:val="5CBC4731"/>
    <w:rsid w:val="5D0C3D95"/>
    <w:rsid w:val="5E175DB4"/>
    <w:rsid w:val="5E3E7416"/>
    <w:rsid w:val="5F33136B"/>
    <w:rsid w:val="5F63425D"/>
    <w:rsid w:val="625F66D9"/>
    <w:rsid w:val="633A1D77"/>
    <w:rsid w:val="63C51FC3"/>
    <w:rsid w:val="6534300B"/>
    <w:rsid w:val="66013B47"/>
    <w:rsid w:val="670856A2"/>
    <w:rsid w:val="689D4DD3"/>
    <w:rsid w:val="690E7254"/>
    <w:rsid w:val="69271CDD"/>
    <w:rsid w:val="69FC3374"/>
    <w:rsid w:val="6A235CE3"/>
    <w:rsid w:val="6ABE0F32"/>
    <w:rsid w:val="6B743DD4"/>
    <w:rsid w:val="6BB20BEF"/>
    <w:rsid w:val="6BFA5CBF"/>
    <w:rsid w:val="6CB93980"/>
    <w:rsid w:val="6E193FCD"/>
    <w:rsid w:val="6E273EB7"/>
    <w:rsid w:val="6E9B2B83"/>
    <w:rsid w:val="70EB61B4"/>
    <w:rsid w:val="719E1C2B"/>
    <w:rsid w:val="71F25EB7"/>
    <w:rsid w:val="721533D8"/>
    <w:rsid w:val="722E37CE"/>
    <w:rsid w:val="72630943"/>
    <w:rsid w:val="734F6D9E"/>
    <w:rsid w:val="75B46566"/>
    <w:rsid w:val="75B66322"/>
    <w:rsid w:val="776C16FD"/>
    <w:rsid w:val="77A3353E"/>
    <w:rsid w:val="784E3B62"/>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numPr>
        <w:ilvl w:val="1"/>
        <w:numId w:val="1"/>
      </w:numPr>
      <w:spacing w:before="160" w:after="160" w:line="240" w:lineRule="auto"/>
      <w:ind w:left="0" w:firstLine="0" w:firstLineChars="0"/>
      <w:outlineLvl w:val="1"/>
    </w:pPr>
    <w:rPr>
      <w:rFonts w:ascii="Times New Roman" w:hAnsi="Times New Roman" w:eastAsia="宋体" w:cs="Times New Roman"/>
      <w:b/>
      <w:bCs/>
      <w:sz w:val="30"/>
      <w:szCs w:val="32"/>
    </w:rPr>
  </w:style>
  <w:style w:type="character" w:default="1" w:styleId="31">
    <w:name w:val="Default Paragraph Font"/>
    <w:link w:val="32"/>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3">
    <w:name w:val="E-mail Signature"/>
    <w:basedOn w:val="1"/>
    <w:next w:val="4"/>
    <w:qFormat/>
    <w:uiPriority w:val="0"/>
    <w:pPr>
      <w:spacing w:line="460" w:lineRule="exact"/>
      <w:ind w:firstLine="200"/>
    </w:pPr>
  </w:style>
  <w:style w:type="paragraph" w:customStyle="1" w:styleId="4">
    <w:name w:val="文章"/>
    <w:basedOn w:val="5"/>
    <w:next w:val="8"/>
    <w:qFormat/>
    <w:uiPriority w:val="0"/>
    <w:pPr>
      <w:widowControl/>
      <w:tabs>
        <w:tab w:val="left" w:pos="5180"/>
      </w:tabs>
      <w:ind w:left="0" w:firstLine="480"/>
      <w:jc w:val="center"/>
    </w:pPr>
    <w:rPr>
      <w:rFonts w:ascii="Times New Roman"/>
      <w:sz w:val="26"/>
    </w:rPr>
  </w:style>
  <w:style w:type="paragraph" w:styleId="5">
    <w:name w:val="Body Text Indent"/>
    <w:basedOn w:val="1"/>
    <w:next w:val="6"/>
    <w:qFormat/>
    <w:uiPriority w:val="0"/>
    <w:pPr>
      <w:spacing w:line="560" w:lineRule="exact"/>
      <w:ind w:firstLine="600" w:firstLineChars="200"/>
      <w:outlineLvl w:val="0"/>
    </w:pPr>
    <w:rPr>
      <w:rFonts w:ascii="仿宋_GB2312" w:eastAsia="仿宋_GB2312"/>
      <w:sz w:val="30"/>
    </w:rPr>
  </w:style>
  <w:style w:type="paragraph" w:customStyle="1" w:styleId="6">
    <w:name w:val="表格编号"/>
    <w:basedOn w:val="1"/>
    <w:next w:val="7"/>
    <w:qFormat/>
    <w:uiPriority w:val="0"/>
    <w:pPr>
      <w:spacing w:line="60" w:lineRule="atLeast"/>
      <w:jc w:val="left"/>
    </w:pPr>
    <w:rPr>
      <w:spacing w:val="10"/>
      <w:kern w:val="0"/>
      <w:szCs w:val="21"/>
    </w:rPr>
  </w:style>
  <w:style w:type="paragraph" w:customStyle="1" w:styleId="7">
    <w:name w:val="表格文字"/>
    <w:basedOn w:val="1"/>
    <w:next w:val="1"/>
    <w:qFormat/>
    <w:uiPriority w:val="0"/>
    <w:pPr>
      <w:tabs>
        <w:tab w:val="left" w:pos="-2848"/>
      </w:tabs>
      <w:spacing w:before="40" w:after="40" w:line="240" w:lineRule="atLeast"/>
      <w:jc w:val="center"/>
    </w:pPr>
    <w:rPr>
      <w:position w:val="-10"/>
      <w:sz w:val="21"/>
      <w:szCs w:val="20"/>
    </w:rPr>
  </w:style>
  <w:style w:type="paragraph" w:styleId="8">
    <w:name w:val="List"/>
    <w:basedOn w:val="1"/>
    <w:next w:val="1"/>
    <w:unhideWhenUsed/>
    <w:qFormat/>
    <w:uiPriority w:val="99"/>
    <w:pPr>
      <w:ind w:left="200" w:hanging="200" w:hangingChars="200"/>
    </w:pPr>
  </w:style>
  <w:style w:type="paragraph" w:styleId="9">
    <w:name w:val="annotation text"/>
    <w:basedOn w:val="1"/>
    <w:qFormat/>
    <w:uiPriority w:val="0"/>
    <w:pPr>
      <w:jc w:val="left"/>
    </w:pPr>
  </w:style>
  <w:style w:type="paragraph" w:styleId="10">
    <w:name w:val="Body Text"/>
    <w:basedOn w:val="1"/>
    <w:link w:val="44"/>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11">
    <w:name w:val="Plain Text"/>
    <w:basedOn w:val="1"/>
    <w:next w:val="12"/>
    <w:qFormat/>
    <w:uiPriority w:val="0"/>
    <w:rPr>
      <w:rFonts w:ascii="宋体" w:hAnsi="Courier New" w:eastAsia="宋体"/>
      <w:kern w:val="2"/>
      <w:sz w:val="21"/>
      <w:lang w:val="en-US" w:eastAsia="zh-CN" w:bidi="ar-SA"/>
    </w:rPr>
  </w:style>
  <w:style w:type="paragraph" w:customStyle="1" w:styleId="12">
    <w:name w:val="Default"/>
    <w:basedOn w:val="13"/>
    <w:next w:val="14"/>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13">
    <w:name w:val="纯文本1"/>
    <w:basedOn w:val="1"/>
    <w:next w:val="11"/>
    <w:qFormat/>
    <w:uiPriority w:val="0"/>
    <w:pPr>
      <w:adjustRightInd w:val="0"/>
      <w:textAlignment w:val="baseline"/>
    </w:pPr>
    <w:rPr>
      <w:rFonts w:ascii="宋体" w:hAnsi="Courier New"/>
      <w:szCs w:val="20"/>
    </w:rPr>
  </w:style>
  <w:style w:type="paragraph" w:customStyle="1" w:styleId="14">
    <w:name w:val="样式35"/>
    <w:basedOn w:val="15"/>
    <w:next w:val="21"/>
    <w:qFormat/>
    <w:uiPriority w:val="0"/>
    <w:pPr>
      <w:widowControl w:val="0"/>
      <w:tabs>
        <w:tab w:val="left" w:pos="0"/>
        <w:tab w:val="left" w:pos="360"/>
        <w:tab w:val="left" w:pos="540"/>
        <w:tab w:val="left" w:pos="567"/>
        <w:tab w:val="left" w:pos="864"/>
      </w:tabs>
      <w:spacing w:before="0" w:after="0" w:line="312" w:lineRule="auto"/>
      <w:ind w:left="0" w:firstLine="567"/>
      <w:jc w:val="both"/>
    </w:pPr>
    <w:rPr>
      <w:rFonts w:eastAsia="宋体"/>
    </w:rPr>
  </w:style>
  <w:style w:type="paragraph" w:customStyle="1" w:styleId="15">
    <w:name w:val="样式26"/>
    <w:basedOn w:val="16"/>
    <w:qFormat/>
    <w:uiPriority w:val="0"/>
    <w:pPr>
      <w:tabs>
        <w:tab w:val="left" w:pos="0"/>
        <w:tab w:val="left" w:pos="360"/>
        <w:tab w:val="left" w:pos="540"/>
        <w:tab w:val="left" w:pos="567"/>
        <w:tab w:val="left" w:pos="864"/>
      </w:tabs>
    </w:pPr>
  </w:style>
  <w:style w:type="paragraph" w:customStyle="1" w:styleId="16">
    <w:name w:val="样式21"/>
    <w:basedOn w:val="17"/>
    <w:qFormat/>
    <w:uiPriority w:val="0"/>
    <w:pPr>
      <w:tabs>
        <w:tab w:val="left" w:pos="360"/>
        <w:tab w:val="left" w:pos="567"/>
        <w:tab w:val="left" w:pos="864"/>
      </w:tabs>
      <w:spacing w:before="120" w:after="120"/>
      <w:ind w:hanging="992"/>
    </w:pPr>
  </w:style>
  <w:style w:type="paragraph" w:customStyle="1" w:styleId="17">
    <w:name w:val="样式5"/>
    <w:basedOn w:val="18"/>
    <w:qFormat/>
    <w:uiPriority w:val="0"/>
    <w:pPr>
      <w:widowControl/>
      <w:tabs>
        <w:tab w:val="left" w:pos="360"/>
        <w:tab w:val="left" w:pos="864"/>
      </w:tabs>
      <w:jc w:val="center"/>
    </w:pPr>
    <w:rPr>
      <w:rFonts w:ascii="宋体" w:hAnsi="宋体" w:cs="宋体"/>
      <w:szCs w:val="21"/>
    </w:rPr>
  </w:style>
  <w:style w:type="paragraph" w:customStyle="1" w:styleId="18">
    <w:name w:val="样式12"/>
    <w:basedOn w:val="19"/>
    <w:qFormat/>
    <w:uiPriority w:val="0"/>
    <w:pPr>
      <w:keepNext/>
      <w:keepLines/>
      <w:tabs>
        <w:tab w:val="left" w:pos="360"/>
        <w:tab w:val="left" w:pos="864"/>
      </w:tabs>
      <w:spacing w:before="156" w:beforeLines="50" w:after="156" w:afterLines="50"/>
      <w:ind w:left="567" w:hanging="567"/>
      <w:outlineLvl w:val="1"/>
    </w:pPr>
    <w:rPr>
      <w:rFonts w:eastAsia="MS Mincho"/>
      <w:kern w:val="0"/>
      <w:sz w:val="28"/>
      <w:szCs w:val="28"/>
    </w:rPr>
  </w:style>
  <w:style w:type="paragraph" w:customStyle="1" w:styleId="19">
    <w:name w:val="第2级标题"/>
    <w:basedOn w:val="2"/>
    <w:next w:val="20"/>
    <w:qFormat/>
    <w:uiPriority w:val="0"/>
    <w:pPr>
      <w:numPr>
        <w:ilvl w:val="3"/>
        <w:numId w:val="2"/>
      </w:numPr>
      <w:spacing w:before="100" w:beforeAutospacing="1" w:after="100" w:afterAutospacing="1" w:line="500" w:lineRule="exact"/>
    </w:pPr>
    <w:rPr>
      <w:rFonts w:eastAsia="华文中宋"/>
    </w:rPr>
  </w:style>
  <w:style w:type="paragraph" w:customStyle="1" w:styleId="20">
    <w:name w:val="[正文格式]"/>
    <w:basedOn w:val="1"/>
    <w:qFormat/>
    <w:uiPriority w:val="0"/>
    <w:pPr>
      <w:spacing w:line="440" w:lineRule="exact"/>
      <w:ind w:firstLine="500" w:firstLineChars="200"/>
    </w:pPr>
    <w:rPr>
      <w:rFonts w:ascii="Times New Roman" w:cs="宋体"/>
      <w:kern w:val="2"/>
      <w:sz w:val="24"/>
    </w:rPr>
  </w:style>
  <w:style w:type="paragraph" w:customStyle="1" w:styleId="21">
    <w:name w:val="font6"/>
    <w:basedOn w:val="1"/>
    <w:next w:val="22"/>
    <w:qFormat/>
    <w:uiPriority w:val="0"/>
    <w:pPr>
      <w:widowControl/>
      <w:spacing w:before="100" w:beforeAutospacing="1" w:after="100" w:afterAutospacing="1"/>
      <w:jc w:val="left"/>
    </w:pPr>
    <w:rPr>
      <w:kern w:val="0"/>
    </w:rPr>
  </w:style>
  <w:style w:type="paragraph" w:styleId="22">
    <w:name w:val="toc 2"/>
    <w:basedOn w:val="1"/>
    <w:next w:val="3"/>
    <w:qFormat/>
    <w:uiPriority w:val="1"/>
    <w:pPr>
      <w:spacing w:before="8"/>
      <w:ind w:left="100"/>
    </w:pPr>
    <w:rPr>
      <w:rFonts w:ascii="宋体" w:hAnsi="宋体" w:eastAsia="宋体"/>
      <w:sz w:val="24"/>
      <w:szCs w:val="24"/>
    </w:rPr>
  </w:style>
  <w:style w:type="paragraph" w:styleId="23">
    <w:name w:val="Date"/>
    <w:basedOn w:val="1"/>
    <w:next w:val="1"/>
    <w:qFormat/>
    <w:uiPriority w:val="0"/>
    <w:pPr>
      <w:ind w:left="100" w:leftChars="2500"/>
    </w:pPr>
    <w:rPr>
      <w:rFonts w:eastAsia="仿宋_GB2312"/>
      <w:w w:val="99"/>
      <w:sz w:val="32"/>
    </w:rPr>
  </w:style>
  <w:style w:type="paragraph" w:styleId="24">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25">
    <w:name w:val="Balloon Text"/>
    <w:basedOn w:val="1"/>
    <w:semiHidden/>
    <w:qFormat/>
    <w:uiPriority w:val="0"/>
    <w:rPr>
      <w:sz w:val="18"/>
      <w:szCs w:val="18"/>
    </w:rPr>
  </w:style>
  <w:style w:type="paragraph" w:styleId="26">
    <w:name w:val="footer"/>
    <w:basedOn w:val="1"/>
    <w:qFormat/>
    <w:uiPriority w:val="0"/>
    <w:pPr>
      <w:tabs>
        <w:tab w:val="center" w:pos="4153"/>
        <w:tab w:val="right" w:pos="8306"/>
      </w:tabs>
      <w:snapToGrid w:val="0"/>
      <w:jc w:val="left"/>
    </w:pPr>
    <w:rPr>
      <w:sz w:val="18"/>
      <w:szCs w:val="18"/>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
    <w:name w:val="Char"/>
    <w:basedOn w:val="1"/>
    <w:link w:val="31"/>
    <w:qFormat/>
    <w:uiPriority w:val="0"/>
  </w:style>
  <w:style w:type="character" w:styleId="33">
    <w:name w:val="Strong"/>
    <w:basedOn w:val="31"/>
    <w:qFormat/>
    <w:uiPriority w:val="22"/>
    <w:rPr>
      <w:rFonts w:ascii="Times New Roman" w:hAnsi="Times New Roman" w:eastAsia="宋体" w:cs="Times New Roman"/>
      <w:b/>
      <w:bCs/>
    </w:rPr>
  </w:style>
  <w:style w:type="character" w:styleId="34">
    <w:name w:val="page number"/>
    <w:basedOn w:val="31"/>
    <w:qFormat/>
    <w:uiPriority w:val="0"/>
  </w:style>
  <w:style w:type="character" w:styleId="35">
    <w:name w:val="Hyperlink"/>
    <w:basedOn w:val="31"/>
    <w:qFormat/>
    <w:uiPriority w:val="0"/>
    <w:rPr>
      <w:rFonts w:ascii="Times New Roman" w:hAnsi="Times New Roman" w:eastAsia="宋体" w:cs="Times New Roman"/>
      <w:color w:val="0000FF"/>
      <w:u w:val="single"/>
    </w:rPr>
  </w:style>
  <w:style w:type="paragraph" w:customStyle="1" w:styleId="36">
    <w:name w:val="正文文字 6"/>
    <w:basedOn w:val="37"/>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37">
    <w:name w:val="TT标题"/>
    <w:basedOn w:val="1"/>
    <w:qFormat/>
    <w:uiPriority w:val="0"/>
    <w:pPr>
      <w:jc w:val="center"/>
    </w:pPr>
    <w:rPr>
      <w:rFonts w:cs="宋体"/>
      <w:b/>
      <w:szCs w:val="20"/>
    </w:rPr>
  </w:style>
  <w:style w:type="paragraph" w:customStyle="1" w:styleId="38">
    <w:name w:val="Q-正文"/>
    <w:basedOn w:val="1"/>
    <w:next w:val="1"/>
    <w:qFormat/>
    <w:uiPriority w:val="0"/>
    <w:pPr>
      <w:ind w:firstLine="200"/>
    </w:pPr>
    <w:rPr>
      <w:rFonts w:ascii="Times New Roman" w:hAnsi="Times New Roman" w:eastAsia="宋体" w:cs="Courier New"/>
      <w:sz w:val="21"/>
      <w:szCs w:val="22"/>
    </w:rPr>
  </w:style>
  <w:style w:type="paragraph" w:customStyle="1" w:styleId="39">
    <w:name w:val="A正文-lcc"/>
    <w:basedOn w:val="1"/>
    <w:link w:val="42"/>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40">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41">
    <w:name w:val=" Char"/>
    <w:basedOn w:val="1"/>
    <w:qFormat/>
    <w:uiPriority w:val="0"/>
    <w:pPr>
      <w:spacing w:line="360" w:lineRule="auto"/>
    </w:pPr>
    <w:rPr>
      <w:rFonts w:ascii="Tahoma" w:hAnsi="Tahoma" w:eastAsia="宋体" w:cs="Times New Roman"/>
      <w:sz w:val="28"/>
      <w:szCs w:val="20"/>
    </w:rPr>
  </w:style>
  <w:style w:type="character" w:customStyle="1" w:styleId="42">
    <w:name w:val="A正文-lcc Char"/>
    <w:link w:val="39"/>
    <w:qFormat/>
    <w:uiPriority w:val="0"/>
    <w:rPr>
      <w:rFonts w:ascii="Times New Roman" w:hAnsi="Times New Roman" w:eastAsia="宋体" w:cs="Times New Roman"/>
      <w:color w:val="000000"/>
      <w:kern w:val="0"/>
      <w:sz w:val="24"/>
      <w:szCs w:val="24"/>
    </w:rPr>
  </w:style>
  <w:style w:type="character" w:customStyle="1" w:styleId="43">
    <w:name w:val="content1"/>
    <w:basedOn w:val="31"/>
    <w:qFormat/>
    <w:uiPriority w:val="0"/>
    <w:rPr>
      <w:rFonts w:ascii="Times New Roman" w:hAnsi="Times New Roman" w:eastAsia="宋体" w:cs="Times New Roman"/>
      <w:sz w:val="21"/>
      <w:szCs w:val="21"/>
    </w:rPr>
  </w:style>
  <w:style w:type="character" w:customStyle="1" w:styleId="44">
    <w:name w:val="正文文本 Char"/>
    <w:basedOn w:val="31"/>
    <w:link w:val="10"/>
    <w:semiHidden/>
    <w:qFormat/>
    <w:locked/>
    <w:uiPriority w:val="0"/>
    <w:rPr>
      <w:rFonts w:ascii="方正小标宋简体" w:hAnsi="Times New Roman" w:eastAsia="方正小标宋简体" w:cs="方正小标宋简体"/>
      <w:sz w:val="44"/>
      <w:szCs w:val="44"/>
    </w:rPr>
  </w:style>
  <w:style w:type="character" w:customStyle="1" w:styleId="45">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4</Pages>
  <Words>1717</Words>
  <Characters>1860</Characters>
  <Lines>16</Lines>
  <Paragraphs>4</Paragraphs>
  <TotalTime>1189</TotalTime>
  <ScaleCrop>false</ScaleCrop>
  <LinksUpToDate>false</LinksUpToDate>
  <CharactersWithSpaces>1937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哲</cp:lastModifiedBy>
  <cp:lastPrinted>2025-11-17T07:12:01Z</cp:lastPrinted>
  <dcterms:modified xsi:type="dcterms:W3CDTF">2025-11-19T02:31:49Z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5E35FEDC5B2047588A70D786CDABA7E4_13</vt:lpwstr>
  </property>
  <property fmtid="{D5CDD505-2E9C-101B-9397-08002B2CF9AE}" pid="4" name="KSOTemplateDocerSaveRecord">
    <vt:lpwstr>eyJoZGlkIjoiZmVkOWE4YzZkMjQ2YmUyZDVkNWVlNWY4MmZkZTUyYzMiLCJ1c2VySWQiOiIyNDQ3Mzk4NDAifQ==</vt:lpwstr>
  </property>
</Properties>
</file>