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663895E">
      <w:pPr>
        <w:spacing w:line="580" w:lineRule="exact"/>
        <w:ind w:right="23" w:rightChars="11"/>
        <w:rPr>
          <w:rFonts w:hint="eastAsia" w:ascii="仿宋_GB2312" w:eastAsia="仿宋_GB2312"/>
          <w:color w:val="auto"/>
          <w:sz w:val="32"/>
        </w:rPr>
      </w:pPr>
      <w:r>
        <w:rPr>
          <w:color w:val="auto"/>
        </w:rPr>
        <mc:AlternateContent>
          <mc:Choice Requires="wps">
            <w:drawing>
              <wp:anchor distT="0" distB="0" distL="114300" distR="114300" simplePos="0" relativeHeight="251659264" behindDoc="0" locked="0" layoutInCell="1" allowOverlap="1">
                <wp:simplePos x="0" y="0"/>
                <wp:positionH relativeFrom="column">
                  <wp:posOffset>38100</wp:posOffset>
                </wp:positionH>
                <wp:positionV relativeFrom="paragraph">
                  <wp:posOffset>-489585</wp:posOffset>
                </wp:positionV>
                <wp:extent cx="5600700" cy="822325"/>
                <wp:effectExtent l="0" t="0" r="0" b="0"/>
                <wp:wrapNone/>
                <wp:docPr id="1" name="文本框 17"/>
                <wp:cNvGraphicFramePr/>
                <a:graphic xmlns:a="http://schemas.openxmlformats.org/drawingml/2006/main">
                  <a:graphicData uri="http://schemas.microsoft.com/office/word/2010/wordprocessingShape">
                    <wps:wsp>
                      <wps:cNvSpPr txBox="1"/>
                      <wps:spPr>
                        <a:xfrm>
                          <a:off x="0" y="0"/>
                          <a:ext cx="5600700" cy="822325"/>
                        </a:xfrm>
                        <a:prstGeom prst="rect">
                          <a:avLst/>
                        </a:prstGeom>
                        <a:noFill/>
                        <a:ln>
                          <a:noFill/>
                        </a:ln>
                      </wps:spPr>
                      <wps:txbx>
                        <w:txbxContent>
                          <w:p w14:paraId="3D4826F9">
                            <w:pPr>
                              <w:jc w:val="distribute"/>
                              <w:rPr>
                                <w:rFonts w:hint="eastAsia" w:ascii="方正小标宋简体" w:eastAsia="方正小标宋简体"/>
                                <w:color w:val="FF0000"/>
                                <w:sz w:val="72"/>
                                <w:szCs w:val="72"/>
                              </w:rPr>
                            </w:pPr>
                          </w:p>
                        </w:txbxContent>
                      </wps:txbx>
                      <wps:bodyPr wrap="square" upright="1"/>
                    </wps:wsp>
                  </a:graphicData>
                </a:graphic>
              </wp:anchor>
            </w:drawing>
          </mc:Choice>
          <mc:Fallback>
            <w:pict>
              <v:shape id="文本框 17" o:spid="_x0000_s1026" o:spt="202" type="#_x0000_t202" style="position:absolute;left:0pt;margin-left:3pt;margin-top:-38.55pt;height:64.75pt;width:441pt;z-index:251659264;mso-width-relative:page;mso-height-relative:page;" filled="f" stroked="f" coordsize="21600,21600" o:gfxdata="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AmH/N51gAAAAgBAAAPAAAAAAAAAAEAIAAAACIAAABkcnMvZG93bnJldi54bWxQSwECFAAUAAAA&#10;CACHTuJALxZii7cBAABdAwAADgAAAAAAAAABACAAAAAlAQAAZHJzL2Uyb0RvYy54bWxQSwUGAAAA&#10;AAYABgBZAQAATgUAAAAA&#10;">
                <v:fill on="f" focussize="0,0"/>
                <v:stroke on="f"/>
                <v:imagedata o:title=""/>
                <o:lock v:ext="edit" aspectratio="f"/>
                <v:textbox>
                  <w:txbxContent>
                    <w:p w14:paraId="3D4826F9">
                      <w:pPr>
                        <w:jc w:val="distribute"/>
                        <w:rPr>
                          <w:rFonts w:hint="eastAsia" w:ascii="方正小标宋简体" w:eastAsia="方正小标宋简体"/>
                          <w:color w:val="FF0000"/>
                          <w:sz w:val="72"/>
                          <w:szCs w:val="72"/>
                        </w:rPr>
                      </w:pPr>
                    </w:p>
                  </w:txbxContent>
                </v:textbox>
              </v:shape>
            </w:pict>
          </mc:Fallback>
        </mc:AlternateContent>
      </w:r>
      <w:r>
        <w:rPr>
          <w:rFonts w:hint="eastAsia" w:eastAsia="仿宋_GB2312"/>
          <w:color w:val="auto"/>
          <w:sz w:val="32"/>
        </w:rPr>
        <w:t xml:space="preserve">                                          </w:t>
      </w:r>
    </w:p>
    <w:p w14:paraId="0626890E">
      <w:pPr>
        <w:keepNext w:val="0"/>
        <w:keepLines w:val="0"/>
        <w:widowControl w:val="0"/>
        <w:suppressLineNumbers w:val="0"/>
        <w:spacing w:line="590" w:lineRule="exact"/>
        <w:jc w:val="right"/>
        <w:rPr>
          <w:rFonts w:ascii="Times New Roman" w:hAnsi="Times New Roman" w:eastAsia="仿宋_GB2312" w:cs="Times New Roman"/>
          <w:b w:val="0"/>
          <w:bCs w:val="0"/>
          <w:color w:val="auto"/>
          <w:sz w:val="32"/>
          <w:szCs w:val="32"/>
        </w:rPr>
      </w:pPr>
      <w:bookmarkStart w:id="0" w:name="Content"/>
      <w:r>
        <w:rPr>
          <w:rFonts w:ascii="Times New Roman" w:hAnsi="Times New Roman" w:eastAsia="仿宋_GB2312" w:cs="Times New Roman"/>
          <w:b w:val="0"/>
          <w:bCs w:val="0"/>
          <w:i w:val="0"/>
          <w:iCs w:val="0"/>
          <w:caps w:val="0"/>
          <w:color w:val="auto"/>
          <w:spacing w:val="0"/>
          <w:kern w:val="2"/>
          <w:sz w:val="32"/>
          <w:szCs w:val="32"/>
          <w:shd w:val="clear" w:color="auto" w:fill="auto"/>
          <w:lang w:val="en-US" w:eastAsia="zh-CN" w:bidi="ar"/>
        </w:rPr>
        <w:t>穗环管影</w:t>
      </w:r>
      <w:r>
        <w:rPr>
          <w:rFonts w:hint="eastAsia" w:eastAsia="仿宋_GB2312" w:cs="Times New Roman"/>
          <w:b w:val="0"/>
          <w:bCs w:val="0"/>
          <w:i w:val="0"/>
          <w:iCs w:val="0"/>
          <w:caps w:val="0"/>
          <w:color w:val="auto"/>
          <w:spacing w:val="0"/>
          <w:kern w:val="2"/>
          <w:sz w:val="32"/>
          <w:szCs w:val="32"/>
          <w:shd w:val="clear" w:color="auto" w:fill="auto"/>
          <w:lang w:val="en-US" w:eastAsia="zh-CN" w:bidi="ar"/>
        </w:rPr>
        <w:t>（番）</w:t>
      </w:r>
      <w:r>
        <w:rPr>
          <w:rFonts w:ascii="Times New Roman" w:hAnsi="Times New Roman" w:eastAsia="仿宋_GB2312" w:cs="Times New Roman"/>
          <w:b w:val="0"/>
          <w:bCs w:val="0"/>
          <w:i w:val="0"/>
          <w:iCs w:val="0"/>
          <w:caps w:val="0"/>
          <w:color w:val="auto"/>
          <w:spacing w:val="0"/>
          <w:kern w:val="2"/>
          <w:sz w:val="32"/>
          <w:szCs w:val="32"/>
          <w:shd w:val="clear" w:color="auto" w:fill="auto"/>
          <w:lang w:val="en-US" w:eastAsia="zh-CN" w:bidi="ar"/>
        </w:rPr>
        <w:t>〔202</w:t>
      </w:r>
      <w:r>
        <w:rPr>
          <w:rFonts w:hint="eastAsia" w:eastAsia="仿宋_GB2312" w:cs="Times New Roman"/>
          <w:b w:val="0"/>
          <w:bCs w:val="0"/>
          <w:i w:val="0"/>
          <w:iCs w:val="0"/>
          <w:caps w:val="0"/>
          <w:color w:val="auto"/>
          <w:spacing w:val="0"/>
          <w:kern w:val="2"/>
          <w:sz w:val="32"/>
          <w:szCs w:val="32"/>
          <w:shd w:val="clear" w:color="auto" w:fill="auto"/>
          <w:lang w:val="en-US" w:eastAsia="zh-CN" w:bidi="ar"/>
        </w:rPr>
        <w:t>5</w:t>
      </w:r>
      <w:r>
        <w:rPr>
          <w:rFonts w:ascii="Times New Roman" w:hAnsi="Times New Roman" w:eastAsia="仿宋_GB2312" w:cs="Times New Roman"/>
          <w:b w:val="0"/>
          <w:bCs w:val="0"/>
          <w:i w:val="0"/>
          <w:iCs w:val="0"/>
          <w:caps w:val="0"/>
          <w:color w:val="auto"/>
          <w:spacing w:val="0"/>
          <w:kern w:val="2"/>
          <w:sz w:val="32"/>
          <w:szCs w:val="32"/>
          <w:shd w:val="clear" w:color="auto" w:fill="auto"/>
          <w:lang w:val="en-US" w:eastAsia="zh-CN" w:bidi="ar"/>
        </w:rPr>
        <w:t>〕</w:t>
      </w:r>
      <w:r>
        <w:rPr>
          <w:rFonts w:hint="eastAsia" w:eastAsia="仿宋_GB2312" w:cs="Times New Roman"/>
          <w:b w:val="0"/>
          <w:bCs w:val="0"/>
          <w:i w:val="0"/>
          <w:iCs w:val="0"/>
          <w:caps w:val="0"/>
          <w:color w:val="auto"/>
          <w:spacing w:val="0"/>
          <w:kern w:val="2"/>
          <w:sz w:val="32"/>
          <w:szCs w:val="32"/>
          <w:shd w:val="clear" w:color="auto" w:fill="auto"/>
          <w:lang w:val="en-US" w:eastAsia="zh-CN" w:bidi="ar"/>
        </w:rPr>
        <w:t>140</w:t>
      </w:r>
      <w:r>
        <w:rPr>
          <w:rFonts w:ascii="Times New Roman" w:hAnsi="Times New Roman" w:eastAsia="仿宋_GB2312" w:cs="Times New Roman"/>
          <w:b w:val="0"/>
          <w:bCs w:val="0"/>
          <w:i w:val="0"/>
          <w:iCs w:val="0"/>
          <w:caps w:val="0"/>
          <w:color w:val="auto"/>
          <w:spacing w:val="0"/>
          <w:kern w:val="2"/>
          <w:sz w:val="32"/>
          <w:szCs w:val="32"/>
          <w:shd w:val="clear" w:color="auto" w:fill="auto"/>
          <w:lang w:val="en-US" w:eastAsia="zh-CN" w:bidi="ar"/>
        </w:rPr>
        <w:t>号</w:t>
      </w:r>
    </w:p>
    <w:p w14:paraId="2349E7F5">
      <w:pPr>
        <w:spacing w:line="590" w:lineRule="exact"/>
        <w:jc w:val="right"/>
        <w:rPr>
          <w:rFonts w:hint="default" w:ascii="Times New Roman" w:hAnsi="Times New Roman" w:eastAsia="仿宋_GB2312" w:cs="Times New Roman"/>
          <w:b/>
          <w:bCs/>
          <w:color w:val="auto"/>
          <w:sz w:val="32"/>
          <w:szCs w:val="32"/>
        </w:rPr>
      </w:pPr>
    </w:p>
    <w:p w14:paraId="2A08A4C9">
      <w:pPr>
        <w:spacing w:line="590" w:lineRule="exact"/>
        <w:jc w:val="right"/>
        <w:rPr>
          <w:rFonts w:hint="default" w:ascii="Times New Roman" w:hAnsi="Times New Roman" w:eastAsia="仿宋_GB2312" w:cs="Times New Roman"/>
          <w:b/>
          <w:bCs/>
          <w:color w:val="auto"/>
          <w:sz w:val="32"/>
          <w:szCs w:val="32"/>
        </w:rPr>
      </w:pPr>
    </w:p>
    <w:p w14:paraId="386C88E0">
      <w:pPr>
        <w:keepNext w:val="0"/>
        <w:keepLines w:val="0"/>
        <w:pageBreakBefore w:val="0"/>
        <w:kinsoku/>
        <w:overflowPunct/>
        <w:topLinePunct w:val="0"/>
        <w:autoSpaceDE/>
        <w:autoSpaceDN/>
        <w:bidi w:val="0"/>
        <w:spacing w:line="560" w:lineRule="exact"/>
        <w:jc w:val="center"/>
        <w:textAlignment w:val="auto"/>
        <w:rPr>
          <w:rFonts w:hint="eastAsia" w:ascii="方正小标宋简体" w:eastAsia="方正小标宋简体"/>
          <w:color w:val="auto"/>
          <w:sz w:val="44"/>
          <w:szCs w:val="44"/>
        </w:rPr>
      </w:pPr>
      <w:r>
        <w:rPr>
          <w:rFonts w:hint="eastAsia" w:ascii="方正小标宋简体" w:eastAsia="方正小标宋简体"/>
          <w:color w:val="auto"/>
          <w:sz w:val="44"/>
          <w:szCs w:val="44"/>
        </w:rPr>
        <w:t>广州市生态环境局关于广州合适包装制品有限公司年产吸塑包装制品330吨建设项目</w:t>
      </w:r>
    </w:p>
    <w:p w14:paraId="03173BE7">
      <w:pPr>
        <w:keepNext w:val="0"/>
        <w:keepLines w:val="0"/>
        <w:pageBreakBefore w:val="0"/>
        <w:kinsoku/>
        <w:overflowPunct/>
        <w:topLinePunct w:val="0"/>
        <w:autoSpaceDE/>
        <w:autoSpaceDN/>
        <w:bidi w:val="0"/>
        <w:spacing w:line="560" w:lineRule="exact"/>
        <w:jc w:val="center"/>
        <w:textAlignment w:val="auto"/>
        <w:rPr>
          <w:rFonts w:ascii="方正小标宋简体" w:eastAsia="方正小标宋简体"/>
          <w:color w:val="auto"/>
          <w:sz w:val="44"/>
          <w:szCs w:val="44"/>
        </w:rPr>
      </w:pPr>
      <w:r>
        <w:rPr>
          <w:rFonts w:hint="eastAsia" w:ascii="方正小标宋简体" w:eastAsia="方正小标宋简体"/>
          <w:color w:val="auto"/>
          <w:sz w:val="44"/>
          <w:szCs w:val="44"/>
        </w:rPr>
        <w:t>环境影响报告表的批复</w:t>
      </w:r>
    </w:p>
    <w:p w14:paraId="0A745306">
      <w:pPr>
        <w:spacing w:line="590" w:lineRule="exact"/>
        <w:ind w:firstLine="643" w:firstLineChars="200"/>
        <w:jc w:val="center"/>
        <w:rPr>
          <w:rFonts w:hint="eastAsia" w:ascii="Times New Roman" w:hAnsi="Times New Roman" w:eastAsia="仿宋_GB2312" w:cs="Times New Roman"/>
          <w:b/>
          <w:bCs/>
          <w:color w:val="auto"/>
          <w:sz w:val="32"/>
          <w:szCs w:val="32"/>
          <w:lang w:eastAsia="zh-CN"/>
        </w:rPr>
      </w:pPr>
    </w:p>
    <w:p w14:paraId="35A7E3D5">
      <w:pPr>
        <w:keepNext w:val="0"/>
        <w:keepLines w:val="0"/>
        <w:pageBreakBefore w:val="0"/>
        <w:widowControl w:val="0"/>
        <w:kinsoku/>
        <w:wordWrap/>
        <w:overflowPunct/>
        <w:topLinePunct w:val="0"/>
        <w:bidi w:val="0"/>
        <w:snapToGrid w:val="0"/>
        <w:spacing w:line="600" w:lineRule="exact"/>
        <w:jc w:val="left"/>
        <w:textAlignment w:val="auto"/>
        <w:rPr>
          <w:rFonts w:hint="default" w:ascii="Times New Roman" w:hAnsi="Times New Roman" w:eastAsia="仿宋_GB2312" w:cs="Times New Roman"/>
          <w:b w:val="0"/>
          <w:bCs w:val="0"/>
          <w:color w:val="auto"/>
          <w:sz w:val="32"/>
          <w:szCs w:val="32"/>
        </w:rPr>
      </w:pPr>
      <w:r>
        <w:rPr>
          <w:rFonts w:hint="eastAsia" w:ascii="仿宋_GB2312" w:eastAsia="仿宋_GB2312"/>
          <w:color w:val="auto"/>
          <w:sz w:val="32"/>
          <w:szCs w:val="32"/>
        </w:rPr>
        <w:t>广州合适包装制品有限公司（91440101797360272Y）</w:t>
      </w:r>
      <w:r>
        <w:rPr>
          <w:rFonts w:hint="default" w:ascii="Times New Roman" w:hAnsi="Times New Roman" w:eastAsia="仿宋_GB2312" w:cs="Times New Roman"/>
          <w:b w:val="0"/>
          <w:bCs w:val="0"/>
          <w:color w:val="auto"/>
          <w:sz w:val="32"/>
          <w:szCs w:val="32"/>
        </w:rPr>
        <w:t>：</w:t>
      </w:r>
    </w:p>
    <w:p w14:paraId="1A4C06CF">
      <w:pPr>
        <w:keepNext w:val="0"/>
        <w:keepLines w:val="0"/>
        <w:pageBreakBefore w:val="0"/>
        <w:widowControl w:val="0"/>
        <w:kinsoku/>
        <w:wordWrap/>
        <w:overflowPunct/>
        <w:topLinePunct w:val="0"/>
        <w:bidi w:val="0"/>
        <w:spacing w:line="600" w:lineRule="exact"/>
        <w:textAlignment w:val="auto"/>
        <w:rPr>
          <w:rFonts w:hint="default" w:ascii="Times New Roman" w:hAnsi="Times New Roman" w:eastAsia="仿宋_GB2312" w:cs="Times New Roman"/>
          <w:b w:val="0"/>
          <w:bCs w:val="0"/>
          <w:color w:val="auto"/>
          <w:sz w:val="32"/>
          <w:szCs w:val="32"/>
        </w:rPr>
      </w:pPr>
      <w:r>
        <w:rPr>
          <w:rFonts w:hint="default" w:ascii="Times New Roman" w:hAnsi="Times New Roman" w:eastAsia="仿宋_GB2312" w:cs="Times New Roman"/>
          <w:b w:val="0"/>
          <w:bCs w:val="0"/>
          <w:color w:val="auto"/>
          <w:sz w:val="32"/>
          <w:szCs w:val="32"/>
        </w:rPr>
        <w:t xml:space="preserve">    你公司报批的《</w:t>
      </w:r>
      <w:r>
        <w:rPr>
          <w:rFonts w:hint="eastAsia" w:ascii="仿宋_GB2312" w:eastAsia="仿宋_GB2312"/>
          <w:color w:val="auto"/>
          <w:sz w:val="32"/>
          <w:szCs w:val="32"/>
        </w:rPr>
        <w:t>广州合适包装制品有限公司年产吸塑包装制品330吨建设项目环境影响报告表</w:t>
      </w:r>
      <w:r>
        <w:rPr>
          <w:rFonts w:hint="default" w:ascii="Times New Roman" w:hAnsi="Times New Roman" w:eastAsia="仿宋_GB2312" w:cs="Times New Roman"/>
          <w:b w:val="0"/>
          <w:bCs w:val="0"/>
          <w:color w:val="auto"/>
          <w:sz w:val="32"/>
          <w:szCs w:val="32"/>
        </w:rPr>
        <w:t>》（以下简称</w:t>
      </w:r>
      <w:r>
        <w:rPr>
          <w:rFonts w:hint="eastAsia" w:eastAsia="仿宋_GB2312" w:cs="Times New Roman"/>
          <w:b w:val="0"/>
          <w:bCs w:val="0"/>
          <w:color w:val="auto"/>
          <w:sz w:val="32"/>
          <w:szCs w:val="32"/>
          <w:lang w:eastAsia="zh-CN"/>
        </w:rPr>
        <w:t>《报告表》</w:t>
      </w:r>
      <w:r>
        <w:rPr>
          <w:rFonts w:hint="default" w:ascii="Times New Roman" w:hAnsi="Times New Roman" w:eastAsia="仿宋_GB2312" w:cs="Times New Roman"/>
          <w:b w:val="0"/>
          <w:bCs w:val="0"/>
          <w:color w:val="auto"/>
          <w:sz w:val="32"/>
          <w:szCs w:val="32"/>
        </w:rPr>
        <w:t>）及相关资料收悉。经研究，批复如下：</w:t>
      </w:r>
    </w:p>
    <w:p w14:paraId="5278DA66">
      <w:pPr>
        <w:keepNext w:val="0"/>
        <w:keepLines w:val="0"/>
        <w:pageBreakBefore w:val="0"/>
        <w:widowControl w:val="0"/>
        <w:kinsoku/>
        <w:wordWrap/>
        <w:overflowPunct/>
        <w:topLinePunct w:val="0"/>
        <w:bidi w:val="0"/>
        <w:spacing w:line="600" w:lineRule="exact"/>
        <w:ind w:firstLine="972" w:firstLineChars="304"/>
        <w:textAlignment w:val="auto"/>
        <w:rPr>
          <w:rFonts w:hint="eastAsia" w:ascii="Times New Roman" w:hAnsi="Times New Roman" w:eastAsia="仿宋_GB2312" w:cs="Times New Roman"/>
          <w:b w:val="0"/>
          <w:bCs w:val="0"/>
          <w:color w:val="auto"/>
          <w:kern w:val="0"/>
          <w:sz w:val="32"/>
          <w:szCs w:val="32"/>
          <w:lang w:eastAsia="zh-CN"/>
        </w:rPr>
      </w:pPr>
      <w:r>
        <w:rPr>
          <w:rFonts w:hint="default" w:ascii="Times New Roman" w:hAnsi="Times New Roman" w:eastAsia="仿宋_GB2312" w:cs="Times New Roman"/>
          <w:b w:val="0"/>
          <w:bCs w:val="0"/>
          <w:color w:val="auto"/>
          <w:sz w:val="32"/>
          <w:szCs w:val="32"/>
        </w:rPr>
        <w:t>一、广州合适包装制品有限公司年产吸塑包装制品330吨建设项目（以下简称“该项目”）位于广州市番禺区桥南街草河村德宁路南四巷2号101，申报内容为从事吸塑托盘制造，年产吸塑托盘330吨。该项目占地面积2000平方米，总建筑面积1700平方米，租用1幢1层工业厂房进行建设；主要设备有吸塑机 8 台、裁断机10台、冷却机8台、空压机3台等；员工20名，内部不安排食宿。该项目吸塑</w:t>
      </w:r>
      <w:r>
        <w:rPr>
          <w:rFonts w:hint="eastAsia" w:eastAsia="仿宋_GB2312" w:cs="Times New Roman"/>
          <w:b w:val="0"/>
          <w:bCs w:val="0"/>
          <w:color w:val="auto"/>
          <w:sz w:val="32"/>
          <w:szCs w:val="32"/>
          <w:lang w:val="en-US" w:eastAsia="zh-CN"/>
        </w:rPr>
        <w:t>仅</w:t>
      </w:r>
      <w:r>
        <w:rPr>
          <w:rFonts w:hint="default" w:ascii="Times New Roman" w:hAnsi="Times New Roman" w:eastAsia="仿宋_GB2312" w:cs="Times New Roman"/>
          <w:b w:val="0"/>
          <w:bCs w:val="0"/>
          <w:color w:val="auto"/>
          <w:sz w:val="32"/>
          <w:szCs w:val="32"/>
        </w:rPr>
        <w:t>使用PP片材，不使用再生塑料作为原料。</w:t>
      </w:r>
    </w:p>
    <w:p w14:paraId="5934E4CC">
      <w:pPr>
        <w:keepNext w:val="0"/>
        <w:keepLines w:val="0"/>
        <w:pageBreakBefore w:val="0"/>
        <w:widowControl w:val="0"/>
        <w:kinsoku/>
        <w:wordWrap/>
        <w:overflowPunct/>
        <w:topLinePunct w:val="0"/>
        <w:bidi w:val="0"/>
        <w:snapToGrid w:val="0"/>
        <w:spacing w:line="600" w:lineRule="exact"/>
        <w:ind w:firstLine="640" w:firstLineChars="200"/>
        <w:textAlignment w:val="auto"/>
        <w:rPr>
          <w:rFonts w:hint="default" w:ascii="Times New Roman" w:hAnsi="Times New Roman" w:eastAsia="仿宋_GB2312" w:cs="Times New Roman"/>
          <w:b w:val="0"/>
          <w:bCs w:val="0"/>
          <w:color w:val="auto"/>
          <w:sz w:val="32"/>
          <w:szCs w:val="32"/>
        </w:rPr>
      </w:pPr>
      <w:r>
        <w:rPr>
          <w:rFonts w:hint="eastAsia" w:eastAsia="仿宋_GB2312" w:cs="Times New Roman"/>
          <w:b w:val="0"/>
          <w:bCs w:val="0"/>
          <w:color w:val="auto"/>
          <w:sz w:val="32"/>
          <w:szCs w:val="32"/>
          <w:lang w:eastAsia="zh-CN"/>
        </w:rPr>
        <w:t>《报告表》</w:t>
      </w:r>
      <w:r>
        <w:rPr>
          <w:rFonts w:hint="default" w:ascii="Times New Roman" w:hAnsi="Times New Roman" w:eastAsia="仿宋_GB2312" w:cs="Times New Roman"/>
          <w:b w:val="0"/>
          <w:bCs w:val="0"/>
          <w:color w:val="auto"/>
          <w:sz w:val="32"/>
          <w:szCs w:val="32"/>
        </w:rPr>
        <w:t>评价结论认为，在全面落实</w:t>
      </w:r>
      <w:r>
        <w:rPr>
          <w:rFonts w:hint="eastAsia" w:eastAsia="仿宋_GB2312" w:cs="Times New Roman"/>
          <w:b w:val="0"/>
          <w:bCs w:val="0"/>
          <w:color w:val="auto"/>
          <w:sz w:val="32"/>
          <w:szCs w:val="32"/>
          <w:lang w:eastAsia="zh-CN"/>
        </w:rPr>
        <w:t>《报告表》</w:t>
      </w:r>
      <w:r>
        <w:rPr>
          <w:rFonts w:hint="default" w:ascii="Times New Roman" w:hAnsi="Times New Roman" w:eastAsia="仿宋_GB2312" w:cs="Times New Roman"/>
          <w:b w:val="0"/>
          <w:bCs w:val="0"/>
          <w:color w:val="auto"/>
          <w:sz w:val="32"/>
          <w:szCs w:val="32"/>
        </w:rPr>
        <w:t>提出的各项</w:t>
      </w:r>
      <w:r>
        <w:rPr>
          <w:rFonts w:hint="default" w:ascii="Times New Roman" w:hAnsi="Times New Roman" w:eastAsia="仿宋_GB2312" w:cs="Times New Roman"/>
          <w:b w:val="0"/>
          <w:bCs w:val="0"/>
          <w:color w:val="auto"/>
          <w:sz w:val="32"/>
          <w:szCs w:val="32"/>
          <w:lang w:eastAsia="zh-CN"/>
        </w:rPr>
        <w:t>生态</w:t>
      </w:r>
      <w:r>
        <w:rPr>
          <w:rFonts w:hint="default" w:ascii="Times New Roman" w:hAnsi="Times New Roman" w:eastAsia="仿宋_GB2312" w:cs="Times New Roman"/>
          <w:b w:val="0"/>
          <w:bCs w:val="0"/>
          <w:color w:val="auto"/>
          <w:sz w:val="32"/>
          <w:szCs w:val="32"/>
        </w:rPr>
        <w:t>环境保护措施和环境风险防范措施的前提下，该项目建设和运行过程中产生的不良环境影响能够得到有效控制，从环境保护角度，项目建设可行。经审查，我局同意</w:t>
      </w:r>
      <w:r>
        <w:rPr>
          <w:rFonts w:hint="eastAsia" w:eastAsia="仿宋_GB2312" w:cs="Times New Roman"/>
          <w:b w:val="0"/>
          <w:bCs w:val="0"/>
          <w:color w:val="auto"/>
          <w:sz w:val="32"/>
          <w:szCs w:val="32"/>
          <w:lang w:eastAsia="zh-CN"/>
        </w:rPr>
        <w:t>《报告表》</w:t>
      </w:r>
      <w:r>
        <w:rPr>
          <w:rFonts w:hint="default" w:ascii="Times New Roman" w:hAnsi="Times New Roman" w:eastAsia="仿宋_GB2312" w:cs="Times New Roman"/>
          <w:b w:val="0"/>
          <w:bCs w:val="0"/>
          <w:color w:val="auto"/>
          <w:sz w:val="32"/>
          <w:szCs w:val="32"/>
        </w:rPr>
        <w:t xml:space="preserve">的评价结论。 </w:t>
      </w:r>
    </w:p>
    <w:p w14:paraId="1FF71938">
      <w:pPr>
        <w:keepNext w:val="0"/>
        <w:keepLines w:val="0"/>
        <w:pageBreakBefore w:val="0"/>
        <w:widowControl w:val="0"/>
        <w:kinsoku/>
        <w:wordWrap/>
        <w:overflowPunct/>
        <w:topLinePunct w:val="0"/>
        <w:bidi w:val="0"/>
        <w:spacing w:line="600" w:lineRule="exact"/>
        <w:ind w:firstLine="640" w:firstLineChars="200"/>
        <w:textAlignment w:val="auto"/>
        <w:rPr>
          <w:rFonts w:hint="default" w:ascii="Times New Roman" w:hAnsi="Times New Roman" w:eastAsia="仿宋_GB2312" w:cs="Times New Roman"/>
          <w:b w:val="0"/>
          <w:bCs w:val="0"/>
          <w:color w:val="auto"/>
          <w:sz w:val="32"/>
          <w:szCs w:val="32"/>
        </w:rPr>
      </w:pPr>
      <w:r>
        <w:rPr>
          <w:rFonts w:hint="default" w:ascii="Times New Roman" w:hAnsi="Times New Roman" w:eastAsia="仿宋_GB2312" w:cs="Times New Roman"/>
          <w:b w:val="0"/>
          <w:bCs w:val="0"/>
          <w:color w:val="auto"/>
          <w:sz w:val="32"/>
          <w:szCs w:val="32"/>
        </w:rPr>
        <w:t>二、在项目建设和运营过程中，应认真落实</w:t>
      </w:r>
      <w:r>
        <w:rPr>
          <w:rFonts w:hint="eastAsia" w:eastAsia="仿宋_GB2312" w:cs="Times New Roman"/>
          <w:b w:val="0"/>
          <w:bCs w:val="0"/>
          <w:color w:val="auto"/>
          <w:sz w:val="32"/>
          <w:szCs w:val="32"/>
          <w:lang w:eastAsia="zh-CN"/>
        </w:rPr>
        <w:t>《报告表》</w:t>
      </w:r>
      <w:r>
        <w:rPr>
          <w:rFonts w:hint="default" w:ascii="Times New Roman" w:hAnsi="Times New Roman" w:eastAsia="仿宋_GB2312" w:cs="Times New Roman"/>
          <w:b w:val="0"/>
          <w:bCs w:val="0"/>
          <w:color w:val="auto"/>
          <w:sz w:val="32"/>
          <w:szCs w:val="32"/>
        </w:rPr>
        <w:t>提出的各项环境保护对策措施，重点做好以下工作：</w:t>
      </w:r>
    </w:p>
    <w:p w14:paraId="6F7AA324">
      <w:pPr>
        <w:keepNext w:val="0"/>
        <w:keepLines w:val="0"/>
        <w:pageBreakBefore w:val="0"/>
        <w:kinsoku/>
        <w:overflowPunct/>
        <w:topLinePunct w:val="0"/>
        <w:autoSpaceDE/>
        <w:autoSpaceDN/>
        <w:bidi w:val="0"/>
        <w:spacing w:line="560" w:lineRule="exact"/>
        <w:ind w:firstLine="640" w:firstLineChars="200"/>
        <w:textAlignment w:val="auto"/>
        <w:rPr>
          <w:rFonts w:ascii="仿宋_GB2312" w:eastAsia="仿宋_GB2312"/>
          <w:color w:val="auto"/>
          <w:sz w:val="32"/>
          <w:szCs w:val="32"/>
        </w:rPr>
      </w:pPr>
      <w:r>
        <w:rPr>
          <w:rFonts w:hint="default" w:ascii="Times New Roman" w:hAnsi="Times New Roman" w:eastAsia="仿宋_GB2312" w:cs="Times New Roman"/>
          <w:b w:val="0"/>
          <w:bCs w:val="0"/>
          <w:color w:val="auto"/>
          <w:sz w:val="32"/>
          <w:szCs w:val="32"/>
        </w:rPr>
        <w:t>（</w:t>
      </w:r>
      <w:r>
        <w:rPr>
          <w:rFonts w:hint="default" w:ascii="Times New Roman" w:hAnsi="Times New Roman" w:eastAsia="仿宋_GB2312" w:cs="Times New Roman"/>
          <w:b w:val="0"/>
          <w:bCs w:val="0"/>
          <w:color w:val="auto"/>
          <w:sz w:val="32"/>
          <w:szCs w:val="32"/>
          <w:lang w:eastAsia="zh-CN"/>
        </w:rPr>
        <w:t>一</w:t>
      </w:r>
      <w:r>
        <w:rPr>
          <w:rFonts w:hint="default" w:ascii="Times New Roman" w:hAnsi="Times New Roman" w:eastAsia="仿宋_GB2312" w:cs="Times New Roman"/>
          <w:b w:val="0"/>
          <w:bCs w:val="0"/>
          <w:color w:val="auto"/>
          <w:sz w:val="32"/>
          <w:szCs w:val="32"/>
        </w:rPr>
        <w:t>）</w:t>
      </w:r>
      <w:r>
        <w:rPr>
          <w:rFonts w:hint="eastAsia" w:eastAsia="仿宋_GB2312" w:cs="Times New Roman"/>
          <w:b w:val="0"/>
          <w:bCs w:val="0"/>
          <w:color w:val="auto"/>
          <w:sz w:val="32"/>
          <w:szCs w:val="32"/>
          <w:lang w:val="en-US" w:eastAsia="zh-CN"/>
        </w:rPr>
        <w:t>吸塑</w:t>
      </w:r>
      <w:r>
        <w:rPr>
          <w:rFonts w:hint="default" w:ascii="Times New Roman" w:hAnsi="Times New Roman" w:eastAsia="仿宋_GB2312" w:cs="Times New Roman"/>
          <w:b w:val="0"/>
          <w:bCs w:val="0"/>
          <w:color w:val="auto"/>
          <w:sz w:val="32"/>
          <w:szCs w:val="32"/>
        </w:rPr>
        <w:t>有机废气经集气罩收集至二级活性炭吸附装置处理，通过专用管道引至高空排放，排放口高度不低于15米。项目设置废气排放口1个。</w:t>
      </w:r>
      <w:r>
        <w:rPr>
          <w:rFonts w:hint="eastAsia" w:ascii="仿宋_GB2312" w:hAnsi="仿宋_GB2312" w:eastAsia="仿宋_GB2312" w:cs="仿宋_GB2312"/>
          <w:color w:val="auto"/>
          <w:sz w:val="32"/>
          <w:szCs w:val="32"/>
        </w:rPr>
        <w:t>加强</w:t>
      </w:r>
      <w:r>
        <w:rPr>
          <w:rFonts w:hint="eastAsia" w:ascii="仿宋_GB2312" w:eastAsia="仿宋_GB2312"/>
          <w:color w:val="auto"/>
          <w:sz w:val="32"/>
          <w:szCs w:val="32"/>
        </w:rPr>
        <w:t>车间边界</w:t>
      </w:r>
      <w:r>
        <w:rPr>
          <w:rFonts w:hint="eastAsia" w:ascii="仿宋_GB2312" w:hAnsi="仿宋_GB2312" w:eastAsia="仿宋_GB2312" w:cs="仿宋_GB2312"/>
          <w:color w:val="auto"/>
          <w:sz w:val="32"/>
          <w:szCs w:val="32"/>
        </w:rPr>
        <w:t>无组织</w:t>
      </w:r>
      <w:r>
        <w:rPr>
          <w:rFonts w:hint="eastAsia" w:ascii="仿宋_GB2312" w:hAnsi="仿宋_GB2312" w:eastAsia="仿宋_GB2312" w:cs="仿宋_GB2312"/>
          <w:color w:val="auto"/>
          <w:sz w:val="32"/>
          <w:szCs w:val="32"/>
          <w:lang w:eastAsia="zh-CN"/>
        </w:rPr>
        <w:t>排放</w:t>
      </w:r>
      <w:r>
        <w:rPr>
          <w:rFonts w:hint="eastAsia" w:ascii="仿宋_GB2312" w:hAnsi="仿宋_GB2312" w:eastAsia="仿宋_GB2312" w:cs="仿宋_GB2312"/>
          <w:color w:val="auto"/>
          <w:sz w:val="32"/>
          <w:szCs w:val="32"/>
        </w:rPr>
        <w:t>废气的监控，确保</w:t>
      </w:r>
      <w:r>
        <w:rPr>
          <w:rFonts w:hint="eastAsia" w:ascii="仿宋_GB2312" w:eastAsia="仿宋_GB2312"/>
          <w:color w:val="auto"/>
          <w:sz w:val="32"/>
          <w:szCs w:val="32"/>
        </w:rPr>
        <w:t>车间边界</w:t>
      </w:r>
      <w:r>
        <w:rPr>
          <w:rFonts w:hint="eastAsia" w:ascii="仿宋_GB2312" w:hAnsi="仿宋_GB2312" w:eastAsia="仿宋_GB2312" w:cs="仿宋_GB2312"/>
          <w:color w:val="auto"/>
          <w:sz w:val="32"/>
          <w:szCs w:val="32"/>
        </w:rPr>
        <w:t>无组织</w:t>
      </w:r>
      <w:r>
        <w:rPr>
          <w:rFonts w:hint="eastAsia" w:ascii="仿宋_GB2312" w:hAnsi="仿宋_GB2312" w:eastAsia="仿宋_GB2312" w:cs="仿宋_GB2312"/>
          <w:color w:val="auto"/>
          <w:sz w:val="32"/>
          <w:szCs w:val="32"/>
          <w:lang w:eastAsia="zh-CN"/>
        </w:rPr>
        <w:t>排放</w:t>
      </w:r>
      <w:r>
        <w:rPr>
          <w:rFonts w:hint="eastAsia" w:ascii="仿宋_GB2312" w:hAnsi="仿宋_GB2312" w:eastAsia="仿宋_GB2312" w:cs="仿宋_GB2312"/>
          <w:color w:val="auto"/>
          <w:sz w:val="32"/>
          <w:szCs w:val="32"/>
        </w:rPr>
        <w:t>监控点的废气达到相应标准限值的要求，监测超标时应</w:t>
      </w:r>
      <w:r>
        <w:rPr>
          <w:rFonts w:hint="eastAsia" w:ascii="仿宋_GB2312" w:hAnsi="仿宋_GB2312" w:eastAsia="仿宋_GB2312" w:cs="仿宋_GB2312"/>
          <w:color w:val="auto"/>
          <w:sz w:val="32"/>
          <w:szCs w:val="32"/>
          <w:lang w:eastAsia="zh-CN"/>
        </w:rPr>
        <w:t>加强</w:t>
      </w:r>
      <w:r>
        <w:rPr>
          <w:rFonts w:hint="eastAsia" w:ascii="仿宋_GB2312" w:hAnsi="仿宋_GB2312" w:eastAsia="仿宋_GB2312" w:cs="仿宋_GB2312"/>
          <w:color w:val="auto"/>
          <w:sz w:val="32"/>
          <w:szCs w:val="32"/>
        </w:rPr>
        <w:t>对无组织排放废气进行收集、净化处理。</w:t>
      </w:r>
    </w:p>
    <w:p w14:paraId="7386DA88">
      <w:pPr>
        <w:keepNext w:val="0"/>
        <w:keepLines w:val="0"/>
        <w:pageBreakBefore w:val="0"/>
        <w:kinsoku/>
        <w:overflowPunct/>
        <w:topLinePunct w:val="0"/>
        <w:autoSpaceDE/>
        <w:autoSpaceDN/>
        <w:bidi w:val="0"/>
        <w:spacing w:line="560" w:lineRule="exact"/>
        <w:ind w:firstLine="640" w:firstLineChars="200"/>
        <w:textAlignment w:val="auto"/>
        <w:rPr>
          <w:rFonts w:hint="eastAsia" w:ascii="仿宋_GB2312" w:eastAsia="仿宋_GB2312"/>
          <w:color w:val="auto"/>
          <w:sz w:val="32"/>
          <w:szCs w:val="32"/>
          <w:lang w:val="en-US" w:eastAsia="zh-CN"/>
        </w:rPr>
      </w:pPr>
      <w:r>
        <w:rPr>
          <w:rFonts w:hint="eastAsia" w:ascii="仿宋_GB2312" w:eastAsia="仿宋_GB2312"/>
          <w:color w:val="auto"/>
          <w:sz w:val="32"/>
          <w:szCs w:val="32"/>
          <w:lang w:val="en-US" w:eastAsia="zh-CN"/>
        </w:rPr>
        <w:t>非甲烷总烃</w:t>
      </w:r>
      <w:r>
        <w:rPr>
          <w:rFonts w:hint="eastAsia" w:ascii="仿宋_GB2312" w:eastAsia="仿宋_GB2312"/>
          <w:color w:val="auto"/>
          <w:sz w:val="32"/>
          <w:szCs w:val="32"/>
        </w:rPr>
        <w:t>排放执行《合成树脂工业污染物排放标准》（GB31572-2015）及2024年修改单表5大气污染物特别排放限值</w:t>
      </w:r>
      <w:r>
        <w:rPr>
          <w:rFonts w:hint="eastAsia" w:ascii="仿宋_GB2312" w:eastAsia="仿宋_GB2312"/>
          <w:color w:val="auto"/>
          <w:sz w:val="32"/>
          <w:szCs w:val="32"/>
          <w:lang w:eastAsia="zh-CN"/>
        </w:rPr>
        <w:t>；</w:t>
      </w:r>
      <w:r>
        <w:rPr>
          <w:rFonts w:hint="eastAsia" w:ascii="仿宋_GB2312" w:eastAsia="仿宋_GB2312"/>
          <w:color w:val="auto"/>
          <w:sz w:val="32"/>
          <w:szCs w:val="32"/>
        </w:rPr>
        <w:t>臭气浓度排放执行《恶臭污染物排放标准》（GB14554-93）表1厂界新扩改建二级标准限值和表2排放标准值；</w:t>
      </w:r>
      <w:r>
        <w:rPr>
          <w:rFonts w:hint="eastAsia" w:ascii="仿宋_GB2312" w:eastAsia="仿宋_GB2312"/>
          <w:color w:val="auto"/>
          <w:sz w:val="32"/>
          <w:szCs w:val="32"/>
          <w:lang w:val="en-US" w:eastAsia="zh-CN"/>
        </w:rPr>
        <w:t>颗粒物排放执行广东省《大气污染物排放限值》（DB 44/27-2001）第二时段无组织排放监控浓度限值；</w:t>
      </w:r>
      <w:r>
        <w:rPr>
          <w:rFonts w:hint="eastAsia" w:ascii="仿宋_GB2312" w:eastAsia="仿宋_GB2312"/>
          <w:color w:val="auto"/>
          <w:sz w:val="32"/>
          <w:szCs w:val="32"/>
        </w:rPr>
        <w:t>厂区内非甲烷总烃排放执行</w:t>
      </w:r>
      <w:r>
        <w:rPr>
          <w:rFonts w:hint="eastAsia" w:ascii="仿宋_GB2312" w:hAnsi="Times New Roman" w:eastAsia="仿宋_GB2312" w:cs="Times New Roman"/>
          <w:color w:val="auto"/>
          <w:sz w:val="32"/>
          <w:szCs w:val="32"/>
          <w:lang w:eastAsia="zh-CN"/>
        </w:rPr>
        <w:t>《挥发性有机物无组织排放控制标准》</w:t>
      </w:r>
      <w:r>
        <w:rPr>
          <w:rFonts w:hint="eastAsia" w:ascii="仿宋_GB2312" w:hAnsi="Times New Roman" w:eastAsia="仿宋_GB2312" w:cs="Times New Roman"/>
          <w:color w:val="auto"/>
          <w:sz w:val="32"/>
          <w:szCs w:val="32"/>
        </w:rPr>
        <w:t>（GB 37822-2019）表</w:t>
      </w:r>
      <w:r>
        <w:rPr>
          <w:rFonts w:hint="eastAsia" w:ascii="仿宋_GB2312" w:hAnsi="Times New Roman" w:eastAsia="仿宋_GB2312" w:cs="Times New Roman"/>
          <w:color w:val="auto"/>
          <w:sz w:val="32"/>
          <w:szCs w:val="32"/>
          <w:lang w:val="en-US" w:eastAsia="zh-CN"/>
        </w:rPr>
        <w:t>A.1特别排放限值。</w:t>
      </w:r>
    </w:p>
    <w:p w14:paraId="0189197A">
      <w:pPr>
        <w:keepNext w:val="0"/>
        <w:keepLines w:val="0"/>
        <w:pageBreakBefore w:val="0"/>
        <w:kinsoku/>
        <w:overflowPunct/>
        <w:topLinePunct w:val="0"/>
        <w:autoSpaceDE/>
        <w:autoSpaceDN/>
        <w:bidi w:val="0"/>
        <w:spacing w:line="560" w:lineRule="exact"/>
        <w:ind w:firstLine="640" w:firstLineChars="200"/>
        <w:textAlignment w:val="auto"/>
        <w:rPr>
          <w:rFonts w:hint="default" w:ascii="仿宋_GB2312" w:hAnsi="Times New Roman" w:eastAsia="仿宋_GB2312" w:cs="Times New Roman"/>
          <w:color w:val="auto"/>
          <w:sz w:val="32"/>
          <w:szCs w:val="32"/>
          <w:lang w:val="en-US" w:eastAsia="zh-CN"/>
        </w:rPr>
      </w:pPr>
      <w:r>
        <w:rPr>
          <w:rFonts w:hint="eastAsia" w:ascii="仿宋_GB2312" w:eastAsia="仿宋_GB2312"/>
          <w:color w:val="auto"/>
          <w:sz w:val="32"/>
          <w:szCs w:val="32"/>
          <w:lang w:val="en-US" w:eastAsia="zh-CN"/>
        </w:rPr>
        <w:t>（二）</w:t>
      </w:r>
      <w:r>
        <w:rPr>
          <w:rFonts w:hint="eastAsia" w:ascii="仿宋_GB2312" w:hAnsi="Times New Roman" w:eastAsia="仿宋_GB2312" w:cs="Times New Roman"/>
          <w:color w:val="auto"/>
          <w:sz w:val="32"/>
          <w:szCs w:val="32"/>
          <w:lang w:val="en-US" w:eastAsia="zh-CN"/>
        </w:rPr>
        <w:t>排水系统采用雨污分流。冷却废水不外排。生活污水经三级化粪池预处理后排入市政集污管网，送桥南净水厂集中处理。项目设置污水排放口1个。生活污水排放量不超过180t/a。项目外排废水</w:t>
      </w:r>
      <w:r>
        <w:rPr>
          <w:rFonts w:hint="default" w:ascii="仿宋_GB2312" w:hAnsi="Times New Roman" w:eastAsia="仿宋_GB2312" w:cs="Times New Roman"/>
          <w:color w:val="auto"/>
          <w:sz w:val="32"/>
          <w:szCs w:val="32"/>
          <w:lang w:val="en-US" w:eastAsia="zh-CN"/>
        </w:rPr>
        <w:t xml:space="preserve">执行广东省《水污染物排放限值》（DB44/26-2001） </w:t>
      </w:r>
      <w:r>
        <w:rPr>
          <w:rFonts w:hint="eastAsia" w:ascii="仿宋_GB2312" w:hAnsi="Times New Roman" w:eastAsia="仿宋_GB2312" w:cs="Times New Roman"/>
          <w:color w:val="auto"/>
          <w:sz w:val="32"/>
          <w:szCs w:val="32"/>
          <w:lang w:val="en-US" w:eastAsia="zh-CN"/>
        </w:rPr>
        <w:t>第二时段三级</w:t>
      </w:r>
      <w:r>
        <w:rPr>
          <w:rFonts w:hint="default" w:ascii="仿宋_GB2312" w:hAnsi="Times New Roman" w:eastAsia="仿宋_GB2312" w:cs="Times New Roman"/>
          <w:color w:val="auto"/>
          <w:sz w:val="32"/>
          <w:szCs w:val="32"/>
          <w:lang w:val="en-US" w:eastAsia="zh-CN"/>
        </w:rPr>
        <w:t>标准。</w:t>
      </w:r>
    </w:p>
    <w:p w14:paraId="67BCD35E">
      <w:pPr>
        <w:keepNext w:val="0"/>
        <w:keepLines w:val="0"/>
        <w:pageBreakBefore w:val="0"/>
        <w:kinsoku/>
        <w:overflowPunct/>
        <w:topLinePunct w:val="0"/>
        <w:autoSpaceDE/>
        <w:autoSpaceDN/>
        <w:bidi w:val="0"/>
        <w:spacing w:line="560" w:lineRule="exact"/>
        <w:ind w:firstLine="640" w:firstLineChars="200"/>
        <w:textAlignment w:val="auto"/>
        <w:rPr>
          <w:rFonts w:hint="default" w:ascii="仿宋_GB2312" w:hAnsi="Times New Roman" w:eastAsia="仿宋_GB2312" w:cs="Times New Roman"/>
          <w:color w:val="auto"/>
          <w:sz w:val="32"/>
          <w:szCs w:val="32"/>
          <w:lang w:val="en-US" w:eastAsia="zh-CN"/>
        </w:rPr>
      </w:pPr>
      <w:r>
        <w:rPr>
          <w:rFonts w:hint="default" w:ascii="仿宋_GB2312" w:hAnsi="Times New Roman" w:eastAsia="仿宋_GB2312" w:cs="Times New Roman"/>
          <w:color w:val="auto"/>
          <w:sz w:val="32"/>
          <w:szCs w:val="32"/>
          <w:lang w:val="en-US" w:eastAsia="zh-CN"/>
        </w:rPr>
        <w:t>（三）项目</w:t>
      </w:r>
      <w:r>
        <w:rPr>
          <w:rFonts w:hint="eastAsia" w:ascii="仿宋_GB2312" w:hAnsi="Times New Roman" w:eastAsia="仿宋_GB2312" w:cs="Times New Roman"/>
          <w:color w:val="auto"/>
          <w:sz w:val="32"/>
          <w:szCs w:val="32"/>
          <w:lang w:val="en-US" w:eastAsia="zh-CN"/>
        </w:rPr>
        <w:t>噪声排放执行《工业企业厂界环境噪声排放标准》（GB12348-2008）2类区限值，即：昼间≤60dB（A），夜间≤50dB（A）。</w:t>
      </w:r>
    </w:p>
    <w:p w14:paraId="3E1C7A62">
      <w:pPr>
        <w:keepNext w:val="0"/>
        <w:keepLines w:val="0"/>
        <w:pageBreakBefore w:val="0"/>
        <w:widowControl w:val="0"/>
        <w:kinsoku/>
        <w:wordWrap/>
        <w:overflowPunct/>
        <w:topLinePunct w:val="0"/>
        <w:bidi w:val="0"/>
        <w:snapToGrid w:val="0"/>
        <w:spacing w:line="600" w:lineRule="exact"/>
        <w:ind w:firstLine="640" w:firstLineChars="200"/>
        <w:textAlignment w:val="auto"/>
        <w:rPr>
          <w:rFonts w:hint="default" w:ascii="Times New Roman" w:hAnsi="Times New Roman" w:eastAsia="仿宋_GB2312" w:cs="Times New Roman"/>
          <w:b w:val="0"/>
          <w:bCs w:val="0"/>
          <w:color w:val="auto"/>
          <w:sz w:val="32"/>
          <w:szCs w:val="32"/>
        </w:rPr>
      </w:pPr>
      <w:r>
        <w:rPr>
          <w:rFonts w:hint="default" w:ascii="Times New Roman" w:hAnsi="Times New Roman" w:eastAsia="仿宋_GB2312" w:cs="Times New Roman"/>
          <w:b w:val="0"/>
          <w:bCs w:val="0"/>
          <w:color w:val="auto"/>
          <w:sz w:val="32"/>
          <w:szCs w:val="32"/>
        </w:rPr>
        <w:t>（四）</w:t>
      </w:r>
      <w:bookmarkStart w:id="1" w:name="OLE_LINK12"/>
      <w:r>
        <w:rPr>
          <w:rFonts w:hint="default" w:ascii="Times New Roman" w:hAnsi="Times New Roman" w:eastAsia="仿宋_GB2312" w:cs="Times New Roman"/>
          <w:b w:val="0"/>
          <w:bCs w:val="0"/>
          <w:color w:val="auto"/>
          <w:sz w:val="32"/>
          <w:szCs w:val="32"/>
        </w:rPr>
        <w:t>各类固体废物实行分类收集、处置。固体废物的贮存、堆放应按《危险废物贮存污染控制标准》（GB18597-2023）、《一般工业固体废物贮存和填埋污染控制标准》(GB 18599-2020)要求进行管理。危险废物应委托有资质的单位处置。</w:t>
      </w:r>
    </w:p>
    <w:bookmarkEnd w:id="1"/>
    <w:p w14:paraId="777E49A1">
      <w:pPr>
        <w:keepNext w:val="0"/>
        <w:keepLines w:val="0"/>
        <w:pageBreakBefore w:val="0"/>
        <w:widowControl w:val="0"/>
        <w:kinsoku/>
        <w:wordWrap/>
        <w:overflowPunct/>
        <w:topLinePunct w:val="0"/>
        <w:bidi w:val="0"/>
        <w:spacing w:line="600" w:lineRule="exact"/>
        <w:ind w:firstLine="640" w:firstLineChars="200"/>
        <w:textAlignment w:val="auto"/>
        <w:rPr>
          <w:rFonts w:hint="default" w:ascii="Times New Roman" w:hAnsi="Times New Roman" w:eastAsia="仿宋_GB2312" w:cs="Times New Roman"/>
          <w:b w:val="0"/>
          <w:bCs w:val="0"/>
          <w:color w:val="auto"/>
          <w:sz w:val="32"/>
          <w:szCs w:val="32"/>
        </w:rPr>
      </w:pPr>
      <w:r>
        <w:rPr>
          <w:rFonts w:hint="default" w:ascii="Times New Roman" w:hAnsi="Times New Roman" w:eastAsia="仿宋_GB2312" w:cs="Times New Roman"/>
          <w:b w:val="0"/>
          <w:bCs w:val="0"/>
          <w:color w:val="auto"/>
          <w:sz w:val="32"/>
          <w:szCs w:val="32"/>
        </w:rPr>
        <w:t>（</w:t>
      </w:r>
      <w:r>
        <w:rPr>
          <w:rFonts w:hint="default" w:ascii="Times New Roman" w:hAnsi="Times New Roman" w:eastAsia="仿宋_GB2312" w:cs="Times New Roman"/>
          <w:b w:val="0"/>
          <w:bCs w:val="0"/>
          <w:color w:val="auto"/>
          <w:sz w:val="32"/>
          <w:szCs w:val="32"/>
          <w:lang w:eastAsia="zh-CN"/>
        </w:rPr>
        <w:t>五</w:t>
      </w:r>
      <w:r>
        <w:rPr>
          <w:rFonts w:hint="default" w:ascii="Times New Roman" w:hAnsi="Times New Roman" w:eastAsia="仿宋_GB2312" w:cs="Times New Roman"/>
          <w:b w:val="0"/>
          <w:bCs w:val="0"/>
          <w:color w:val="auto"/>
          <w:sz w:val="32"/>
          <w:szCs w:val="32"/>
        </w:rPr>
        <w:t>）加强环境风险防范和应急工作</w:t>
      </w:r>
      <w:r>
        <w:rPr>
          <w:rFonts w:hint="eastAsia" w:ascii="Times New Roman" w:hAnsi="Times New Roman" w:eastAsia="仿宋_GB2312" w:cs="Times New Roman"/>
          <w:b w:val="0"/>
          <w:bCs w:val="0"/>
          <w:color w:val="auto"/>
          <w:sz w:val="32"/>
          <w:szCs w:val="32"/>
          <w:lang w:eastAsia="zh-CN"/>
        </w:rPr>
        <w:t>。</w:t>
      </w:r>
      <w:r>
        <w:rPr>
          <w:rFonts w:hint="default" w:ascii="Times New Roman" w:hAnsi="Times New Roman" w:eastAsia="仿宋_GB2312" w:cs="Times New Roman"/>
          <w:b w:val="0"/>
          <w:bCs w:val="0"/>
          <w:color w:val="auto"/>
          <w:sz w:val="32"/>
          <w:szCs w:val="32"/>
        </w:rPr>
        <w:t>建立健全环境事故应急体系，落实各项环境风险防范与应急措施，确保</w:t>
      </w:r>
      <w:r>
        <w:rPr>
          <w:rFonts w:hint="eastAsia" w:eastAsia="仿宋_GB2312" w:cs="Times New Roman"/>
          <w:b w:val="0"/>
          <w:bCs w:val="0"/>
          <w:color w:val="auto"/>
          <w:sz w:val="32"/>
          <w:szCs w:val="32"/>
          <w:lang w:eastAsia="zh-CN"/>
        </w:rPr>
        <w:t>生态</w:t>
      </w:r>
      <w:r>
        <w:rPr>
          <w:rFonts w:hint="default" w:ascii="Times New Roman" w:hAnsi="Times New Roman" w:eastAsia="仿宋_GB2312" w:cs="Times New Roman"/>
          <w:b w:val="0"/>
          <w:bCs w:val="0"/>
          <w:color w:val="auto"/>
          <w:sz w:val="32"/>
          <w:szCs w:val="32"/>
        </w:rPr>
        <w:t>环境安全。</w:t>
      </w:r>
    </w:p>
    <w:p w14:paraId="33700F99">
      <w:pPr>
        <w:keepNext w:val="0"/>
        <w:keepLines w:val="0"/>
        <w:pageBreakBefore w:val="0"/>
        <w:widowControl w:val="0"/>
        <w:kinsoku/>
        <w:wordWrap/>
        <w:overflowPunct/>
        <w:topLinePunct w:val="0"/>
        <w:bidi w:val="0"/>
        <w:spacing w:line="600" w:lineRule="exact"/>
        <w:ind w:firstLine="640" w:firstLineChars="200"/>
        <w:textAlignment w:val="auto"/>
        <w:rPr>
          <w:rFonts w:hint="default" w:ascii="Times New Roman" w:hAnsi="Times New Roman" w:eastAsia="仿宋_GB2312" w:cs="Times New Roman"/>
          <w:b w:val="0"/>
          <w:bCs w:val="0"/>
          <w:color w:val="auto"/>
          <w:sz w:val="32"/>
          <w:szCs w:val="32"/>
        </w:rPr>
      </w:pPr>
      <w:r>
        <w:rPr>
          <w:rFonts w:hint="default" w:ascii="Times New Roman" w:hAnsi="Times New Roman" w:eastAsia="仿宋_GB2312" w:cs="Times New Roman"/>
          <w:b w:val="0"/>
          <w:bCs w:val="0"/>
          <w:color w:val="auto"/>
          <w:sz w:val="32"/>
          <w:szCs w:val="32"/>
          <w:lang w:eastAsia="zh-CN"/>
        </w:rPr>
        <w:t>（六）</w:t>
      </w:r>
      <w:r>
        <w:rPr>
          <w:rFonts w:hint="default" w:ascii="Times New Roman" w:hAnsi="Times New Roman" w:eastAsia="仿宋_GB2312" w:cs="Times New Roman"/>
          <w:b w:val="0"/>
          <w:bCs w:val="0"/>
          <w:color w:val="auto"/>
          <w:sz w:val="32"/>
          <w:szCs w:val="32"/>
        </w:rPr>
        <w:t>加强运营期</w:t>
      </w:r>
      <w:r>
        <w:rPr>
          <w:rFonts w:hint="default" w:ascii="Times New Roman" w:hAnsi="Times New Roman" w:eastAsia="仿宋_GB2312" w:cs="Times New Roman"/>
          <w:b w:val="0"/>
          <w:bCs w:val="0"/>
          <w:color w:val="auto"/>
          <w:sz w:val="32"/>
          <w:szCs w:val="32"/>
          <w:lang w:eastAsia="zh-CN"/>
        </w:rPr>
        <w:t>环境保护</w:t>
      </w:r>
      <w:r>
        <w:rPr>
          <w:rFonts w:hint="default" w:ascii="Times New Roman" w:hAnsi="Times New Roman" w:eastAsia="仿宋_GB2312" w:cs="Times New Roman"/>
          <w:b w:val="0"/>
          <w:bCs w:val="0"/>
          <w:color w:val="auto"/>
          <w:sz w:val="32"/>
          <w:szCs w:val="32"/>
        </w:rPr>
        <w:t>管理，</w:t>
      </w:r>
      <w:r>
        <w:rPr>
          <w:rFonts w:hint="default" w:ascii="Times New Roman" w:hAnsi="Times New Roman" w:eastAsia="仿宋_GB2312" w:cs="Times New Roman"/>
          <w:b w:val="0"/>
          <w:bCs w:val="0"/>
          <w:color w:val="auto"/>
          <w:sz w:val="32"/>
          <w:szCs w:val="32"/>
          <w:lang w:eastAsia="zh-CN"/>
        </w:rPr>
        <w:t>确保各项污染物稳定达标排放，并</w:t>
      </w:r>
      <w:bookmarkStart w:id="2" w:name="OLE_LINK15"/>
      <w:r>
        <w:rPr>
          <w:rFonts w:hint="eastAsia" w:eastAsia="仿宋_GB2312" w:cs="Times New Roman"/>
          <w:b w:val="0"/>
          <w:bCs w:val="0"/>
          <w:color w:val="auto"/>
          <w:sz w:val="32"/>
          <w:szCs w:val="32"/>
          <w:lang w:eastAsia="zh-CN"/>
        </w:rPr>
        <w:t>按规定</w:t>
      </w:r>
      <w:r>
        <w:rPr>
          <w:rFonts w:hint="default" w:ascii="Times New Roman" w:hAnsi="Times New Roman" w:eastAsia="仿宋_GB2312" w:cs="Times New Roman"/>
          <w:b w:val="0"/>
          <w:bCs w:val="0"/>
          <w:color w:val="auto"/>
          <w:kern w:val="0"/>
          <w:sz w:val="32"/>
          <w:szCs w:val="32"/>
        </w:rPr>
        <w:t>做好污染物排放</w:t>
      </w:r>
      <w:r>
        <w:rPr>
          <w:rFonts w:hint="default" w:ascii="Times New Roman" w:hAnsi="Times New Roman" w:eastAsia="仿宋_GB2312" w:cs="Times New Roman"/>
          <w:b w:val="0"/>
          <w:bCs w:val="0"/>
          <w:color w:val="auto"/>
          <w:kern w:val="0"/>
          <w:sz w:val="32"/>
          <w:szCs w:val="32"/>
          <w:lang w:eastAsia="zh-CN"/>
        </w:rPr>
        <w:t>的自行</w:t>
      </w:r>
      <w:r>
        <w:rPr>
          <w:rFonts w:hint="default" w:ascii="Times New Roman" w:hAnsi="Times New Roman" w:eastAsia="仿宋_GB2312" w:cs="Times New Roman"/>
          <w:b w:val="0"/>
          <w:bCs w:val="0"/>
          <w:color w:val="auto"/>
          <w:kern w:val="0"/>
          <w:sz w:val="32"/>
          <w:szCs w:val="32"/>
        </w:rPr>
        <w:t>监测</w:t>
      </w:r>
      <w:r>
        <w:rPr>
          <w:rFonts w:hint="default" w:ascii="Times New Roman" w:hAnsi="Times New Roman" w:eastAsia="仿宋_GB2312" w:cs="Times New Roman"/>
          <w:b w:val="0"/>
          <w:bCs w:val="0"/>
          <w:color w:val="auto"/>
          <w:kern w:val="0"/>
          <w:sz w:val="32"/>
          <w:szCs w:val="32"/>
          <w:lang w:eastAsia="zh-CN"/>
        </w:rPr>
        <w:t>及信息公开工作</w:t>
      </w:r>
      <w:bookmarkEnd w:id="2"/>
      <w:r>
        <w:rPr>
          <w:rFonts w:hint="default" w:ascii="Times New Roman" w:hAnsi="Times New Roman" w:eastAsia="仿宋_GB2312" w:cs="Times New Roman"/>
          <w:b w:val="0"/>
          <w:bCs w:val="0"/>
          <w:color w:val="auto"/>
          <w:kern w:val="0"/>
          <w:sz w:val="32"/>
          <w:szCs w:val="32"/>
        </w:rPr>
        <w:t>。</w:t>
      </w:r>
    </w:p>
    <w:p w14:paraId="1616DBDC">
      <w:pPr>
        <w:keepNext w:val="0"/>
        <w:keepLines w:val="0"/>
        <w:pageBreakBefore w:val="0"/>
        <w:widowControl w:val="0"/>
        <w:kinsoku/>
        <w:wordWrap/>
        <w:overflowPunct/>
        <w:topLinePunct w:val="0"/>
        <w:autoSpaceDE w:val="0"/>
        <w:autoSpaceDN w:val="0"/>
        <w:bidi w:val="0"/>
        <w:adjustRightInd w:val="0"/>
        <w:snapToGrid w:val="0"/>
        <w:spacing w:line="600" w:lineRule="exact"/>
        <w:ind w:firstLine="640" w:firstLineChars="200"/>
        <w:textAlignment w:val="auto"/>
        <w:rPr>
          <w:rFonts w:hint="eastAsia" w:ascii="Times New Roman" w:hAnsi="Times New Roman" w:eastAsia="仿宋_GB2312" w:cs="Times New Roman"/>
          <w:b w:val="0"/>
          <w:bCs w:val="0"/>
          <w:color w:val="auto"/>
          <w:sz w:val="32"/>
          <w:szCs w:val="32"/>
          <w:lang w:eastAsia="zh-CN"/>
        </w:rPr>
      </w:pPr>
      <w:r>
        <w:rPr>
          <w:rFonts w:hint="default" w:ascii="Times New Roman" w:hAnsi="Times New Roman" w:eastAsia="仿宋_GB2312" w:cs="Times New Roman"/>
          <w:b w:val="0"/>
          <w:bCs w:val="0"/>
          <w:color w:val="auto"/>
          <w:sz w:val="32"/>
          <w:szCs w:val="32"/>
        </w:rPr>
        <w:t>（七）该项目建成后新增</w:t>
      </w:r>
      <w:r>
        <w:rPr>
          <w:rFonts w:hint="eastAsia" w:ascii="Times New Roman" w:hAnsi="Times New Roman" w:eastAsia="仿宋_GB2312" w:cs="Times New Roman"/>
          <w:b w:val="0"/>
          <w:bCs w:val="0"/>
          <w:color w:val="auto"/>
          <w:sz w:val="32"/>
          <w:szCs w:val="32"/>
        </w:rPr>
        <w:t>污染物排放</w:t>
      </w:r>
      <w:r>
        <w:rPr>
          <w:rFonts w:hint="default" w:ascii="Times New Roman" w:hAnsi="Times New Roman" w:eastAsia="仿宋_GB2312" w:cs="Times New Roman"/>
          <w:b w:val="0"/>
          <w:bCs w:val="0"/>
          <w:color w:val="auto"/>
          <w:sz w:val="32"/>
          <w:szCs w:val="32"/>
        </w:rPr>
        <w:t>总量</w:t>
      </w:r>
      <w:r>
        <w:rPr>
          <w:rFonts w:hint="eastAsia" w:ascii="Times New Roman" w:hAnsi="Times New Roman" w:eastAsia="仿宋_GB2312" w:cs="Times New Roman"/>
          <w:b w:val="0"/>
          <w:bCs w:val="0"/>
          <w:color w:val="auto"/>
          <w:sz w:val="32"/>
          <w:szCs w:val="32"/>
        </w:rPr>
        <w:t>控制指标如下</w:t>
      </w:r>
      <w:r>
        <w:rPr>
          <w:rFonts w:hint="default" w:ascii="Times New Roman" w:hAnsi="Times New Roman" w:eastAsia="仿宋_GB2312" w:cs="Times New Roman"/>
          <w:b w:val="0"/>
          <w:bCs w:val="0"/>
          <w:color w:val="auto"/>
          <w:sz w:val="32"/>
          <w:szCs w:val="32"/>
        </w:rPr>
        <w:t xml:space="preserve">： </w:t>
      </w:r>
      <w:bookmarkStart w:id="3" w:name="OLE_LINK3"/>
      <w:r>
        <w:rPr>
          <w:rFonts w:hint="eastAsia" w:ascii="Times New Roman" w:hAnsi="Times New Roman" w:eastAsia="仿宋_GB2312" w:cs="Times New Roman"/>
          <w:b w:val="0"/>
          <w:bCs w:val="0"/>
          <w:color w:val="auto"/>
          <w:sz w:val="32"/>
          <w:szCs w:val="32"/>
          <w:lang w:eastAsia="zh-CN"/>
        </w:rPr>
        <w:t>挥发性有机物</w:t>
      </w:r>
      <w:bookmarkEnd w:id="3"/>
      <w:r>
        <w:rPr>
          <w:rFonts w:hint="eastAsia" w:eastAsia="仿宋_GB2312" w:cs="Times New Roman"/>
          <w:b w:val="0"/>
          <w:bCs w:val="0"/>
          <w:color w:val="auto"/>
          <w:sz w:val="32"/>
          <w:szCs w:val="32"/>
          <w:lang w:val="en-US" w:eastAsia="zh-CN"/>
        </w:rPr>
        <w:t>0.408</w:t>
      </w:r>
      <w:r>
        <w:rPr>
          <w:rFonts w:hint="default" w:ascii="Times New Roman" w:hAnsi="Times New Roman" w:eastAsia="仿宋_GB2312" w:cs="Times New Roman"/>
          <w:b w:val="0"/>
          <w:bCs w:val="0"/>
          <w:color w:val="auto"/>
          <w:sz w:val="32"/>
          <w:szCs w:val="32"/>
        </w:rPr>
        <w:t>吨/年。该</w:t>
      </w:r>
      <w:bookmarkStart w:id="4" w:name="OLE_LINK4"/>
      <w:r>
        <w:rPr>
          <w:rFonts w:hint="default" w:ascii="Times New Roman" w:hAnsi="Times New Roman" w:eastAsia="仿宋_GB2312" w:cs="Times New Roman"/>
          <w:b w:val="0"/>
          <w:bCs w:val="0"/>
          <w:color w:val="auto"/>
          <w:sz w:val="32"/>
          <w:szCs w:val="32"/>
        </w:rPr>
        <w:t>项目应实施</w:t>
      </w:r>
      <w:r>
        <w:rPr>
          <w:rFonts w:hint="eastAsia" w:ascii="Times New Roman" w:hAnsi="Times New Roman" w:eastAsia="仿宋_GB2312" w:cs="Times New Roman"/>
          <w:b w:val="0"/>
          <w:bCs w:val="0"/>
          <w:color w:val="auto"/>
          <w:sz w:val="32"/>
          <w:szCs w:val="32"/>
          <w:lang w:eastAsia="zh-CN"/>
        </w:rPr>
        <w:t>挥发性有机物</w:t>
      </w:r>
      <w:r>
        <w:rPr>
          <w:rFonts w:hint="eastAsia" w:eastAsia="仿宋_GB2312" w:cs="Times New Roman"/>
          <w:b w:val="0"/>
          <w:bCs w:val="0"/>
          <w:color w:val="auto"/>
          <w:sz w:val="32"/>
          <w:szCs w:val="32"/>
          <w:lang w:val="en-US" w:eastAsia="zh-CN"/>
        </w:rPr>
        <w:t>2</w:t>
      </w:r>
      <w:r>
        <w:rPr>
          <w:rFonts w:hint="default" w:ascii="Times New Roman" w:hAnsi="Times New Roman" w:eastAsia="仿宋_GB2312" w:cs="Times New Roman"/>
          <w:b w:val="0"/>
          <w:bCs w:val="0"/>
          <w:color w:val="auto"/>
          <w:sz w:val="32"/>
          <w:szCs w:val="32"/>
        </w:rPr>
        <w:t>倍</w:t>
      </w:r>
      <w:bookmarkEnd w:id="4"/>
      <w:r>
        <w:rPr>
          <w:rFonts w:hint="default" w:ascii="Times New Roman" w:hAnsi="Times New Roman" w:eastAsia="仿宋_GB2312" w:cs="Times New Roman"/>
          <w:b w:val="0"/>
          <w:bCs w:val="0"/>
          <w:sz w:val="32"/>
          <w:szCs w:val="32"/>
        </w:rPr>
        <w:t>替代</w:t>
      </w:r>
      <w:r>
        <w:rPr>
          <w:rFonts w:hint="default" w:ascii="Times New Roman" w:hAnsi="Times New Roman" w:eastAsia="仿宋_GB2312" w:cs="Times New Roman"/>
          <w:b w:val="0"/>
          <w:bCs w:val="0"/>
          <w:color w:val="auto"/>
          <w:sz w:val="32"/>
          <w:szCs w:val="32"/>
        </w:rPr>
        <w:t>，</w:t>
      </w:r>
      <w:r>
        <w:rPr>
          <w:rFonts w:hint="eastAsia" w:ascii="Times New Roman" w:hAnsi="Times New Roman" w:eastAsia="仿宋_GB2312" w:cs="Times New Roman"/>
          <w:b w:val="0"/>
          <w:bCs w:val="0"/>
          <w:color w:val="auto"/>
          <w:sz w:val="32"/>
          <w:szCs w:val="32"/>
        </w:rPr>
        <w:t>所需</w:t>
      </w:r>
      <w:r>
        <w:rPr>
          <w:rFonts w:hint="default" w:ascii="Times New Roman" w:hAnsi="Times New Roman" w:eastAsia="仿宋_GB2312" w:cs="Times New Roman"/>
          <w:b w:val="0"/>
          <w:bCs w:val="0"/>
          <w:color w:val="auto"/>
          <w:sz w:val="32"/>
          <w:szCs w:val="32"/>
        </w:rPr>
        <w:t>替代指标</w:t>
      </w:r>
      <w:r>
        <w:rPr>
          <w:rFonts w:hint="eastAsia" w:ascii="Times New Roman" w:hAnsi="Times New Roman" w:eastAsia="仿宋_GB2312" w:cs="Times New Roman"/>
          <w:b w:val="0"/>
          <w:bCs w:val="0"/>
          <w:color w:val="auto"/>
          <w:sz w:val="32"/>
          <w:szCs w:val="32"/>
          <w:lang w:eastAsia="zh-CN"/>
        </w:rPr>
        <w:t>挥发性有机物</w:t>
      </w:r>
      <w:r>
        <w:rPr>
          <w:rFonts w:hint="eastAsia" w:eastAsia="仿宋_GB2312" w:cs="Times New Roman"/>
          <w:b w:val="0"/>
          <w:bCs w:val="0"/>
          <w:color w:val="auto"/>
          <w:sz w:val="32"/>
          <w:szCs w:val="32"/>
          <w:lang w:val="en-US" w:eastAsia="zh-CN"/>
        </w:rPr>
        <w:t>0.816</w:t>
      </w:r>
      <w:r>
        <w:rPr>
          <w:rFonts w:hint="default" w:ascii="Times New Roman" w:hAnsi="Times New Roman" w:eastAsia="仿宋_GB2312" w:cs="Times New Roman"/>
          <w:b w:val="0"/>
          <w:bCs w:val="0"/>
          <w:color w:val="auto"/>
          <w:sz w:val="32"/>
          <w:szCs w:val="32"/>
        </w:rPr>
        <w:t>吨/年</w:t>
      </w:r>
      <w:r>
        <w:rPr>
          <w:rFonts w:hint="eastAsia" w:ascii="Times New Roman" w:hAnsi="Times New Roman" w:eastAsia="仿宋_GB2312" w:cs="Times New Roman"/>
          <w:b w:val="0"/>
          <w:bCs w:val="0"/>
          <w:color w:val="auto"/>
          <w:sz w:val="32"/>
          <w:szCs w:val="32"/>
        </w:rPr>
        <w:t>。</w:t>
      </w:r>
      <w:r>
        <w:rPr>
          <w:rFonts w:hint="eastAsia" w:ascii="Times New Roman" w:hAnsi="Times New Roman" w:eastAsia="仿宋_GB2312" w:cs="Times New Roman"/>
          <w:b w:val="0"/>
          <w:bCs w:val="0"/>
          <w:color w:val="auto"/>
          <w:sz w:val="32"/>
          <w:szCs w:val="32"/>
          <w:lang w:eastAsia="zh-CN"/>
        </w:rPr>
        <w:t>项目建成后再根据实际排放及污染物总量控制要求予以核定。</w:t>
      </w:r>
    </w:p>
    <w:p w14:paraId="16F75DE3">
      <w:pPr>
        <w:keepNext w:val="0"/>
        <w:keepLines w:val="0"/>
        <w:pageBreakBefore w:val="0"/>
        <w:widowControl w:val="0"/>
        <w:kinsoku/>
        <w:wordWrap/>
        <w:overflowPunct/>
        <w:topLinePunct w:val="0"/>
        <w:autoSpaceDE/>
        <w:autoSpaceDN/>
        <w:bidi w:val="0"/>
        <w:adjustRightInd/>
        <w:snapToGrid w:val="0"/>
        <w:spacing w:beforeLines="0" w:afterLines="0" w:line="600" w:lineRule="exact"/>
        <w:ind w:firstLine="640" w:firstLineChars="200"/>
        <w:textAlignment w:val="auto"/>
        <w:outlineLvl w:val="9"/>
        <w:rPr>
          <w:rFonts w:hint="default" w:ascii="Times New Roman" w:hAnsi="Times New Roman" w:eastAsia="仿宋_GB2312" w:cs="Times New Roman"/>
          <w:b w:val="0"/>
          <w:bCs w:val="0"/>
          <w:color w:val="auto"/>
          <w:sz w:val="32"/>
          <w:szCs w:val="32"/>
        </w:rPr>
      </w:pPr>
      <w:r>
        <w:rPr>
          <w:rFonts w:hint="default" w:ascii="Times New Roman" w:hAnsi="Times New Roman" w:eastAsia="仿宋_GB2312" w:cs="Times New Roman"/>
          <w:i w:val="0"/>
          <w:iCs w:val="0"/>
          <w:color w:val="auto"/>
          <w:sz w:val="32"/>
          <w:szCs w:val="32"/>
        </w:rPr>
        <w:t>（</w:t>
      </w:r>
      <w:r>
        <w:rPr>
          <w:rFonts w:hint="eastAsia" w:ascii="Times New Roman" w:hAnsi="Times New Roman" w:eastAsia="仿宋_GB2312" w:cs="Times New Roman"/>
          <w:i w:val="0"/>
          <w:iCs w:val="0"/>
          <w:color w:val="auto"/>
          <w:sz w:val="32"/>
          <w:szCs w:val="32"/>
          <w:lang w:eastAsia="zh-CN"/>
        </w:rPr>
        <w:t>八</w:t>
      </w:r>
      <w:r>
        <w:rPr>
          <w:rFonts w:hint="default" w:ascii="Times New Roman" w:hAnsi="Times New Roman" w:eastAsia="仿宋_GB2312" w:cs="Times New Roman"/>
          <w:i w:val="0"/>
          <w:iCs w:val="0"/>
          <w:color w:val="auto"/>
          <w:sz w:val="32"/>
          <w:szCs w:val="32"/>
        </w:rPr>
        <w:t>）</w:t>
      </w:r>
      <w:bookmarkStart w:id="5" w:name="OLE_LINK21"/>
      <w:r>
        <w:rPr>
          <w:rFonts w:hint="eastAsia" w:ascii="仿宋_GB2312" w:hAnsi="仿宋_GB2312" w:eastAsia="仿宋_GB2312" w:cs="仿宋_GB2312"/>
          <w:color w:val="auto"/>
          <w:sz w:val="32"/>
          <w:szCs w:val="32"/>
          <w:highlight w:val="none"/>
        </w:rPr>
        <w:t>项目建设</w:t>
      </w:r>
      <w:r>
        <w:rPr>
          <w:rFonts w:hint="eastAsia" w:ascii="仿宋_GB2312" w:hAnsi="仿宋_GB2312" w:eastAsia="仿宋_GB2312" w:cs="仿宋_GB2312"/>
          <w:color w:val="auto"/>
          <w:sz w:val="32"/>
          <w:szCs w:val="32"/>
          <w:highlight w:val="none"/>
          <w:lang w:eastAsia="zh-CN"/>
        </w:rPr>
        <w:t>应</w:t>
      </w:r>
      <w:r>
        <w:rPr>
          <w:rFonts w:hint="eastAsia" w:ascii="仿宋_GB2312" w:hAnsi="仿宋_GB2312" w:eastAsia="仿宋_GB2312" w:cs="仿宋_GB2312"/>
          <w:color w:val="auto"/>
          <w:sz w:val="32"/>
          <w:szCs w:val="32"/>
          <w:highlight w:val="none"/>
        </w:rPr>
        <w:t>符合法律、法规等要求，如涉及规划、水务、消防等</w:t>
      </w:r>
      <w:r>
        <w:rPr>
          <w:rFonts w:hint="eastAsia" w:ascii="仿宋_GB2312" w:hAnsi="仿宋_GB2312" w:eastAsia="仿宋_GB2312" w:cs="仿宋_GB2312"/>
          <w:color w:val="auto"/>
          <w:sz w:val="32"/>
          <w:szCs w:val="32"/>
          <w:highlight w:val="none"/>
          <w:lang w:eastAsia="zh-CN"/>
        </w:rPr>
        <w:t>其他部门许可事项的</w:t>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eastAsia="zh-CN"/>
        </w:rPr>
        <w:t>须依法办理相关手续</w:t>
      </w:r>
      <w:r>
        <w:rPr>
          <w:rFonts w:hint="eastAsia" w:ascii="仿宋_GB2312" w:hAnsi="仿宋_GB2312" w:eastAsia="仿宋_GB2312" w:cs="仿宋_GB2312"/>
          <w:color w:val="auto"/>
          <w:sz w:val="32"/>
          <w:szCs w:val="32"/>
          <w:highlight w:val="none"/>
        </w:rPr>
        <w:t>。</w:t>
      </w:r>
      <w:bookmarkEnd w:id="5"/>
    </w:p>
    <w:p w14:paraId="74170BEC">
      <w:pPr>
        <w:keepNext w:val="0"/>
        <w:keepLines w:val="0"/>
        <w:pageBreakBefore w:val="0"/>
        <w:widowControl w:val="0"/>
        <w:kinsoku/>
        <w:wordWrap/>
        <w:overflowPunct/>
        <w:topLinePunct w:val="0"/>
        <w:autoSpaceDE w:val="0"/>
        <w:autoSpaceDN w:val="0"/>
        <w:bidi w:val="0"/>
        <w:adjustRightInd w:val="0"/>
        <w:snapToGrid w:val="0"/>
        <w:spacing w:line="600" w:lineRule="exact"/>
        <w:ind w:firstLine="640" w:firstLineChars="200"/>
        <w:textAlignment w:val="auto"/>
        <w:rPr>
          <w:rFonts w:hint="default" w:ascii="Times New Roman" w:hAnsi="Times New Roman" w:eastAsia="仿宋_GB2312" w:cs="Times New Roman"/>
          <w:b w:val="0"/>
          <w:bCs w:val="0"/>
          <w:color w:val="auto"/>
          <w:sz w:val="32"/>
          <w:szCs w:val="32"/>
        </w:rPr>
      </w:pPr>
      <w:r>
        <w:rPr>
          <w:rFonts w:hint="default" w:ascii="Times New Roman" w:hAnsi="Times New Roman" w:eastAsia="仿宋_GB2312" w:cs="Times New Roman"/>
          <w:b w:val="0"/>
          <w:bCs w:val="0"/>
          <w:color w:val="auto"/>
          <w:sz w:val="32"/>
          <w:szCs w:val="32"/>
        </w:rPr>
        <w:t>三、根据《建设项目环境保护管理条例》有关规定，建设项目需要配套建设的环境保护设施，必须与主体工程同时设计、同时施工、同时投产使用。项目竣工后，你公司应当按照国家和地方规定的标准和程序，对配套建设的环境保护设施进行验收，经验收合格后方可投入使用。</w:t>
      </w:r>
    </w:p>
    <w:p w14:paraId="1B476918">
      <w:pPr>
        <w:keepNext w:val="0"/>
        <w:keepLines w:val="0"/>
        <w:pageBreakBefore w:val="0"/>
        <w:widowControl w:val="0"/>
        <w:kinsoku/>
        <w:wordWrap/>
        <w:overflowPunct/>
        <w:topLinePunct w:val="0"/>
        <w:autoSpaceDE w:val="0"/>
        <w:autoSpaceDN w:val="0"/>
        <w:bidi w:val="0"/>
        <w:adjustRightInd w:val="0"/>
        <w:snapToGrid w:val="0"/>
        <w:spacing w:line="600" w:lineRule="exact"/>
        <w:ind w:firstLine="640" w:firstLineChars="200"/>
        <w:textAlignment w:val="auto"/>
        <w:rPr>
          <w:rFonts w:hint="default" w:ascii="Times New Roman" w:hAnsi="Times New Roman" w:eastAsia="仿宋_GB2312" w:cs="Times New Roman"/>
          <w:b w:val="0"/>
          <w:bCs w:val="0"/>
          <w:color w:val="auto"/>
          <w:sz w:val="32"/>
          <w:szCs w:val="32"/>
        </w:rPr>
      </w:pPr>
      <w:r>
        <w:rPr>
          <w:rFonts w:hint="default" w:ascii="Times New Roman" w:hAnsi="Times New Roman" w:eastAsia="仿宋_GB2312" w:cs="Times New Roman"/>
          <w:b w:val="0"/>
          <w:bCs w:val="0"/>
          <w:color w:val="auto"/>
          <w:sz w:val="32"/>
          <w:szCs w:val="32"/>
        </w:rPr>
        <w:t>四、如不服上述行政许可决定，可以在收到文书之日起60日内向广州市人民政府行政复议机构（地址：广州市越秀区小北路183号金和大厦2楼市政府行政复议办公室窗口，电话：020-83555988）申请行政复议；或者在收到文书之日起6个月内直接向广州铁路运输法院提起行政诉讼。申请行政复议或提起行政诉讼的，不停止本决定的执行。</w:t>
      </w:r>
    </w:p>
    <w:p w14:paraId="69B86FCA">
      <w:pPr>
        <w:keepNext w:val="0"/>
        <w:keepLines w:val="0"/>
        <w:pageBreakBefore w:val="0"/>
        <w:widowControl w:val="0"/>
        <w:kinsoku/>
        <w:wordWrap/>
        <w:overflowPunct/>
        <w:topLinePunct w:val="0"/>
        <w:autoSpaceDE w:val="0"/>
        <w:autoSpaceDN w:val="0"/>
        <w:bidi w:val="0"/>
        <w:adjustRightInd w:val="0"/>
        <w:snapToGrid w:val="0"/>
        <w:spacing w:line="590" w:lineRule="exact"/>
        <w:ind w:firstLine="640" w:firstLineChars="200"/>
        <w:textAlignment w:val="auto"/>
        <w:rPr>
          <w:rFonts w:hint="default" w:ascii="Times New Roman" w:hAnsi="Times New Roman" w:eastAsia="仿宋_GB2312" w:cs="Times New Roman"/>
          <w:b w:val="0"/>
          <w:bCs w:val="0"/>
          <w:color w:val="auto"/>
          <w:sz w:val="32"/>
          <w:szCs w:val="32"/>
        </w:rPr>
      </w:pPr>
    </w:p>
    <w:p w14:paraId="796E8AD5">
      <w:pPr>
        <w:keepNext w:val="0"/>
        <w:keepLines w:val="0"/>
        <w:pageBreakBefore w:val="0"/>
        <w:widowControl w:val="0"/>
        <w:kinsoku/>
        <w:wordWrap/>
        <w:overflowPunct/>
        <w:topLinePunct w:val="0"/>
        <w:autoSpaceDE w:val="0"/>
        <w:autoSpaceDN w:val="0"/>
        <w:bidi w:val="0"/>
        <w:adjustRightInd w:val="0"/>
        <w:snapToGrid w:val="0"/>
        <w:spacing w:line="590" w:lineRule="exact"/>
        <w:ind w:firstLine="640" w:firstLineChars="200"/>
        <w:textAlignment w:val="auto"/>
        <w:rPr>
          <w:rFonts w:hint="default" w:ascii="Times New Roman" w:hAnsi="Times New Roman" w:eastAsia="仿宋_GB2312" w:cs="Times New Roman"/>
          <w:b w:val="0"/>
          <w:bCs w:val="0"/>
          <w:color w:val="auto"/>
          <w:sz w:val="32"/>
          <w:szCs w:val="32"/>
        </w:rPr>
      </w:pPr>
    </w:p>
    <w:p w14:paraId="05F38141">
      <w:pPr>
        <w:keepNext w:val="0"/>
        <w:keepLines w:val="0"/>
        <w:pageBreakBefore w:val="0"/>
        <w:widowControl w:val="0"/>
        <w:kinsoku/>
        <w:wordWrap/>
        <w:overflowPunct/>
        <w:topLinePunct w:val="0"/>
        <w:autoSpaceDE w:val="0"/>
        <w:autoSpaceDN w:val="0"/>
        <w:bidi w:val="0"/>
        <w:adjustRightInd w:val="0"/>
        <w:snapToGrid w:val="0"/>
        <w:spacing w:line="590" w:lineRule="exact"/>
        <w:ind w:firstLine="640" w:firstLineChars="200"/>
        <w:textAlignment w:val="auto"/>
        <w:rPr>
          <w:rFonts w:hint="default" w:ascii="Times New Roman" w:hAnsi="Times New Roman" w:eastAsia="仿宋_GB2312" w:cs="Times New Roman"/>
          <w:b w:val="0"/>
          <w:bCs w:val="0"/>
          <w:color w:val="auto"/>
          <w:sz w:val="32"/>
          <w:szCs w:val="32"/>
        </w:rPr>
      </w:pPr>
    </w:p>
    <w:p w14:paraId="49A39175">
      <w:pPr>
        <w:keepNext w:val="0"/>
        <w:keepLines w:val="0"/>
        <w:pageBreakBefore w:val="0"/>
        <w:widowControl w:val="0"/>
        <w:kinsoku/>
        <w:wordWrap/>
        <w:overflowPunct/>
        <w:topLinePunct w:val="0"/>
        <w:bidi w:val="0"/>
        <w:spacing w:line="590" w:lineRule="exact"/>
        <w:jc w:val="center"/>
        <w:textAlignment w:val="auto"/>
        <w:outlineLvl w:val="0"/>
        <w:rPr>
          <w:rFonts w:hint="default" w:ascii="Times New Roman" w:hAnsi="Times New Roman" w:eastAsia="仿宋_GB2312" w:cs="Times New Roman"/>
          <w:b w:val="0"/>
          <w:bCs w:val="0"/>
          <w:color w:val="auto"/>
          <w:sz w:val="32"/>
          <w:szCs w:val="32"/>
        </w:rPr>
      </w:pPr>
      <w:r>
        <w:rPr>
          <w:rFonts w:hint="default" w:ascii="Times New Roman" w:hAnsi="Times New Roman" w:eastAsia="仿宋_GB2312" w:cs="Times New Roman"/>
          <w:b w:val="0"/>
          <w:bCs w:val="0"/>
          <w:color w:val="auto"/>
          <w:sz w:val="32"/>
          <w:szCs w:val="32"/>
        </w:rPr>
        <w:t xml:space="preserve">               </w:t>
      </w:r>
      <w:r>
        <w:rPr>
          <w:rFonts w:hint="eastAsia" w:ascii="Times New Roman" w:hAnsi="Times New Roman" w:eastAsia="仿宋_GB2312" w:cs="Times New Roman"/>
          <w:b w:val="0"/>
          <w:bCs w:val="0"/>
          <w:color w:val="auto"/>
          <w:sz w:val="32"/>
          <w:szCs w:val="32"/>
          <w:lang w:val="en-US" w:eastAsia="zh-CN"/>
        </w:rPr>
        <w:t xml:space="preserve">      </w:t>
      </w:r>
      <w:r>
        <w:rPr>
          <w:rFonts w:hint="default" w:ascii="Times New Roman" w:hAnsi="Times New Roman" w:eastAsia="仿宋_GB2312" w:cs="Times New Roman"/>
          <w:b w:val="0"/>
          <w:bCs w:val="0"/>
          <w:color w:val="auto"/>
          <w:sz w:val="32"/>
          <w:szCs w:val="32"/>
        </w:rPr>
        <w:t xml:space="preserve">        广州市生态环境局</w:t>
      </w:r>
    </w:p>
    <w:p w14:paraId="4C71BDF6">
      <w:pPr>
        <w:keepNext w:val="0"/>
        <w:keepLines w:val="0"/>
        <w:pageBreakBefore w:val="0"/>
        <w:widowControl w:val="0"/>
        <w:kinsoku/>
        <w:wordWrap/>
        <w:overflowPunct/>
        <w:topLinePunct w:val="0"/>
        <w:bidi w:val="0"/>
        <w:spacing w:line="590" w:lineRule="exact"/>
        <w:ind w:right="838" w:rightChars="399" w:firstLine="640" w:firstLineChars="200"/>
        <w:jc w:val="right"/>
        <w:textAlignment w:val="auto"/>
        <w:rPr>
          <w:rFonts w:hint="default" w:ascii="Times New Roman" w:hAnsi="Times New Roman" w:eastAsia="仿宋_GB2312" w:cs="Times New Roman"/>
          <w:b w:val="0"/>
          <w:bCs w:val="0"/>
          <w:color w:val="auto"/>
          <w:sz w:val="32"/>
          <w:szCs w:val="32"/>
        </w:rPr>
      </w:pPr>
      <w:r>
        <w:rPr>
          <w:rFonts w:hint="default" w:ascii="Times New Roman" w:hAnsi="Times New Roman" w:eastAsia="仿宋_GB2312" w:cs="Times New Roman"/>
          <w:b w:val="0"/>
          <w:bCs w:val="0"/>
          <w:color w:val="auto"/>
          <w:sz w:val="32"/>
          <w:szCs w:val="32"/>
        </w:rPr>
        <w:t>202</w:t>
      </w:r>
      <w:r>
        <w:rPr>
          <w:rFonts w:hint="eastAsia" w:eastAsia="仿宋_GB2312" w:cs="Times New Roman"/>
          <w:b w:val="0"/>
          <w:bCs w:val="0"/>
          <w:color w:val="auto"/>
          <w:sz w:val="32"/>
          <w:szCs w:val="32"/>
          <w:lang w:val="en-US" w:eastAsia="zh-CN"/>
        </w:rPr>
        <w:t>5</w:t>
      </w:r>
      <w:r>
        <w:rPr>
          <w:rFonts w:hint="default" w:ascii="Times New Roman" w:hAnsi="Times New Roman" w:eastAsia="仿宋_GB2312" w:cs="Times New Roman"/>
          <w:b w:val="0"/>
          <w:bCs w:val="0"/>
          <w:color w:val="auto"/>
          <w:sz w:val="32"/>
          <w:szCs w:val="32"/>
        </w:rPr>
        <w:t>年</w:t>
      </w:r>
      <w:r>
        <w:rPr>
          <w:rFonts w:hint="eastAsia" w:eastAsia="仿宋_GB2312" w:cs="Times New Roman"/>
          <w:b w:val="0"/>
          <w:bCs w:val="0"/>
          <w:color w:val="auto"/>
          <w:sz w:val="32"/>
          <w:szCs w:val="32"/>
          <w:lang w:val="en-US" w:eastAsia="zh-CN"/>
        </w:rPr>
        <w:t>11</w:t>
      </w:r>
      <w:r>
        <w:rPr>
          <w:rFonts w:hint="default" w:ascii="Times New Roman" w:hAnsi="Times New Roman" w:eastAsia="仿宋_GB2312" w:cs="Times New Roman"/>
          <w:b w:val="0"/>
          <w:bCs w:val="0"/>
          <w:color w:val="auto"/>
          <w:sz w:val="32"/>
          <w:szCs w:val="32"/>
        </w:rPr>
        <w:t>月</w:t>
      </w:r>
      <w:r>
        <w:rPr>
          <w:rFonts w:hint="eastAsia" w:eastAsia="仿宋_GB2312" w:cs="Times New Roman"/>
          <w:b w:val="0"/>
          <w:bCs w:val="0"/>
          <w:color w:val="auto"/>
          <w:sz w:val="32"/>
          <w:szCs w:val="32"/>
          <w:lang w:val="en-US" w:eastAsia="zh-CN"/>
        </w:rPr>
        <w:t>6</w:t>
      </w:r>
      <w:r>
        <w:rPr>
          <w:rFonts w:hint="default" w:ascii="Times New Roman" w:hAnsi="Times New Roman" w:eastAsia="仿宋_GB2312" w:cs="Times New Roman"/>
          <w:b w:val="0"/>
          <w:bCs w:val="0"/>
          <w:color w:val="auto"/>
          <w:sz w:val="32"/>
          <w:szCs w:val="32"/>
        </w:rPr>
        <w:t>日</w:t>
      </w:r>
    </w:p>
    <w:p w14:paraId="518C3014">
      <w:pPr>
        <w:keepNext w:val="0"/>
        <w:keepLines w:val="0"/>
        <w:pageBreakBefore w:val="0"/>
        <w:widowControl w:val="0"/>
        <w:kinsoku/>
        <w:wordWrap/>
        <w:overflowPunct/>
        <w:topLinePunct w:val="0"/>
        <w:bidi w:val="0"/>
        <w:spacing w:line="590" w:lineRule="exact"/>
        <w:ind w:right="838" w:rightChars="399"/>
        <w:jc w:val="both"/>
        <w:textAlignment w:val="auto"/>
        <w:rPr>
          <w:rFonts w:hint="default" w:ascii="Times New Roman" w:hAnsi="Times New Roman" w:eastAsia="仿宋_GB2312" w:cs="Times New Roman"/>
          <w:b w:val="0"/>
          <w:bCs w:val="0"/>
          <w:color w:val="auto"/>
          <w:sz w:val="32"/>
          <w:szCs w:val="32"/>
        </w:rPr>
      </w:pPr>
    </w:p>
    <w:p w14:paraId="2EEFC558">
      <w:pPr>
        <w:keepNext w:val="0"/>
        <w:keepLines w:val="0"/>
        <w:pageBreakBefore w:val="0"/>
        <w:widowControl w:val="0"/>
        <w:kinsoku/>
        <w:wordWrap/>
        <w:overflowPunct/>
        <w:topLinePunct w:val="0"/>
        <w:bidi w:val="0"/>
        <w:spacing w:line="590" w:lineRule="exact"/>
        <w:ind w:right="838" w:rightChars="399" w:firstLine="640" w:firstLineChars="200"/>
        <w:jc w:val="right"/>
        <w:textAlignment w:val="auto"/>
        <w:rPr>
          <w:rFonts w:hint="default" w:ascii="Times New Roman" w:hAnsi="Times New Roman" w:eastAsia="仿宋_GB2312" w:cs="Times New Roman"/>
          <w:b w:val="0"/>
          <w:bCs w:val="0"/>
          <w:color w:val="auto"/>
          <w:sz w:val="32"/>
          <w:szCs w:val="32"/>
        </w:rPr>
      </w:pPr>
    </w:p>
    <w:p w14:paraId="64E47C42">
      <w:pPr>
        <w:keepNext w:val="0"/>
        <w:keepLines w:val="0"/>
        <w:pageBreakBefore w:val="0"/>
        <w:widowControl w:val="0"/>
        <w:kinsoku/>
        <w:wordWrap/>
        <w:overflowPunct/>
        <w:topLinePunct w:val="0"/>
        <w:bidi w:val="0"/>
        <w:spacing w:line="590" w:lineRule="exact"/>
        <w:ind w:right="838" w:rightChars="399" w:firstLine="640" w:firstLineChars="200"/>
        <w:jc w:val="right"/>
        <w:textAlignment w:val="auto"/>
        <w:rPr>
          <w:rFonts w:hint="default" w:ascii="Times New Roman" w:hAnsi="Times New Roman" w:eastAsia="仿宋_GB2312" w:cs="Times New Roman"/>
          <w:b w:val="0"/>
          <w:bCs w:val="0"/>
          <w:color w:val="auto"/>
          <w:sz w:val="32"/>
          <w:szCs w:val="32"/>
        </w:rPr>
      </w:pPr>
    </w:p>
    <w:p w14:paraId="5CE666A0">
      <w:pPr>
        <w:keepNext w:val="0"/>
        <w:keepLines w:val="0"/>
        <w:pageBreakBefore w:val="0"/>
        <w:widowControl w:val="0"/>
        <w:kinsoku/>
        <w:wordWrap/>
        <w:overflowPunct/>
        <w:topLinePunct w:val="0"/>
        <w:bidi w:val="0"/>
        <w:spacing w:line="590" w:lineRule="exact"/>
        <w:ind w:right="838" w:rightChars="399" w:firstLine="640" w:firstLineChars="200"/>
        <w:jc w:val="right"/>
        <w:textAlignment w:val="auto"/>
        <w:rPr>
          <w:rFonts w:hint="default" w:ascii="Times New Roman" w:hAnsi="Times New Roman" w:eastAsia="仿宋_GB2312" w:cs="Times New Roman"/>
          <w:b w:val="0"/>
          <w:bCs w:val="0"/>
          <w:color w:val="auto"/>
          <w:sz w:val="32"/>
          <w:szCs w:val="32"/>
        </w:rPr>
      </w:pPr>
    </w:p>
    <w:p w14:paraId="3E9CEA09">
      <w:pPr>
        <w:keepNext w:val="0"/>
        <w:keepLines w:val="0"/>
        <w:pageBreakBefore w:val="0"/>
        <w:widowControl w:val="0"/>
        <w:kinsoku/>
        <w:wordWrap/>
        <w:overflowPunct/>
        <w:topLinePunct w:val="0"/>
        <w:bidi w:val="0"/>
        <w:spacing w:line="590" w:lineRule="exact"/>
        <w:ind w:right="838" w:rightChars="399" w:firstLine="640" w:firstLineChars="200"/>
        <w:jc w:val="right"/>
        <w:textAlignment w:val="auto"/>
        <w:rPr>
          <w:rFonts w:hint="default" w:ascii="Times New Roman" w:hAnsi="Times New Roman" w:eastAsia="仿宋_GB2312" w:cs="Times New Roman"/>
          <w:b w:val="0"/>
          <w:bCs w:val="0"/>
          <w:color w:val="auto"/>
          <w:sz w:val="32"/>
          <w:szCs w:val="32"/>
        </w:rPr>
      </w:pPr>
    </w:p>
    <w:p w14:paraId="4A724D64">
      <w:pPr>
        <w:keepNext w:val="0"/>
        <w:keepLines w:val="0"/>
        <w:pageBreakBefore w:val="0"/>
        <w:widowControl w:val="0"/>
        <w:kinsoku/>
        <w:wordWrap/>
        <w:overflowPunct/>
        <w:topLinePunct w:val="0"/>
        <w:bidi w:val="0"/>
        <w:spacing w:line="590" w:lineRule="exact"/>
        <w:ind w:right="838" w:rightChars="399" w:firstLine="640" w:firstLineChars="200"/>
        <w:jc w:val="right"/>
        <w:textAlignment w:val="auto"/>
        <w:rPr>
          <w:rFonts w:hint="default" w:ascii="Times New Roman" w:hAnsi="Times New Roman" w:eastAsia="仿宋_GB2312" w:cs="Times New Roman"/>
          <w:b w:val="0"/>
          <w:bCs w:val="0"/>
          <w:color w:val="auto"/>
          <w:sz w:val="32"/>
          <w:szCs w:val="32"/>
        </w:rPr>
      </w:pPr>
    </w:p>
    <w:p w14:paraId="3F439DC9">
      <w:pPr>
        <w:keepNext w:val="0"/>
        <w:keepLines w:val="0"/>
        <w:pageBreakBefore w:val="0"/>
        <w:widowControl w:val="0"/>
        <w:kinsoku/>
        <w:wordWrap/>
        <w:overflowPunct/>
        <w:topLinePunct w:val="0"/>
        <w:bidi w:val="0"/>
        <w:spacing w:line="590" w:lineRule="exact"/>
        <w:ind w:right="838" w:rightChars="399" w:firstLine="640" w:firstLineChars="200"/>
        <w:jc w:val="right"/>
        <w:textAlignment w:val="auto"/>
        <w:rPr>
          <w:rFonts w:hint="default" w:ascii="Times New Roman" w:hAnsi="Times New Roman" w:eastAsia="仿宋_GB2312" w:cs="Times New Roman"/>
          <w:b w:val="0"/>
          <w:bCs w:val="0"/>
          <w:color w:val="auto"/>
          <w:sz w:val="32"/>
          <w:szCs w:val="32"/>
        </w:rPr>
      </w:pPr>
    </w:p>
    <w:p w14:paraId="448BE5DB">
      <w:pPr>
        <w:keepNext w:val="0"/>
        <w:keepLines w:val="0"/>
        <w:pageBreakBefore w:val="0"/>
        <w:widowControl w:val="0"/>
        <w:kinsoku/>
        <w:wordWrap/>
        <w:overflowPunct/>
        <w:topLinePunct w:val="0"/>
        <w:bidi w:val="0"/>
        <w:spacing w:line="590" w:lineRule="exact"/>
        <w:ind w:right="838" w:rightChars="399" w:firstLine="640" w:firstLineChars="200"/>
        <w:jc w:val="right"/>
        <w:textAlignment w:val="auto"/>
        <w:rPr>
          <w:rFonts w:hint="default" w:ascii="Times New Roman" w:hAnsi="Times New Roman" w:eastAsia="仿宋_GB2312" w:cs="Times New Roman"/>
          <w:b w:val="0"/>
          <w:bCs w:val="0"/>
          <w:color w:val="auto"/>
          <w:sz w:val="32"/>
          <w:szCs w:val="32"/>
        </w:rPr>
      </w:pPr>
      <w:bookmarkStart w:id="7" w:name="_GoBack"/>
      <w:bookmarkEnd w:id="7"/>
    </w:p>
    <w:p w14:paraId="5FFEEECE">
      <w:pPr>
        <w:keepNext w:val="0"/>
        <w:keepLines w:val="0"/>
        <w:pageBreakBefore w:val="0"/>
        <w:widowControl w:val="0"/>
        <w:kinsoku/>
        <w:wordWrap/>
        <w:overflowPunct/>
        <w:topLinePunct w:val="0"/>
        <w:autoSpaceDE/>
        <w:autoSpaceDN/>
        <w:bidi w:val="0"/>
        <w:adjustRightInd/>
        <w:spacing w:line="590" w:lineRule="exact"/>
        <w:textAlignment w:val="auto"/>
        <w:outlineLvl w:val="0"/>
        <w:rPr>
          <w:rFonts w:hint="default" w:ascii="Times New Roman" w:hAnsi="Times New Roman" w:eastAsia="仿宋_GB2312" w:cs="Times New Roman"/>
          <w:b w:val="0"/>
          <w:bCs w:val="0"/>
          <w:color w:val="auto"/>
          <w:sz w:val="32"/>
          <w:szCs w:val="32"/>
        </w:rPr>
      </w:pPr>
      <w:r>
        <w:rPr>
          <w:rFonts w:hint="eastAsia" w:ascii="黑体" w:hAnsi="黑体" w:eastAsia="黑体" w:cs="黑体"/>
          <w:b w:val="0"/>
          <w:bCs w:val="0"/>
          <w:color w:val="auto"/>
          <w:sz w:val="32"/>
          <w:szCs w:val="32"/>
        </w:rPr>
        <w:t>公开方式：</w:t>
      </w:r>
      <w:r>
        <w:rPr>
          <w:rFonts w:hint="default" w:ascii="Times New Roman" w:hAnsi="Times New Roman" w:eastAsia="仿宋_GB2312" w:cs="Times New Roman"/>
          <w:b w:val="0"/>
          <w:bCs w:val="0"/>
          <w:color w:val="auto"/>
          <w:sz w:val="32"/>
          <w:szCs w:val="32"/>
        </w:rPr>
        <w:t>主动公开</w:t>
      </w:r>
    </w:p>
    <w:p w14:paraId="782C34F9">
      <w:pPr>
        <w:keepNext w:val="0"/>
        <w:keepLines w:val="0"/>
        <w:pageBreakBefore w:val="0"/>
        <w:widowControl w:val="0"/>
        <w:kinsoku/>
        <w:wordWrap/>
        <w:overflowPunct/>
        <w:topLinePunct w:val="0"/>
        <w:autoSpaceDE/>
        <w:autoSpaceDN/>
        <w:bidi w:val="0"/>
        <w:adjustRightInd/>
        <w:spacing w:line="590" w:lineRule="exact"/>
        <w:textAlignment w:val="auto"/>
        <w:outlineLvl w:val="0"/>
        <w:rPr>
          <w:rFonts w:hint="default" w:ascii="Times New Roman" w:hAnsi="Times New Roman" w:eastAsia="仿宋_GB2312" w:cs="Times New Roman"/>
          <w:b w:val="0"/>
          <w:bCs w:val="0"/>
          <w:color w:val="auto"/>
          <w:sz w:val="32"/>
          <w:szCs w:val="32"/>
        </w:rPr>
      </w:pPr>
    </w:p>
    <w:p w14:paraId="51518D10">
      <w:pPr>
        <w:keepNext w:val="0"/>
        <w:keepLines w:val="0"/>
        <w:pageBreakBefore w:val="0"/>
        <w:widowControl w:val="0"/>
        <w:kinsoku/>
        <w:wordWrap/>
        <w:overflowPunct/>
        <w:topLinePunct w:val="0"/>
        <w:autoSpaceDE/>
        <w:autoSpaceDN/>
        <w:bidi w:val="0"/>
        <w:adjustRightInd/>
        <w:snapToGrid w:val="0"/>
        <w:spacing w:line="590" w:lineRule="exact"/>
        <w:ind w:left="1119" w:leftChars="133" w:hanging="840" w:hangingChars="300"/>
        <w:jc w:val="left"/>
        <w:textAlignment w:val="auto"/>
        <w:rPr>
          <w:rFonts w:hint="default" w:ascii="Times New Roman" w:hAnsi="Times New Roman" w:eastAsia="仿宋_GB2312" w:cs="Times New Roman"/>
          <w:b w:val="0"/>
          <w:bCs w:val="0"/>
          <w:color w:val="auto"/>
          <w:sz w:val="28"/>
          <w:szCs w:val="28"/>
        </w:rPr>
      </w:pPr>
      <w:r>
        <w:rPr>
          <w:rFonts w:hint="default" w:ascii="Times New Roman" w:hAnsi="Times New Roman" w:eastAsia="仿宋_GB2312" w:cs="Times New Roman"/>
          <w:b w:val="0"/>
          <w:bCs w:val="0"/>
          <w:color w:val="auto"/>
          <w:sz w:val="28"/>
          <w:szCs w:val="28"/>
        </w:rPr>
        <w:t>抄送：</w:t>
      </w:r>
      <w:r>
        <w:rPr>
          <w:rFonts w:hint="eastAsia" w:ascii="仿宋_GB2312" w:hAnsi="Times New Roman" w:eastAsia="仿宋_GB2312" w:cs="Times New Roman"/>
          <w:color w:val="auto"/>
          <w:sz w:val="28"/>
          <w:szCs w:val="28"/>
        </w:rPr>
        <w:t>广州市生态环境局番禺分局</w:t>
      </w:r>
      <w:r>
        <w:rPr>
          <w:rFonts w:hint="eastAsia" w:ascii="仿宋_GB2312" w:hAnsi="Times New Roman" w:eastAsia="仿宋_GB2312" w:cs="Times New Roman"/>
          <w:color w:val="auto"/>
          <w:sz w:val="28"/>
          <w:szCs w:val="28"/>
          <w:lang w:val="en-US" w:eastAsia="zh-CN"/>
        </w:rPr>
        <w:t>监管三科、</w:t>
      </w:r>
      <w:r>
        <w:rPr>
          <w:rFonts w:hint="eastAsia" w:ascii="仿宋_GB2312" w:hAnsi="Times New Roman" w:eastAsia="仿宋_GB2312" w:cs="Times New Roman"/>
          <w:color w:val="auto"/>
          <w:sz w:val="28"/>
          <w:szCs w:val="28"/>
        </w:rPr>
        <w:t>执法</w:t>
      </w:r>
      <w:r>
        <w:rPr>
          <w:rFonts w:hint="eastAsia" w:ascii="仿宋_GB2312" w:hAnsi="Times New Roman" w:eastAsia="仿宋_GB2312" w:cs="Times New Roman"/>
          <w:color w:val="auto"/>
          <w:sz w:val="28"/>
          <w:szCs w:val="28"/>
          <w:lang w:val="en-US" w:eastAsia="zh-CN"/>
        </w:rPr>
        <w:t>二</w:t>
      </w:r>
      <w:r>
        <w:rPr>
          <w:rFonts w:hint="eastAsia" w:ascii="仿宋_GB2312" w:hAnsi="Times New Roman" w:eastAsia="仿宋_GB2312" w:cs="Times New Roman"/>
          <w:color w:val="auto"/>
          <w:sz w:val="28"/>
          <w:szCs w:val="28"/>
        </w:rPr>
        <w:t>科</w:t>
      </w:r>
      <w:r>
        <w:rPr>
          <w:rFonts w:hint="eastAsia" w:ascii="仿宋_GB2312" w:eastAsia="仿宋_GB2312" w:cs="Times New Roman"/>
          <w:color w:val="auto"/>
          <w:sz w:val="28"/>
          <w:szCs w:val="28"/>
          <w:lang w:eastAsia="zh-CN"/>
        </w:rPr>
        <w:t>，</w:t>
      </w:r>
      <w:bookmarkStart w:id="6" w:name="OLE_LINK13"/>
      <w:r>
        <w:rPr>
          <w:rFonts w:hint="default" w:ascii="仿宋_GB2312" w:hAnsi="Times New Roman" w:eastAsia="仿宋_GB2312" w:cs="Times New Roman"/>
          <w:color w:val="auto"/>
          <w:sz w:val="28"/>
          <w:szCs w:val="28"/>
        </w:rPr>
        <w:t>广州市生态环境局番禺技术中心</w:t>
      </w:r>
      <w:r>
        <w:rPr>
          <w:rFonts w:hint="eastAsia" w:ascii="仿宋_GB2312" w:eastAsia="仿宋_GB2312" w:cs="Times New Roman"/>
          <w:color w:val="auto"/>
          <w:sz w:val="28"/>
          <w:szCs w:val="28"/>
          <w:lang w:eastAsia="zh-CN"/>
        </w:rPr>
        <w:t>、</w:t>
      </w:r>
      <w:r>
        <w:rPr>
          <w:rFonts w:hint="eastAsia" w:ascii="仿宋_GB2312" w:hAnsi="Times New Roman" w:eastAsia="仿宋_GB2312" w:cs="Times New Roman"/>
          <w:color w:val="auto"/>
          <w:sz w:val="28"/>
          <w:szCs w:val="28"/>
          <w:lang w:eastAsia="zh-CN"/>
        </w:rPr>
        <w:t>番禺</w:t>
      </w:r>
      <w:r>
        <w:rPr>
          <w:rFonts w:hint="eastAsia" w:ascii="仿宋_GB2312" w:hAnsi="Times New Roman" w:eastAsia="仿宋_GB2312" w:cs="Times New Roman"/>
          <w:color w:val="auto"/>
          <w:sz w:val="28"/>
          <w:szCs w:val="28"/>
        </w:rPr>
        <w:t>第</w:t>
      </w:r>
      <w:r>
        <w:rPr>
          <w:rFonts w:hint="eastAsia" w:ascii="仿宋_GB2312" w:hAnsi="Times New Roman" w:eastAsia="仿宋_GB2312" w:cs="Times New Roman"/>
          <w:color w:val="auto"/>
          <w:sz w:val="28"/>
          <w:szCs w:val="28"/>
          <w:lang w:val="en-US" w:eastAsia="zh-CN"/>
        </w:rPr>
        <w:t>五</w:t>
      </w:r>
      <w:r>
        <w:rPr>
          <w:rFonts w:hint="eastAsia" w:ascii="仿宋_GB2312" w:hAnsi="Times New Roman" w:eastAsia="仿宋_GB2312" w:cs="Times New Roman"/>
          <w:color w:val="auto"/>
          <w:sz w:val="28"/>
          <w:szCs w:val="28"/>
        </w:rPr>
        <w:t>环保所</w:t>
      </w:r>
      <w:r>
        <w:rPr>
          <w:rFonts w:hint="default" w:ascii="仿宋_GB2312" w:hAnsi="Times New Roman" w:eastAsia="仿宋_GB2312" w:cs="Times New Roman"/>
          <w:color w:val="auto"/>
          <w:sz w:val="28"/>
          <w:szCs w:val="28"/>
        </w:rPr>
        <w:t>，广州市中扬环保工程有限公司。</w:t>
      </w:r>
      <w:bookmarkEnd w:id="0"/>
      <w:bookmarkEnd w:id="6"/>
    </w:p>
    <w:p w14:paraId="13E4F1DC">
      <w:pPr>
        <w:keepNext w:val="0"/>
        <w:keepLines w:val="0"/>
        <w:pageBreakBefore w:val="0"/>
        <w:widowControl w:val="0"/>
        <w:kinsoku/>
        <w:wordWrap/>
        <w:overflowPunct/>
        <w:topLinePunct w:val="0"/>
        <w:autoSpaceDE/>
        <w:autoSpaceDN/>
        <w:bidi w:val="0"/>
        <w:adjustRightInd/>
        <w:snapToGrid w:val="0"/>
        <w:spacing w:line="590" w:lineRule="exact"/>
        <w:ind w:left="1196" w:leftChars="284" w:hanging="600" w:hangingChars="200"/>
        <w:jc w:val="left"/>
        <w:textAlignment w:val="auto"/>
        <w:rPr>
          <w:rFonts w:hint="eastAsia" w:ascii="华文楷体" w:hAnsi="华文楷体" w:eastAsia="华文楷体" w:cs="华文楷体"/>
          <w:b w:val="0"/>
          <w:bCs w:val="0"/>
          <w:color w:val="auto"/>
          <w:sz w:val="30"/>
          <w:szCs w:val="30"/>
          <w:lang w:val="en-US" w:eastAsia="zh-CN"/>
        </w:rPr>
      </w:pPr>
    </w:p>
    <w:sectPr>
      <w:headerReference r:id="rId3" w:type="default"/>
      <w:footerReference r:id="rId4" w:type="default"/>
      <w:footerReference r:id="rId5" w:type="even"/>
      <w:pgSz w:w="11906" w:h="16838"/>
      <w:pgMar w:top="1701" w:right="1417" w:bottom="1417" w:left="1417" w:header="1134" w:footer="1503" w:gutter="0"/>
      <w:cols w:space="720" w:num="1"/>
      <w:titlePg/>
      <w:docGrid w:type="lines" w:linePitch="312" w:charSpace="80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汉鼎简书宋">
    <w:altName w:val="宋体"/>
    <w:panose1 w:val="02010609010101010101"/>
    <w:charset w:val="86"/>
    <w:family w:val="modern"/>
    <w:pitch w:val="default"/>
    <w:sig w:usb0="00000000" w:usb1="00000000" w:usb2="00000010" w:usb3="00000000" w:csb0="00040000" w:csb1="00000000"/>
  </w:font>
  <w:font w:name="Tahoma">
    <w:panose1 w:val="020B0604030504040204"/>
    <w:charset w:val="00"/>
    <w:family w:val="swiss"/>
    <w:pitch w:val="default"/>
    <w:sig w:usb0="E1002EFF" w:usb1="C000605B" w:usb2="00000029" w:usb3="00000000" w:csb0="200101FF" w:csb1="20280000"/>
  </w:font>
  <w:font w:name="楷体_GB2312">
    <w:panose1 w:val="02010609030101010101"/>
    <w:charset w:val="86"/>
    <w:family w:val="modern"/>
    <w:pitch w:val="default"/>
    <w:sig w:usb0="00000001" w:usb1="080E0000" w:usb2="00000000" w:usb3="00000000" w:csb0="00040000" w:csb1="00000000"/>
  </w:font>
  <w:font w:name="华文楷体">
    <w:altName w:val="楷体_GB2312"/>
    <w:panose1 w:val="02010600040101010101"/>
    <w:charset w:val="86"/>
    <w:family w:val="auto"/>
    <w:pitch w:val="default"/>
    <w:sig w:usb0="00000000" w:usb1="0000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768E51">
    <w:pPr>
      <w:pStyle w:val="9"/>
      <w:framePr w:wrap="around" w:vAnchor="text" w:hAnchor="margin" w:xAlign="outside" w:y="1"/>
      <w:rPr>
        <w:rStyle w:val="17"/>
        <w:rFonts w:hint="eastAsia"/>
        <w:sz w:val="28"/>
      </w:rPr>
    </w:pPr>
    <w:r>
      <w:rPr>
        <w:rStyle w:val="17"/>
        <w:rFonts w:hint="eastAsia" w:ascii="宋体" w:hAnsi="宋体"/>
        <w:sz w:val="28"/>
      </w:rPr>
      <w:t>―</w:t>
    </w:r>
    <w:r>
      <w:rPr>
        <w:rStyle w:val="17"/>
        <w:rFonts w:hint="eastAsia"/>
        <w:sz w:val="28"/>
      </w:rPr>
      <w:t xml:space="preserve"> </w:t>
    </w:r>
    <w:r>
      <w:rPr>
        <w:rStyle w:val="17"/>
        <w:sz w:val="28"/>
      </w:rPr>
      <w:fldChar w:fldCharType="begin"/>
    </w:r>
    <w:r>
      <w:rPr>
        <w:rStyle w:val="17"/>
        <w:sz w:val="28"/>
      </w:rPr>
      <w:instrText xml:space="preserve">PAGE  </w:instrText>
    </w:r>
    <w:r>
      <w:rPr>
        <w:rStyle w:val="17"/>
        <w:sz w:val="28"/>
      </w:rPr>
      <w:fldChar w:fldCharType="separate"/>
    </w:r>
    <w:r>
      <w:rPr>
        <w:rStyle w:val="17"/>
        <w:sz w:val="28"/>
      </w:rPr>
      <w:t>2</w:t>
    </w:r>
    <w:r>
      <w:rPr>
        <w:rStyle w:val="17"/>
        <w:sz w:val="28"/>
      </w:rPr>
      <w:fldChar w:fldCharType="end"/>
    </w:r>
    <w:r>
      <w:rPr>
        <w:rStyle w:val="17"/>
        <w:rFonts w:hint="eastAsia"/>
        <w:sz w:val="28"/>
      </w:rPr>
      <w:t xml:space="preserve"> </w:t>
    </w:r>
    <w:r>
      <w:rPr>
        <w:rStyle w:val="17"/>
        <w:rFonts w:hint="eastAsia" w:ascii="宋体" w:hAnsi="宋体"/>
        <w:sz w:val="28"/>
      </w:rPr>
      <w:t>―</w:t>
    </w:r>
  </w:p>
  <w:p w14:paraId="5A2D853F">
    <w:pPr>
      <w:pStyle w:val="9"/>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79D3FE">
    <w:pPr>
      <w:pStyle w:val="9"/>
      <w:framePr w:wrap="around" w:vAnchor="text" w:hAnchor="margin" w:xAlign="outside" w:y="1"/>
      <w:rPr>
        <w:rStyle w:val="17"/>
      </w:rPr>
    </w:pPr>
    <w:r>
      <w:rPr>
        <w:rStyle w:val="17"/>
      </w:rPr>
      <w:fldChar w:fldCharType="begin"/>
    </w:r>
    <w:r>
      <w:rPr>
        <w:rStyle w:val="17"/>
      </w:rPr>
      <w:instrText xml:space="preserve">PAGE  </w:instrText>
    </w:r>
    <w:r>
      <w:rPr>
        <w:rStyle w:val="17"/>
      </w:rPr>
      <w:fldChar w:fldCharType="end"/>
    </w:r>
  </w:p>
  <w:p w14:paraId="29F93B6E">
    <w:pPr>
      <w:pStyle w:val="9"/>
      <w:ind w:right="360"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811CEE">
    <w:pPr>
      <w:pStyle w:val="10"/>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8"/>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4896"/>
    <w:rsid w:val="000001CF"/>
    <w:rsid w:val="00026628"/>
    <w:rsid w:val="00041246"/>
    <w:rsid w:val="000C0CFE"/>
    <w:rsid w:val="000D348E"/>
    <w:rsid w:val="00126DCF"/>
    <w:rsid w:val="00192134"/>
    <w:rsid w:val="001A7002"/>
    <w:rsid w:val="001A7E25"/>
    <w:rsid w:val="001C13B6"/>
    <w:rsid w:val="00270B56"/>
    <w:rsid w:val="003B41D3"/>
    <w:rsid w:val="003D2929"/>
    <w:rsid w:val="003F52EE"/>
    <w:rsid w:val="00487AF2"/>
    <w:rsid w:val="00491F01"/>
    <w:rsid w:val="004D452A"/>
    <w:rsid w:val="004F2B80"/>
    <w:rsid w:val="00554313"/>
    <w:rsid w:val="00562512"/>
    <w:rsid w:val="00567C32"/>
    <w:rsid w:val="00595D18"/>
    <w:rsid w:val="005D2912"/>
    <w:rsid w:val="005F112D"/>
    <w:rsid w:val="006344D0"/>
    <w:rsid w:val="0063597A"/>
    <w:rsid w:val="0066536E"/>
    <w:rsid w:val="00667561"/>
    <w:rsid w:val="00677A86"/>
    <w:rsid w:val="006C0566"/>
    <w:rsid w:val="00735456"/>
    <w:rsid w:val="007953FD"/>
    <w:rsid w:val="007E3C40"/>
    <w:rsid w:val="00831320"/>
    <w:rsid w:val="00846DB3"/>
    <w:rsid w:val="009330B6"/>
    <w:rsid w:val="0097541C"/>
    <w:rsid w:val="00994641"/>
    <w:rsid w:val="009D6C7F"/>
    <w:rsid w:val="00A40126"/>
    <w:rsid w:val="00AA5976"/>
    <w:rsid w:val="00AF591F"/>
    <w:rsid w:val="00B5082A"/>
    <w:rsid w:val="00B51081"/>
    <w:rsid w:val="00B72159"/>
    <w:rsid w:val="00B84328"/>
    <w:rsid w:val="00BB3F36"/>
    <w:rsid w:val="00BD5E65"/>
    <w:rsid w:val="00BF67C2"/>
    <w:rsid w:val="00C062D9"/>
    <w:rsid w:val="00CE520B"/>
    <w:rsid w:val="00D14896"/>
    <w:rsid w:val="00D42C38"/>
    <w:rsid w:val="00D961F1"/>
    <w:rsid w:val="00DE27FA"/>
    <w:rsid w:val="00DE2C98"/>
    <w:rsid w:val="00E505ED"/>
    <w:rsid w:val="00E85BE3"/>
    <w:rsid w:val="00EC342A"/>
    <w:rsid w:val="00F161F5"/>
    <w:rsid w:val="00F970DF"/>
    <w:rsid w:val="0726573F"/>
    <w:rsid w:val="09CA1181"/>
    <w:rsid w:val="0A125676"/>
    <w:rsid w:val="0D4F2AE5"/>
    <w:rsid w:val="0DEB5A37"/>
    <w:rsid w:val="0E640050"/>
    <w:rsid w:val="0F52122C"/>
    <w:rsid w:val="0F6F1094"/>
    <w:rsid w:val="120E1C01"/>
    <w:rsid w:val="128379F6"/>
    <w:rsid w:val="12856FF3"/>
    <w:rsid w:val="13BA5B9C"/>
    <w:rsid w:val="13C979FA"/>
    <w:rsid w:val="15917365"/>
    <w:rsid w:val="16153CF4"/>
    <w:rsid w:val="17D84309"/>
    <w:rsid w:val="19FE60C7"/>
    <w:rsid w:val="1A1914F5"/>
    <w:rsid w:val="1B176524"/>
    <w:rsid w:val="1BED373D"/>
    <w:rsid w:val="1C663D97"/>
    <w:rsid w:val="1E765922"/>
    <w:rsid w:val="1F0D7671"/>
    <w:rsid w:val="1FDE71AF"/>
    <w:rsid w:val="20BA50E3"/>
    <w:rsid w:val="220E557A"/>
    <w:rsid w:val="232609F0"/>
    <w:rsid w:val="252D1EE5"/>
    <w:rsid w:val="25F11F97"/>
    <w:rsid w:val="260A4701"/>
    <w:rsid w:val="269D7E97"/>
    <w:rsid w:val="27CB7E09"/>
    <w:rsid w:val="284E34A5"/>
    <w:rsid w:val="291649F7"/>
    <w:rsid w:val="291B3F52"/>
    <w:rsid w:val="29AB3D65"/>
    <w:rsid w:val="29FA00EA"/>
    <w:rsid w:val="2A7501F0"/>
    <w:rsid w:val="2BFC0D17"/>
    <w:rsid w:val="2D3E219F"/>
    <w:rsid w:val="2D9B4434"/>
    <w:rsid w:val="2E853097"/>
    <w:rsid w:val="2F9741F9"/>
    <w:rsid w:val="2FC737F6"/>
    <w:rsid w:val="2FE679B6"/>
    <w:rsid w:val="30025200"/>
    <w:rsid w:val="30870396"/>
    <w:rsid w:val="31B62063"/>
    <w:rsid w:val="339B5615"/>
    <w:rsid w:val="349B0E30"/>
    <w:rsid w:val="355549D6"/>
    <w:rsid w:val="368707A0"/>
    <w:rsid w:val="36E8706D"/>
    <w:rsid w:val="37FF4F0E"/>
    <w:rsid w:val="38A97D85"/>
    <w:rsid w:val="3A282EC7"/>
    <w:rsid w:val="3A53380B"/>
    <w:rsid w:val="3D957DFF"/>
    <w:rsid w:val="3DFE29E0"/>
    <w:rsid w:val="3EF51FB7"/>
    <w:rsid w:val="402A1393"/>
    <w:rsid w:val="40EE14B1"/>
    <w:rsid w:val="41680404"/>
    <w:rsid w:val="42007882"/>
    <w:rsid w:val="42B875A4"/>
    <w:rsid w:val="438576C5"/>
    <w:rsid w:val="439F0BBE"/>
    <w:rsid w:val="461D3EE6"/>
    <w:rsid w:val="4732045C"/>
    <w:rsid w:val="476D05EC"/>
    <w:rsid w:val="48BC7A7A"/>
    <w:rsid w:val="4D037CA5"/>
    <w:rsid w:val="4D4D6CAD"/>
    <w:rsid w:val="4E100354"/>
    <w:rsid w:val="4E823E3F"/>
    <w:rsid w:val="50775E7B"/>
    <w:rsid w:val="51463C84"/>
    <w:rsid w:val="51EB67C6"/>
    <w:rsid w:val="51EC39BC"/>
    <w:rsid w:val="526D1882"/>
    <w:rsid w:val="527D3E2F"/>
    <w:rsid w:val="54535B9B"/>
    <w:rsid w:val="56D90809"/>
    <w:rsid w:val="575E5E0B"/>
    <w:rsid w:val="576C3EC8"/>
    <w:rsid w:val="58F4010C"/>
    <w:rsid w:val="599125D0"/>
    <w:rsid w:val="5A7B4474"/>
    <w:rsid w:val="5D0C3D95"/>
    <w:rsid w:val="5E175DB4"/>
    <w:rsid w:val="5E3E7416"/>
    <w:rsid w:val="5F63425D"/>
    <w:rsid w:val="633A1D77"/>
    <w:rsid w:val="63C51FC3"/>
    <w:rsid w:val="6534300B"/>
    <w:rsid w:val="66013B47"/>
    <w:rsid w:val="670856A2"/>
    <w:rsid w:val="69271CDD"/>
    <w:rsid w:val="69FC3374"/>
    <w:rsid w:val="6ABE0F32"/>
    <w:rsid w:val="6B743DD4"/>
    <w:rsid w:val="6BB20BEF"/>
    <w:rsid w:val="6BFA5CBF"/>
    <w:rsid w:val="6CB93980"/>
    <w:rsid w:val="6E193FCD"/>
    <w:rsid w:val="6E273EB7"/>
    <w:rsid w:val="70EB61B4"/>
    <w:rsid w:val="719E1C2B"/>
    <w:rsid w:val="71F25EB7"/>
    <w:rsid w:val="721533D8"/>
    <w:rsid w:val="72CA156B"/>
    <w:rsid w:val="734F6D9E"/>
    <w:rsid w:val="75B46566"/>
    <w:rsid w:val="75B66322"/>
    <w:rsid w:val="77A3353E"/>
    <w:rsid w:val="784E3B62"/>
    <w:rsid w:val="793D1A06"/>
    <w:rsid w:val="79AE53C9"/>
    <w:rsid w:val="7A1811CF"/>
    <w:rsid w:val="7AE349E1"/>
    <w:rsid w:val="7B615D46"/>
    <w:rsid w:val="7BE0008B"/>
    <w:rsid w:val="7CBDF9E3"/>
    <w:rsid w:val="7D52649A"/>
    <w:rsid w:val="7D865D8F"/>
    <w:rsid w:val="7E6D6AA6"/>
    <w:rsid w:val="7EE201BD"/>
    <w:rsid w:val="7F195567"/>
    <w:rsid w:val="D98E85D2"/>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4">
    <w:name w:val="Default Paragraph Font"/>
    <w:link w:val="15"/>
    <w:semiHidden/>
    <w:qFormat/>
    <w:uiPriority w:val="0"/>
  </w:style>
  <w:style w:type="table" w:default="1" w:styleId="12">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Body Text"/>
    <w:basedOn w:val="1"/>
    <w:link w:val="29"/>
    <w:qFormat/>
    <w:uiPriority w:val="0"/>
    <w:pPr>
      <w:autoSpaceDE w:val="0"/>
      <w:autoSpaceDN w:val="0"/>
      <w:adjustRightInd w:val="0"/>
      <w:jc w:val="center"/>
    </w:pPr>
    <w:rPr>
      <w:rFonts w:ascii="方正小标宋简体" w:hAnsi="Times New Roman" w:eastAsia="方正小标宋简体" w:cs="方正小标宋简体"/>
      <w:sz w:val="44"/>
      <w:szCs w:val="44"/>
    </w:rPr>
  </w:style>
  <w:style w:type="paragraph" w:styleId="4">
    <w:name w:val="Body Text Indent"/>
    <w:basedOn w:val="1"/>
    <w:qFormat/>
    <w:uiPriority w:val="0"/>
    <w:pPr>
      <w:spacing w:line="560" w:lineRule="exact"/>
      <w:ind w:firstLine="600" w:firstLineChars="200"/>
      <w:outlineLvl w:val="0"/>
    </w:pPr>
    <w:rPr>
      <w:rFonts w:ascii="仿宋_GB2312" w:eastAsia="仿宋_GB2312"/>
      <w:sz w:val="30"/>
    </w:rPr>
  </w:style>
  <w:style w:type="paragraph" w:styleId="5">
    <w:name w:val="Plain Text"/>
    <w:basedOn w:val="1"/>
    <w:qFormat/>
    <w:uiPriority w:val="0"/>
    <w:rPr>
      <w:rFonts w:ascii="宋体" w:hAnsi="Courier New" w:eastAsia="宋体"/>
      <w:kern w:val="2"/>
      <w:sz w:val="21"/>
      <w:lang w:val="en-US" w:eastAsia="zh-CN" w:bidi="ar-SA"/>
    </w:rPr>
  </w:style>
  <w:style w:type="paragraph" w:styleId="6">
    <w:name w:val="Date"/>
    <w:basedOn w:val="1"/>
    <w:next w:val="1"/>
    <w:qFormat/>
    <w:uiPriority w:val="0"/>
    <w:pPr>
      <w:ind w:left="100" w:leftChars="2500"/>
    </w:pPr>
    <w:rPr>
      <w:rFonts w:eastAsia="仿宋_GB2312"/>
      <w:w w:val="99"/>
      <w:sz w:val="32"/>
    </w:rPr>
  </w:style>
  <w:style w:type="paragraph" w:styleId="7">
    <w:name w:val="Body Text Indent 2"/>
    <w:basedOn w:val="1"/>
    <w:qFormat/>
    <w:uiPriority w:val="0"/>
    <w:pPr>
      <w:snapToGrid w:val="0"/>
      <w:spacing w:line="600" w:lineRule="exact"/>
      <w:ind w:firstLine="640" w:firstLineChars="200"/>
    </w:pPr>
    <w:rPr>
      <w:rFonts w:ascii="仿宋_GB2312" w:eastAsia="仿宋_GB2312"/>
      <w:color w:val="FF0000"/>
      <w:sz w:val="32"/>
      <w:szCs w:val="32"/>
    </w:rPr>
  </w:style>
  <w:style w:type="paragraph" w:styleId="8">
    <w:name w:val="Balloon Text"/>
    <w:basedOn w:val="1"/>
    <w:semiHidden/>
    <w:qFormat/>
    <w:uiPriority w:val="0"/>
    <w:rPr>
      <w:sz w:val="18"/>
      <w:szCs w:val="18"/>
    </w:rPr>
  </w:style>
  <w:style w:type="paragraph" w:styleId="9">
    <w:name w:val="footer"/>
    <w:basedOn w:val="1"/>
    <w:qFormat/>
    <w:uiPriority w:val="0"/>
    <w:pPr>
      <w:tabs>
        <w:tab w:val="center" w:pos="4153"/>
        <w:tab w:val="right" w:pos="8306"/>
      </w:tabs>
      <w:snapToGrid w:val="0"/>
      <w:jc w:val="left"/>
    </w:pPr>
    <w:rPr>
      <w:sz w:val="18"/>
      <w:szCs w:val="18"/>
    </w:rPr>
  </w:style>
  <w:style w:type="paragraph" w:styleId="10">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1">
    <w:name w:val="Normal (Web)"/>
    <w:basedOn w:val="1"/>
    <w:qFormat/>
    <w:uiPriority w:val="99"/>
    <w:pPr>
      <w:widowControl/>
      <w:spacing w:before="100" w:beforeAutospacing="1" w:after="100" w:afterAutospacing="1"/>
      <w:jc w:val="left"/>
    </w:pPr>
    <w:rPr>
      <w:rFonts w:ascii="宋体" w:hAnsi="宋体" w:eastAsia="宋体" w:cs="宋体"/>
      <w:kern w:val="0"/>
      <w:sz w:val="24"/>
      <w:szCs w:val="24"/>
    </w:rPr>
  </w:style>
  <w:style w:type="table" w:styleId="13">
    <w:name w:val="Table Grid"/>
    <w:basedOn w:val="1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5">
    <w:name w:val="Char"/>
    <w:basedOn w:val="1"/>
    <w:link w:val="14"/>
    <w:qFormat/>
    <w:uiPriority w:val="0"/>
  </w:style>
  <w:style w:type="character" w:styleId="16">
    <w:name w:val="Strong"/>
    <w:basedOn w:val="14"/>
    <w:qFormat/>
    <w:uiPriority w:val="22"/>
    <w:rPr>
      <w:rFonts w:ascii="Times New Roman" w:hAnsi="Times New Roman" w:eastAsia="宋体" w:cs="Times New Roman"/>
      <w:b/>
      <w:bCs/>
    </w:rPr>
  </w:style>
  <w:style w:type="character" w:styleId="17">
    <w:name w:val="page number"/>
    <w:basedOn w:val="14"/>
    <w:qFormat/>
    <w:uiPriority w:val="0"/>
  </w:style>
  <w:style w:type="character" w:styleId="18">
    <w:name w:val="Hyperlink"/>
    <w:basedOn w:val="14"/>
    <w:qFormat/>
    <w:uiPriority w:val="0"/>
    <w:rPr>
      <w:rFonts w:ascii="Times New Roman" w:hAnsi="Times New Roman" w:eastAsia="宋体" w:cs="Times New Roman"/>
      <w:color w:val="0000FF"/>
      <w:u w:val="single"/>
    </w:rPr>
  </w:style>
  <w:style w:type="paragraph" w:customStyle="1" w:styleId="19">
    <w:name w:val="Default"/>
    <w:basedOn w:val="20"/>
    <w:next w:val="21"/>
    <w:qFormat/>
    <w:uiPriority w:val="0"/>
    <w:pPr>
      <w:widowControl w:val="0"/>
      <w:autoSpaceDE w:val="0"/>
      <w:autoSpaceDN w:val="0"/>
    </w:pPr>
    <w:rPr>
      <w:rFonts w:hint="eastAsia" w:ascii="黑体" w:hAnsi="黑体" w:eastAsia="黑体"/>
      <w:color w:val="000000"/>
      <w:sz w:val="24"/>
      <w:lang w:val="en-US" w:eastAsia="zh-CN" w:bidi="ar-SA"/>
    </w:rPr>
  </w:style>
  <w:style w:type="paragraph" w:customStyle="1" w:styleId="20">
    <w:name w:val="纯文本1"/>
    <w:basedOn w:val="1"/>
    <w:next w:val="1"/>
    <w:qFormat/>
    <w:uiPriority w:val="0"/>
    <w:pPr>
      <w:adjustRightInd w:val="0"/>
      <w:textAlignment w:val="baseline"/>
    </w:pPr>
    <w:rPr>
      <w:rFonts w:ascii="宋体" w:hAnsi="Courier New"/>
      <w:szCs w:val="20"/>
    </w:rPr>
  </w:style>
  <w:style w:type="paragraph" w:customStyle="1" w:styleId="21">
    <w:name w:val="正文文字 6"/>
    <w:basedOn w:val="22"/>
    <w:next w:val="1"/>
    <w:qFormat/>
    <w:uiPriority w:val="0"/>
    <w:pPr>
      <w:widowControl w:val="0"/>
      <w:ind w:left="240"/>
      <w:jc w:val="both"/>
    </w:pPr>
    <w:rPr>
      <w:rFonts w:ascii="宋体" w:hAnsi="Times New Roman" w:eastAsia="宋体" w:cs="Times New Roman"/>
      <w:bCs/>
      <w:kern w:val="2"/>
      <w:sz w:val="32"/>
      <w:szCs w:val="32"/>
      <w:lang w:val="en-US" w:eastAsia="zh-CN" w:bidi="ar-SA"/>
    </w:rPr>
  </w:style>
  <w:style w:type="paragraph" w:customStyle="1" w:styleId="22">
    <w:name w:val="TT标题"/>
    <w:basedOn w:val="1"/>
    <w:qFormat/>
    <w:uiPriority w:val="0"/>
    <w:pPr>
      <w:jc w:val="center"/>
    </w:pPr>
    <w:rPr>
      <w:rFonts w:cs="宋体"/>
      <w:b/>
      <w:szCs w:val="20"/>
    </w:rPr>
  </w:style>
  <w:style w:type="paragraph" w:customStyle="1" w:styleId="23">
    <w:name w:val="Q-正文"/>
    <w:basedOn w:val="1"/>
    <w:next w:val="1"/>
    <w:qFormat/>
    <w:uiPriority w:val="0"/>
    <w:pPr>
      <w:ind w:firstLine="200"/>
    </w:pPr>
    <w:rPr>
      <w:rFonts w:ascii="Times New Roman" w:hAnsi="Times New Roman" w:eastAsia="宋体" w:cs="Courier New"/>
      <w:sz w:val="21"/>
      <w:szCs w:val="22"/>
    </w:rPr>
  </w:style>
  <w:style w:type="paragraph" w:customStyle="1" w:styleId="24">
    <w:name w:val="A正文-lcc"/>
    <w:basedOn w:val="1"/>
    <w:link w:val="27"/>
    <w:qFormat/>
    <w:uiPriority w:val="0"/>
    <w:pPr>
      <w:widowControl/>
      <w:spacing w:line="360" w:lineRule="auto"/>
      <w:ind w:firstLine="200" w:firstLineChars="200"/>
      <w:jc w:val="left"/>
    </w:pPr>
    <w:rPr>
      <w:rFonts w:ascii="Times New Roman" w:hAnsi="Times New Roman" w:eastAsia="宋体" w:cs="Times New Roman"/>
      <w:color w:val="000000"/>
      <w:kern w:val="0"/>
      <w:sz w:val="24"/>
      <w:szCs w:val="24"/>
    </w:rPr>
  </w:style>
  <w:style w:type="paragraph" w:customStyle="1" w:styleId="25">
    <w:name w:val="默认段落字体 Para Char"/>
    <w:basedOn w:val="1"/>
    <w:next w:val="1"/>
    <w:qFormat/>
    <w:uiPriority w:val="0"/>
    <w:pPr>
      <w:spacing w:line="360" w:lineRule="auto"/>
      <w:ind w:firstLine="200" w:firstLineChars="200"/>
    </w:pPr>
    <w:rPr>
      <w:rFonts w:ascii="宋体" w:hAnsi="宋体" w:eastAsia="汉鼎简书宋" w:cs="宋体"/>
      <w:sz w:val="24"/>
      <w:szCs w:val="24"/>
    </w:rPr>
  </w:style>
  <w:style w:type="paragraph" w:customStyle="1" w:styleId="26">
    <w:name w:val=" Char"/>
    <w:basedOn w:val="1"/>
    <w:qFormat/>
    <w:uiPriority w:val="0"/>
    <w:pPr>
      <w:spacing w:line="360" w:lineRule="auto"/>
    </w:pPr>
    <w:rPr>
      <w:rFonts w:ascii="Tahoma" w:hAnsi="Tahoma" w:eastAsia="宋体" w:cs="Times New Roman"/>
      <w:sz w:val="28"/>
      <w:szCs w:val="20"/>
    </w:rPr>
  </w:style>
  <w:style w:type="character" w:customStyle="1" w:styleId="27">
    <w:name w:val="A正文-lcc Char"/>
    <w:link w:val="24"/>
    <w:qFormat/>
    <w:uiPriority w:val="0"/>
    <w:rPr>
      <w:rFonts w:ascii="Times New Roman" w:hAnsi="Times New Roman" w:eastAsia="宋体" w:cs="Times New Roman"/>
      <w:color w:val="000000"/>
      <w:kern w:val="0"/>
      <w:sz w:val="24"/>
      <w:szCs w:val="24"/>
    </w:rPr>
  </w:style>
  <w:style w:type="character" w:customStyle="1" w:styleId="28">
    <w:name w:val="content1"/>
    <w:basedOn w:val="14"/>
    <w:qFormat/>
    <w:uiPriority w:val="0"/>
    <w:rPr>
      <w:rFonts w:ascii="Times New Roman" w:hAnsi="Times New Roman" w:eastAsia="宋体" w:cs="Times New Roman"/>
      <w:sz w:val="21"/>
      <w:szCs w:val="21"/>
    </w:rPr>
  </w:style>
  <w:style w:type="character" w:customStyle="1" w:styleId="29">
    <w:name w:val="正文文本 Char"/>
    <w:basedOn w:val="14"/>
    <w:link w:val="3"/>
    <w:semiHidden/>
    <w:qFormat/>
    <w:locked/>
    <w:uiPriority w:val="0"/>
    <w:rPr>
      <w:rFonts w:ascii="方正小标宋简体" w:hAnsi="Times New Roman" w:eastAsia="方正小标宋简体" w:cs="方正小标宋简体"/>
      <w:sz w:val="44"/>
      <w:szCs w:val="44"/>
    </w:rPr>
  </w:style>
  <w:style w:type="character" w:customStyle="1" w:styleId="30">
    <w:name w:val="样式 楷体_GB2312 黑色"/>
    <w:qFormat/>
    <w:uiPriority w:val="0"/>
    <w:rPr>
      <w:rFonts w:ascii="楷体_GB2312" w:hAnsi="宋体" w:eastAsia="楷体_GB2312" w:cs="Times New Roman"/>
      <w:b/>
      <w:color w:val="000000"/>
      <w:sz w:val="24"/>
      <w:lang w:val="en-US" w:eastAsia="zh-CN"/>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Company>gzepb</Company>
  <Pages>4</Pages>
  <Words>1672</Words>
  <Characters>1839</Characters>
  <Lines>16</Lines>
  <Paragraphs>4</Paragraphs>
  <TotalTime>13</TotalTime>
  <ScaleCrop>false</ScaleCrop>
  <LinksUpToDate>false</LinksUpToDate>
  <CharactersWithSpaces>1922</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2021-12-16T10:42:00Z</dcterms:created>
  <dc:creator>张春菊</dc:creator>
  <cp:lastModifiedBy>dolyzzzz</cp:lastModifiedBy>
  <cp:lastPrinted>2025-11-04T02:14:00Z</cp:lastPrinted>
  <dcterms:modified xsi:type="dcterms:W3CDTF">2025-11-06T03:32:01Z</dcterms:modified>
  <dc:title>                                   穗府办函〔2006〕号</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80EEDB4B9A514F95B67CFCD2B528543A</vt:lpwstr>
  </property>
  <property fmtid="{D5CDD505-2E9C-101B-9397-08002B2CF9AE}" pid="4" name="KSOTemplateDocerSaveRecord">
    <vt:lpwstr>eyJoZGlkIjoiZTk3OTI2Y2Y4NTVhMDE4ZDI0NmQ3YmQxYzcwODhjOTYiLCJ1c2VySWQiOiIxMjEwNzk5MTAifQ==</vt:lpwstr>
  </property>
</Properties>
</file>