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373B5">
      <w:pPr>
        <w:adjustRightInd w:val="0"/>
        <w:snapToGrid w:val="0"/>
        <w:ind w:right="-156" w:hanging="180"/>
        <w:jc w:val="center"/>
        <w:rPr>
          <w:rFonts w:ascii="公文小标宋简" w:eastAsia="公文小标宋简"/>
          <w:b/>
          <w:bCs/>
          <w:smallCaps/>
          <w:snapToGrid w:val="0"/>
          <w:color w:val="auto"/>
          <w:spacing w:val="56"/>
          <w:kern w:val="0"/>
          <w:sz w:val="72"/>
          <w:szCs w:val="72"/>
        </w:rPr>
      </w:pPr>
      <w:bookmarkStart w:id="0" w:name="Content"/>
    </w:p>
    <w:p w14:paraId="1AA5779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ascii="仿宋_GB2312"/>
          <w:color w:val="auto"/>
        </w:rPr>
      </w:pPr>
      <w:r>
        <w:rPr>
          <w:rFonts w:hint="eastAsia" w:ascii="仿宋_GB2312"/>
          <w:color w:val="auto"/>
        </w:rPr>
        <w:t xml:space="preserve">               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穗环管影（番）〔202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136</w:t>
      </w:r>
      <w:r>
        <w:rPr>
          <w:rFonts w:hint="eastAsia" w:ascii="仿宋_GB2312" w:eastAsia="仿宋_GB2312"/>
          <w:color w:val="auto"/>
          <w:sz w:val="32"/>
          <w:szCs w:val="32"/>
        </w:rPr>
        <w:t>号</w:t>
      </w:r>
    </w:p>
    <w:p w14:paraId="0D9D23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eastAsia="黑体"/>
          <w:color w:val="auto"/>
        </w:rPr>
      </w:pPr>
    </w:p>
    <w:p w14:paraId="76FBE57E">
      <w:pPr>
        <w:spacing w:line="590" w:lineRule="exact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57459CD6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广州市艺孜鑫塑料制品有限公司建设项目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50F4F537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28938C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广州市艺孜鑫塑料制品有限公司（91440101MA59HQ411P）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C3D06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广州市艺孜鑫塑料制品有限公司建设项目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0BE8B97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972" w:firstLineChars="304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广州市艺孜鑫塑料制品有限公司建设项目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位于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广东省广州市番禺区大龙街旧村东路2号之十六101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租赁1栋3层工业厂房，占地面积约1100平方米，建筑面积约3233.8平方米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，年产120吨游戏机外壳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；主要设备有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CNC雕刻机5台、吸塑机5台、五轴切割机2台、打孔机3台、修边机1台、烤炉4台、液压成型机3台、写真机1台、UV喷绘机1台、刻字机1台等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；员工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名，内部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安排食宿。</w:t>
      </w:r>
    </w:p>
    <w:p w14:paraId="794B8D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，我局同意《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825DE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17A95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（一）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非甲烷总烃、丙烯酸、丙烯酸甲酯、丙烯酸丁酯、甲基丙烯酸甲酯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排放执行《合成树脂工业污染物排放标准》（GB31572-2015）及2024年修改单表5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相关排放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限值；臭气浓度排放执行《恶臭污染物排放标准》（GB14554-93）表1厂界新扩改建二级标准限值和表2排放标准值；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总VOCs执行广东省《印刷行业挥发性有机化合物排放标准》（DB44/815-2010）中表2平版印刷（不含以金属、陶瓷、玻璃为承印物的平版印刷）第Ⅱ时段浓度限值和表3无组织排放监控点浓度限值，NMHC执行《印刷工业大气污染物排放标准》（GB41616-2022）表1大气污染物排放限值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颗粒物排放执行广东省《大气污染物排放限值》（DB44/27-2001）第二时段无组织排放监控浓度限值；厂区内非甲烷总烃排放执行《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挥发性有机物无组织排放控制标准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GB37822-2019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）中表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A.1厂区内VOCs无组织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排放限值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。</w:t>
      </w:r>
    </w:p>
    <w:p w14:paraId="44C4E9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按照《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挥发性有机物无组织排放控制标准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》（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GB37822-2019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）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等相关标准落实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无组织排放控制要求。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加热成型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废气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经集气罩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收集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喷画废气经密闭负压收集后分别经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二级活性炭吸附装置处理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引至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楼顶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排放，排放口高度不低于15米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项目设置废气排放口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个。加强车间边界无组织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废气的监控，确保车间边界无组织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排放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监控点的废气达到相应标准限值的要求，监测超标时应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加强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对无组织排放废气进行收集、净化处理。</w:t>
      </w:r>
    </w:p>
    <w:p w14:paraId="03FD0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（二）排水系统采用雨污分流。生活污水经三级化粪池预处理后排入市政集污管网，送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净水厂处理。项目设置废水排放口1个。水污染物排放执行广东省《水污染物排放限值》（DB44/26-2001）第二时段三级标准。生活污水排放量不超过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225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吨/年。</w:t>
      </w:r>
    </w:p>
    <w:p w14:paraId="5D950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（三）项目噪声排放执行《工业企业厂界环境噪声排放标准》（GB12348-2008）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类标准。</w:t>
      </w:r>
    </w:p>
    <w:p w14:paraId="00DD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四）各类固体废物实行分类收集、处置。固体废物的贮存、堆放应按《危险废物贮存污染控制标准》（GB18597-2023）、《一般工业固体废物贮存和填埋污染控制标准》(GB18599-2020)要求进行管理。危险废物应委托有资质的单位处置。</w:t>
      </w:r>
    </w:p>
    <w:p w14:paraId="55C1B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（五）加强环境风险防范和应急工作。建立健全环境事故应急体系，落实各项环境风险防范与应急措施，确保生态环境安全。</w:t>
      </w:r>
    </w:p>
    <w:p w14:paraId="4E86B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（六）加强运营期环境保护管理，确保各项污染物稳定达标排放，并按规定做好污染物排放的自行监测及信息公开工作。</w:t>
      </w:r>
    </w:p>
    <w:p w14:paraId="4689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（七）项目建设应符合法律、法规等要求，如涉及规划、水务、消防等其他部门许可事项的，须依法办理相关手续。</w:t>
      </w:r>
    </w:p>
    <w:p w14:paraId="155A1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E037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244B2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7405B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582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BDC63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2E3AD0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5E144D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9D4F08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6895C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326EB5F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0CCA84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公开方式：</w:t>
      </w:r>
      <w:r>
        <w:rPr>
          <w:rFonts w:hint="eastAsia" w:ascii="仿宋_GB2312" w:eastAsia="仿宋_GB2312"/>
          <w:sz w:val="32"/>
          <w:szCs w:val="32"/>
        </w:rPr>
        <w:t>主动公开</w:t>
      </w:r>
    </w:p>
    <w:p w14:paraId="22184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6452DA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1133" w:leftChars="201" w:hanging="711" w:hangingChars="254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抄送：广州市生态环境局番禺分局执法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28"/>
          <w:szCs w:val="28"/>
        </w:rPr>
        <w:t>科、</w:t>
      </w:r>
      <w:r>
        <w:rPr>
          <w:rFonts w:hint="eastAsia" w:ascii="仿宋_GB2312" w:eastAsia="仿宋_GB2312"/>
          <w:sz w:val="28"/>
          <w:szCs w:val="28"/>
          <w:lang w:eastAsia="zh-CN"/>
        </w:rPr>
        <w:t>番禺</w:t>
      </w: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28"/>
          <w:szCs w:val="28"/>
        </w:rPr>
        <w:t>环保所，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广州泓扬环保科技有限公司</w:t>
      </w:r>
      <w:r>
        <w:rPr>
          <w:rFonts w:hint="eastAsia" w:ascii="仿宋_GB2312" w:eastAsia="仿宋_GB2312"/>
          <w:sz w:val="28"/>
          <w:szCs w:val="28"/>
        </w:rPr>
        <w:t>。</w:t>
      </w:r>
    </w:p>
    <w:bookmarkEnd w:id="0"/>
    <w:p w14:paraId="598E995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567A9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221A7615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95C02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660B848D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41C09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C932692"/>
    <w:rsid w:val="0D4F2AE5"/>
    <w:rsid w:val="0DEB5A37"/>
    <w:rsid w:val="0E640050"/>
    <w:rsid w:val="0F52122C"/>
    <w:rsid w:val="0F6F1094"/>
    <w:rsid w:val="10BE1AC3"/>
    <w:rsid w:val="128379F6"/>
    <w:rsid w:val="12856FF3"/>
    <w:rsid w:val="13C979FA"/>
    <w:rsid w:val="13F23F17"/>
    <w:rsid w:val="16153CF4"/>
    <w:rsid w:val="16472CA9"/>
    <w:rsid w:val="17D84309"/>
    <w:rsid w:val="18E222BD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1B62063"/>
    <w:rsid w:val="31F02D17"/>
    <w:rsid w:val="339B5615"/>
    <w:rsid w:val="34C74EE4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38576C5"/>
    <w:rsid w:val="439F0BBE"/>
    <w:rsid w:val="448D6107"/>
    <w:rsid w:val="461D3EE6"/>
    <w:rsid w:val="4732045C"/>
    <w:rsid w:val="476D05EC"/>
    <w:rsid w:val="48BC7A7A"/>
    <w:rsid w:val="4A3F21C9"/>
    <w:rsid w:val="4D037CA5"/>
    <w:rsid w:val="4D4D6CAD"/>
    <w:rsid w:val="4E100354"/>
    <w:rsid w:val="4E823E3F"/>
    <w:rsid w:val="50775E7B"/>
    <w:rsid w:val="51463C84"/>
    <w:rsid w:val="51C51237"/>
    <w:rsid w:val="51EC39BC"/>
    <w:rsid w:val="526D1882"/>
    <w:rsid w:val="54535B9B"/>
    <w:rsid w:val="55DC6655"/>
    <w:rsid w:val="56D90809"/>
    <w:rsid w:val="575E5E0B"/>
    <w:rsid w:val="576C3EC8"/>
    <w:rsid w:val="58F4010C"/>
    <w:rsid w:val="599125D0"/>
    <w:rsid w:val="5C3454FA"/>
    <w:rsid w:val="5D0C3D95"/>
    <w:rsid w:val="5D6F63FD"/>
    <w:rsid w:val="5E175DB4"/>
    <w:rsid w:val="5E3E7416"/>
    <w:rsid w:val="5F63425D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45418F"/>
    <w:rsid w:val="6CB93980"/>
    <w:rsid w:val="6E193FCD"/>
    <w:rsid w:val="6E273EB7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2D2EA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1561</Words>
  <Characters>1728</Characters>
  <Lines>16</Lines>
  <Paragraphs>4</Paragraphs>
  <TotalTime>1083</TotalTime>
  <ScaleCrop>false</ScaleCrop>
  <LinksUpToDate>false</LinksUpToDate>
  <CharactersWithSpaces>1806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2025-10-27T02:39:00Z</cp:lastPrinted>
  <dcterms:modified xsi:type="dcterms:W3CDTF">2025-10-28T09:03:37Z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7607A7BF5D2F40B9B45F3051B76DE879_13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