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B7B36">
      <w:pPr>
        <w:keepNext w:val="0"/>
        <w:keepLines w:val="0"/>
        <w:widowControl w:val="0"/>
        <w:suppressLineNumbers w:val="0"/>
        <w:spacing w:line="590" w:lineRule="exact"/>
        <w:jc w:val="right"/>
        <w:rPr>
          <w:rFonts w:ascii="Times New Roman" w:hAnsi="Times New Roman" w:eastAsia="仿宋_GB2312" w:cs="Times New Roman"/>
          <w:b w:val="0"/>
          <w:bCs w:val="0"/>
          <w:sz w:val="32"/>
          <w:szCs w:val="32"/>
        </w:rPr>
      </w:pPr>
      <w:bookmarkStart w:id="0" w:name="Content"/>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color w:val="auto"/>
          <w:spacing w:val="0"/>
          <w:kern w:val="2"/>
          <w:sz w:val="32"/>
          <w:szCs w:val="32"/>
          <w:shd w:val="clear" w:color="auto" w:fill="auto"/>
          <w:lang w:val="en-US" w:eastAsia="zh-CN" w:bidi="ar"/>
        </w:rPr>
        <w:t>番</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〔202</w:t>
      </w:r>
      <w:r>
        <w:rPr>
          <w:rFonts w:hint="eastAsia" w:eastAsia="仿宋_GB2312" w:cs="Times New Roman"/>
          <w:b w:val="0"/>
          <w:bCs w:val="0"/>
          <w:i w:val="0"/>
          <w:iCs w:val="0"/>
          <w:caps w:val="0"/>
          <w:spacing w:val="0"/>
          <w:kern w:val="2"/>
          <w:sz w:val="32"/>
          <w:szCs w:val="32"/>
          <w:shd w:val="clear" w:color="auto" w:fill="auto"/>
          <w:lang w:val="en-US" w:eastAsia="zh-CN" w:bidi="ar"/>
        </w:rPr>
        <w:t>5</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spacing w:val="0"/>
          <w:kern w:val="2"/>
          <w:sz w:val="32"/>
          <w:szCs w:val="32"/>
          <w:shd w:val="clear" w:color="auto" w:fill="auto"/>
          <w:lang w:val="en-US" w:eastAsia="zh-CN" w:bidi="ar"/>
        </w:rPr>
        <w:t>134</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p w14:paraId="78622477">
      <w:pPr>
        <w:spacing w:line="590" w:lineRule="exact"/>
        <w:jc w:val="right"/>
        <w:rPr>
          <w:rFonts w:hint="default" w:ascii="Times New Roman" w:hAnsi="Times New Roman" w:eastAsia="仿宋_GB2312" w:cs="Times New Roman"/>
          <w:b/>
          <w:bCs/>
          <w:sz w:val="32"/>
          <w:szCs w:val="32"/>
        </w:rPr>
      </w:pPr>
    </w:p>
    <w:p w14:paraId="029BB5A0">
      <w:pPr>
        <w:spacing w:line="590" w:lineRule="exact"/>
        <w:jc w:val="right"/>
        <w:rPr>
          <w:rFonts w:hint="default" w:ascii="Times New Roman" w:hAnsi="Times New Roman" w:eastAsia="仿宋_GB2312" w:cs="Times New Roman"/>
          <w:b/>
          <w:bCs/>
          <w:sz w:val="32"/>
          <w:szCs w:val="32"/>
        </w:rPr>
      </w:pPr>
    </w:p>
    <w:p w14:paraId="2C57656C">
      <w:pPr>
        <w:spacing w:line="590" w:lineRule="exact"/>
        <w:jc w:val="center"/>
        <w:outlineLvl w:val="0"/>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广州市生态环境局关于</w:t>
      </w:r>
      <w:bookmarkStart w:id="1" w:name="OLE_LINK7"/>
      <w:r>
        <w:rPr>
          <w:rFonts w:hint="eastAsia" w:ascii="方正小标宋简体" w:hAnsi="方正小标宋简体" w:eastAsia="方正小标宋简体" w:cs="方正小标宋简体"/>
          <w:b w:val="0"/>
          <w:bCs w:val="0"/>
          <w:sz w:val="44"/>
          <w:szCs w:val="44"/>
          <w:lang w:val="en-US" w:eastAsia="zh-CN"/>
        </w:rPr>
        <w:t>锂电池用导电界面</w:t>
      </w:r>
    </w:p>
    <w:p w14:paraId="77B621F6">
      <w:pPr>
        <w:spacing w:line="590" w:lineRule="exact"/>
        <w:jc w:val="center"/>
        <w:outlineLvl w:val="0"/>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处理材料研发生产基地项目（重大变动）</w:t>
      </w:r>
    </w:p>
    <w:p w14:paraId="470C22AC">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环境影响报告表</w:t>
      </w:r>
      <w:bookmarkEnd w:id="1"/>
      <w:r>
        <w:rPr>
          <w:rFonts w:hint="eastAsia" w:ascii="方正小标宋简体" w:hAnsi="方正小标宋简体" w:eastAsia="方正小标宋简体" w:cs="方正小标宋简体"/>
          <w:b w:val="0"/>
          <w:bCs w:val="0"/>
          <w:sz w:val="44"/>
          <w:szCs w:val="44"/>
        </w:rPr>
        <w:t>的批复</w:t>
      </w:r>
    </w:p>
    <w:p w14:paraId="52B196A8">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689394BA">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1F6BD684">
      <w:pPr>
        <w:keepNext w:val="0"/>
        <w:keepLines w:val="0"/>
        <w:pageBreakBefore w:val="0"/>
        <w:widowControl w:val="0"/>
        <w:kinsoku/>
        <w:wordWrap/>
        <w:overflowPunct/>
        <w:topLinePunct w:val="0"/>
        <w:bidi w:val="0"/>
        <w:snapToGrid w:val="0"/>
        <w:spacing w:line="600" w:lineRule="exact"/>
        <w:jc w:val="left"/>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val="en-US" w:eastAsia="zh-CN"/>
        </w:rPr>
        <w:t>广州纳诺新材料科技有限公司（914401130765421720</w:t>
      </w:r>
      <w:r>
        <w:rPr>
          <w:rFonts w:hint="eastAsia"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rPr>
        <w:t>：</w:t>
      </w:r>
    </w:p>
    <w:p w14:paraId="6C658F96">
      <w:pPr>
        <w:keepNext w:val="0"/>
        <w:keepLines w:val="0"/>
        <w:pageBreakBefore w:val="0"/>
        <w:widowControl w:val="0"/>
        <w:kinsoku/>
        <w:wordWrap/>
        <w:overflowPunct/>
        <w:topLinePunct w:val="0"/>
        <w:bidi w:val="0"/>
        <w:spacing w:line="600" w:lineRule="exac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你公司报批的《锂电池用导电界面处理材料研发生产基地项目</w:t>
      </w: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重大变动</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环境影响报告表》（以下简称《报告</w:t>
      </w:r>
      <w:r>
        <w:rPr>
          <w:rFonts w:hint="default" w:ascii="Times New Roman" w:hAnsi="Times New Roman" w:eastAsia="仿宋_GB2312" w:cs="Times New Roman"/>
          <w:b w:val="0"/>
          <w:bCs w:val="0"/>
          <w:sz w:val="32"/>
          <w:szCs w:val="32"/>
          <w:lang w:val="en-US" w:eastAsia="zh-CN"/>
        </w:rPr>
        <w:t>表</w:t>
      </w:r>
      <w:r>
        <w:rPr>
          <w:rFonts w:hint="default" w:ascii="Times New Roman" w:hAnsi="Times New Roman" w:eastAsia="仿宋_GB2312" w:cs="Times New Roman"/>
          <w:b w:val="0"/>
          <w:bCs w:val="0"/>
          <w:sz w:val="32"/>
          <w:szCs w:val="32"/>
        </w:rPr>
        <w:t>》）及相关资料收悉。经研究，批复如下：</w:t>
      </w:r>
    </w:p>
    <w:p w14:paraId="77BA3517">
      <w:pPr>
        <w:keepNext w:val="0"/>
        <w:keepLines w:val="0"/>
        <w:pageBreakBefore w:val="0"/>
        <w:widowControl w:val="0"/>
        <w:numPr>
          <w:ilvl w:val="0"/>
          <w:numId w:val="0"/>
        </w:numPr>
        <w:kinsoku/>
        <w:wordWrap/>
        <w:overflowPunct/>
        <w:topLinePunct w:val="0"/>
        <w:bidi w:val="0"/>
        <w:spacing w:line="600" w:lineRule="exact"/>
        <w:ind w:firstLine="640" w:firstLineChars="200"/>
        <w:textAlignment w:val="auto"/>
        <w:rPr>
          <w:rFonts w:hint="default" w:eastAsia="宋体" w:cs="Times New Roman"/>
          <w:b w:val="0"/>
          <w:bCs w:val="0"/>
          <w:kern w:val="0"/>
          <w:sz w:val="32"/>
          <w:szCs w:val="32"/>
          <w:vertAlign w:val="baseline"/>
          <w:lang w:val="en-US" w:eastAsia="zh-CN"/>
        </w:rPr>
      </w:pPr>
      <w:r>
        <w:rPr>
          <w:rFonts w:hint="eastAsia" w:eastAsia="仿宋_GB2312" w:cs="Times New Roman"/>
          <w:b w:val="0"/>
          <w:bCs w:val="0"/>
          <w:sz w:val="32"/>
          <w:szCs w:val="32"/>
          <w:lang w:val="en-US" w:eastAsia="zh-CN"/>
        </w:rPr>
        <w:t>一、</w:t>
      </w:r>
      <w:r>
        <w:rPr>
          <w:rFonts w:hint="eastAsia" w:ascii="Times New Roman" w:hAnsi="Times New Roman" w:eastAsia="仿宋_GB2312" w:cs="Times New Roman"/>
          <w:b w:val="0"/>
          <w:bCs w:val="0"/>
          <w:sz w:val="32"/>
          <w:szCs w:val="32"/>
          <w:lang w:val="en-US" w:eastAsia="zh-CN"/>
        </w:rPr>
        <w:t>锂电池用导电界面处理材料研发生产基地项目（以下简称“该项目”）位于广州市番禺区化龙镇HL18BJ-03地块一，申报内容为从事导电涂炭铝箔</w:t>
      </w:r>
      <w:r>
        <w:rPr>
          <w:rFonts w:hint="eastAsia" w:eastAsia="仿宋_GB2312" w:cs="Times New Roman"/>
          <w:b w:val="0"/>
          <w:bCs w:val="0"/>
          <w:sz w:val="32"/>
          <w:szCs w:val="32"/>
          <w:lang w:val="en-US" w:eastAsia="zh-CN"/>
        </w:rPr>
        <w:t>/铜箔</w:t>
      </w:r>
      <w:r>
        <w:rPr>
          <w:rFonts w:hint="eastAsia" w:ascii="Times New Roman" w:hAnsi="Times New Roman" w:eastAsia="仿宋_GB2312" w:cs="Times New Roman"/>
          <w:b w:val="0"/>
          <w:bCs w:val="0"/>
          <w:sz w:val="32"/>
          <w:szCs w:val="32"/>
          <w:lang w:val="en-US" w:eastAsia="zh-CN"/>
        </w:rPr>
        <w:t>生产及电芯测试，年产</w:t>
      </w:r>
      <w:r>
        <w:rPr>
          <w:rFonts w:hint="eastAsia" w:eastAsia="仿宋_GB2312"/>
          <w:sz w:val="32"/>
          <w:szCs w:val="32"/>
        </w:rPr>
        <w:t>导电涂炭铝箔24000吨，导电涂炭铜箔4800吨，配套年试制2250个叠片软包电芯、250个圆柱电芯（试制的电芯用以测试导电涂炭铝箔/铜箔的性能）</w:t>
      </w:r>
      <w:r>
        <w:rPr>
          <w:rFonts w:hint="eastAsia" w:ascii="Times New Roman" w:hAnsi="Times New Roman" w:eastAsia="仿宋_GB2312" w:cs="Times New Roman"/>
          <w:b w:val="0"/>
          <w:bCs w:val="0"/>
          <w:sz w:val="32"/>
          <w:szCs w:val="32"/>
          <w:lang w:val="en-US" w:eastAsia="zh-CN"/>
        </w:rPr>
        <w:t>。该项目占地面积为45227平方米，总建筑面积为208618.64平方米，主要建筑物有1栋3层（带夹层）厂房</w:t>
      </w:r>
      <w:r>
        <w:rPr>
          <w:rFonts w:hint="eastAsia" w:eastAsia="仿宋_GB2312" w:cs="Times New Roman"/>
          <w:b w:val="0"/>
          <w:bCs w:val="0"/>
          <w:sz w:val="32"/>
          <w:szCs w:val="32"/>
          <w:lang w:val="en-US" w:eastAsia="zh-CN"/>
        </w:rPr>
        <w:t>、</w:t>
      </w:r>
      <w:r>
        <w:rPr>
          <w:rFonts w:hint="eastAsia" w:ascii="Times New Roman" w:hAnsi="Times New Roman" w:eastAsia="仿宋_GB2312" w:cs="Times New Roman"/>
          <w:b w:val="0"/>
          <w:bCs w:val="0"/>
          <w:sz w:val="32"/>
          <w:szCs w:val="32"/>
          <w:lang w:val="en-US" w:eastAsia="zh-CN"/>
        </w:rPr>
        <w:t>1栋17层厂房、</w:t>
      </w:r>
      <w:r>
        <w:rPr>
          <w:rFonts w:hint="eastAsia" w:eastAsia="仿宋_GB2312" w:cs="Times New Roman"/>
          <w:b w:val="0"/>
          <w:bCs w:val="0"/>
          <w:sz w:val="32"/>
          <w:szCs w:val="32"/>
          <w:lang w:val="en-US" w:eastAsia="zh-CN"/>
        </w:rPr>
        <w:t>2</w:t>
      </w:r>
      <w:r>
        <w:rPr>
          <w:rFonts w:hint="eastAsia" w:ascii="Times New Roman" w:hAnsi="Times New Roman" w:eastAsia="仿宋_GB2312" w:cs="Times New Roman"/>
          <w:b w:val="0"/>
          <w:bCs w:val="0"/>
          <w:sz w:val="32"/>
          <w:szCs w:val="32"/>
          <w:lang w:val="en-US" w:eastAsia="zh-CN"/>
        </w:rPr>
        <w:t>栋12层厂房</w:t>
      </w:r>
      <w:r>
        <w:rPr>
          <w:rFonts w:hint="eastAsia" w:eastAsia="仿宋_GB2312" w:cs="Times New Roman"/>
          <w:b w:val="0"/>
          <w:bCs w:val="0"/>
          <w:sz w:val="32"/>
          <w:szCs w:val="32"/>
          <w:lang w:val="en-US" w:eastAsia="zh-CN"/>
        </w:rPr>
        <w:t>、</w:t>
      </w:r>
      <w:r>
        <w:rPr>
          <w:rFonts w:hint="eastAsia" w:ascii="Times New Roman" w:hAnsi="Times New Roman" w:eastAsia="仿宋_GB2312" w:cs="Times New Roman"/>
          <w:b w:val="0"/>
          <w:bCs w:val="0"/>
          <w:sz w:val="32"/>
          <w:szCs w:val="32"/>
          <w:lang w:val="en-US" w:eastAsia="zh-CN"/>
        </w:rPr>
        <w:t>1栋1层垃圾房及开关房、1栋16层宿舍楼及地下室等；主要设备有涂布机24台、纯水机2台、冷水机组1台、空压机2台、冷却塔12台、</w:t>
      </w:r>
      <w:r>
        <w:rPr>
          <w:rFonts w:hint="eastAsia" w:eastAsia="仿宋_GB2312" w:cs="Times New Roman"/>
          <w:b w:val="0"/>
          <w:bCs w:val="0"/>
          <w:sz w:val="32"/>
          <w:szCs w:val="32"/>
          <w:lang w:val="en-US" w:eastAsia="zh-CN"/>
        </w:rPr>
        <w:t>备用发电机1台、</w:t>
      </w:r>
      <w:r>
        <w:rPr>
          <w:rFonts w:hint="eastAsia" w:ascii="Times New Roman" w:hAnsi="Times New Roman" w:eastAsia="仿宋_GB2312" w:cs="Times New Roman"/>
          <w:b w:val="0"/>
          <w:bCs w:val="0"/>
          <w:sz w:val="32"/>
          <w:szCs w:val="32"/>
          <w:lang w:val="en-US" w:eastAsia="zh-CN"/>
        </w:rPr>
        <w:t>实验用涂布机2台以及检测仪器一批；员工200名，内部安排食宿。</w:t>
      </w:r>
    </w:p>
    <w:p w14:paraId="6583F509">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》评价结论认为，在全面落实《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 xml:space="preserve">》的评价结论。 </w:t>
      </w:r>
    </w:p>
    <w:p w14:paraId="5E9FD59F">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》提出的各项环境保护对策措施，重点做好以下工作：</w:t>
      </w:r>
    </w:p>
    <w:p w14:paraId="4ABD87D9">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一</w:t>
      </w: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val="en-US" w:eastAsia="zh-CN"/>
        </w:rPr>
        <w:t>导</w:t>
      </w:r>
      <w:r>
        <w:rPr>
          <w:rFonts w:hint="eastAsia" w:ascii="Times New Roman" w:hAnsi="Times New Roman" w:eastAsia="仿宋_GB2312" w:cs="Times New Roman"/>
          <w:color w:val="000000"/>
          <w:kern w:val="2"/>
          <w:sz w:val="32"/>
          <w:szCs w:val="21"/>
          <w:lang w:val="en-US" w:eastAsia="zh-CN" w:bidi="ar"/>
        </w:rPr>
        <w:t>电涂炭铝箔/铜箔生产线</w:t>
      </w:r>
      <w:r>
        <w:rPr>
          <w:rFonts w:hint="eastAsia" w:ascii="仿宋_GB2312" w:eastAsia="仿宋_GB2312"/>
          <w:sz w:val="32"/>
          <w:szCs w:val="32"/>
        </w:rPr>
        <w:t>产生的涂料烘干工序废气经收集至24套活性炭吸附装置处理后引至不低于15米高排气筒排放</w:t>
      </w:r>
      <w:r>
        <w:rPr>
          <w:rFonts w:hint="eastAsia" w:ascii="仿宋_GB2312" w:eastAsia="仿宋_GB2312"/>
          <w:sz w:val="32"/>
          <w:szCs w:val="32"/>
          <w:lang w:eastAsia="zh-CN"/>
        </w:rPr>
        <w:t>（</w:t>
      </w:r>
      <w:r>
        <w:rPr>
          <w:rFonts w:hint="eastAsia" w:ascii="仿宋_GB2312" w:eastAsia="仿宋_GB2312"/>
          <w:sz w:val="32"/>
          <w:szCs w:val="32"/>
        </w:rPr>
        <w:t>每4套活性炭吸附装置设一个共同排气口</w:t>
      </w:r>
      <w:r>
        <w:rPr>
          <w:rFonts w:hint="eastAsia" w:ascii="仿宋_GB2312" w:eastAsia="仿宋_GB2312"/>
          <w:sz w:val="32"/>
          <w:szCs w:val="32"/>
          <w:lang w:eastAsia="zh-CN"/>
        </w:rPr>
        <w:t>）；</w:t>
      </w:r>
      <w:r>
        <w:rPr>
          <w:rFonts w:hint="eastAsia" w:ascii="仿宋_GB2312" w:eastAsia="仿宋_GB2312"/>
          <w:sz w:val="32"/>
          <w:szCs w:val="32"/>
        </w:rPr>
        <w:t>食堂使用清洁能源，产生的油烟经静电油烟净化器处理后经专用管道引至所在建筑物楼顶高空排放</w:t>
      </w:r>
      <w:r>
        <w:rPr>
          <w:rFonts w:hint="eastAsia" w:ascii="仿宋_GB2312" w:eastAsia="仿宋_GB2312"/>
          <w:sz w:val="32"/>
          <w:szCs w:val="32"/>
          <w:lang w:eastAsia="zh-CN"/>
        </w:rPr>
        <w:t>；</w:t>
      </w:r>
      <w:r>
        <w:rPr>
          <w:rFonts w:hint="eastAsia" w:ascii="仿宋_GB2312" w:eastAsia="仿宋_GB2312"/>
          <w:sz w:val="32"/>
          <w:szCs w:val="32"/>
        </w:rPr>
        <w:t>备用柴油发电机运行产生的燃烧尾气经配套的水喷淋装置处理后引至所在建筑物楼顶高空排放</w:t>
      </w:r>
      <w:r>
        <w:rPr>
          <w:rFonts w:hint="eastAsia" w:ascii="仿宋_GB2312" w:eastAsia="仿宋_GB2312"/>
          <w:sz w:val="32"/>
          <w:szCs w:val="32"/>
          <w:lang w:eastAsia="zh-CN"/>
        </w:rPr>
        <w:t>；</w:t>
      </w:r>
      <w:r>
        <w:rPr>
          <w:rFonts w:hint="eastAsia" w:ascii="仿宋_GB2312" w:eastAsia="仿宋_GB2312"/>
          <w:sz w:val="32"/>
          <w:szCs w:val="32"/>
          <w:lang w:val="en-US" w:eastAsia="zh-CN"/>
        </w:rPr>
        <w:t>项目设置废气排放口8个</w:t>
      </w:r>
      <w:r>
        <w:rPr>
          <w:rFonts w:hint="eastAsia" w:ascii="仿宋_GB2312" w:eastAsia="仿宋_GB2312"/>
          <w:sz w:val="32"/>
          <w:szCs w:val="32"/>
        </w:rPr>
        <w:t>。实验室烘干废气经收集后通过配套的一级活性炭吸附装置处理后引至实验室外无组织排放</w:t>
      </w:r>
      <w:r>
        <w:rPr>
          <w:rFonts w:hint="eastAsia" w:ascii="仿宋_GB2312" w:eastAsia="仿宋_GB2312"/>
          <w:sz w:val="32"/>
          <w:szCs w:val="32"/>
          <w:lang w:eastAsia="zh-CN"/>
        </w:rPr>
        <w:t>，</w:t>
      </w:r>
      <w:r>
        <w:rPr>
          <w:rFonts w:hint="eastAsia" w:ascii="仿宋_GB2312" w:eastAsia="仿宋_GB2312"/>
          <w:sz w:val="32"/>
          <w:szCs w:val="32"/>
        </w:rPr>
        <w:t>注液工序产生的废气经手套箱排气管道引至实验室外</w:t>
      </w:r>
      <w:r>
        <w:rPr>
          <w:rFonts w:hint="eastAsia" w:ascii="仿宋_GB2312" w:eastAsia="仿宋_GB2312"/>
          <w:sz w:val="32"/>
          <w:szCs w:val="32"/>
          <w:lang w:val="en-US" w:eastAsia="zh-CN"/>
        </w:rPr>
        <w:t>无组织</w:t>
      </w:r>
      <w:r>
        <w:rPr>
          <w:rFonts w:hint="eastAsia" w:ascii="仿宋_GB2312" w:eastAsia="仿宋_GB2312"/>
          <w:sz w:val="32"/>
          <w:szCs w:val="32"/>
        </w:rPr>
        <w:t>排放</w:t>
      </w:r>
      <w:r>
        <w:rPr>
          <w:rFonts w:hint="eastAsia" w:ascii="仿宋_GB2312" w:eastAsia="仿宋_GB2312"/>
          <w:sz w:val="32"/>
          <w:szCs w:val="32"/>
          <w:lang w:eastAsia="zh-CN"/>
        </w:rPr>
        <w:t>；</w:t>
      </w:r>
      <w:r>
        <w:rPr>
          <w:rFonts w:hint="eastAsia" w:ascii="仿宋_GB2312" w:eastAsia="仿宋_GB2312"/>
          <w:sz w:val="32"/>
          <w:szCs w:val="32"/>
          <w:lang w:val="en-US" w:eastAsia="zh-CN"/>
        </w:rPr>
        <w:t>合理布局生产废水处理设施，处理设施臭气在远离厂区边界处无组织排放；</w:t>
      </w:r>
      <w:r>
        <w:rPr>
          <w:rFonts w:hint="eastAsia" w:eastAsia="仿宋_GB2312" w:cs="Times New Roman"/>
          <w:b w:val="0"/>
          <w:bCs w:val="0"/>
          <w:sz w:val="32"/>
          <w:szCs w:val="32"/>
          <w:lang w:val="en-US" w:eastAsia="zh-CN"/>
        </w:rPr>
        <w:t>加强项目边界无组织排放废气的监控，确保项目边界无组织排放监控点的废气达到相应标准限值的要求，监测超标时应加强对无组织排放废气进行收集、净化处理。</w:t>
      </w:r>
    </w:p>
    <w:p w14:paraId="46ACC4C3">
      <w:pPr>
        <w:keepNext w:val="0"/>
        <w:keepLines w:val="0"/>
        <w:pageBreakBefore w:val="0"/>
        <w:widowControl w:val="0"/>
        <w:kinsoku/>
        <w:wordWrap/>
        <w:overflowPunct/>
        <w:topLinePunct w:val="0"/>
        <w:bidi w:val="0"/>
        <w:spacing w:line="600" w:lineRule="exact"/>
        <w:ind w:firstLine="640"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eastAsia="zh-CN"/>
        </w:rPr>
        <w:t>项目应严格执行《固定污染源挥发性有机物综合排放标准》（DB44/2367-2022）的各项控制要求。</w:t>
      </w:r>
      <w:r>
        <w:rPr>
          <w:rFonts w:hint="eastAsia" w:eastAsia="仿宋_GB2312"/>
          <w:sz w:val="32"/>
          <w:szCs w:val="32"/>
        </w:rPr>
        <w:t>有机废气（以非甲烷总烃、TVOC表征）排放执行广东省</w:t>
      </w:r>
      <w:r>
        <w:rPr>
          <w:rFonts w:hint="eastAsia" w:ascii="Times New Roman" w:hAnsi="Times New Roman" w:eastAsia="仿宋_GB2312" w:cs="Times New Roman"/>
          <w:b w:val="0"/>
          <w:bCs w:val="0"/>
          <w:sz w:val="32"/>
          <w:szCs w:val="32"/>
          <w:lang w:eastAsia="zh-CN"/>
        </w:rPr>
        <w:t>《固定污染源挥发性有机物综合排放标准》（DB44/2367-2022）表1挥发性有机物排放限值和表3厂区内VOCs无组织排放限值；油烟排放执行《饮食业油烟排放标准（试行）》（GB18483-2001）中型规模要求</w:t>
      </w:r>
      <w:r>
        <w:rPr>
          <w:rFonts w:hint="eastAsia" w:eastAsia="仿宋_GB2312" w:cs="Times New Roman"/>
          <w:b w:val="0"/>
          <w:bCs w:val="0"/>
          <w:sz w:val="32"/>
          <w:szCs w:val="32"/>
          <w:lang w:eastAsia="zh-CN"/>
        </w:rPr>
        <w:t>，</w:t>
      </w:r>
      <w:r>
        <w:rPr>
          <w:rFonts w:hint="eastAsia" w:eastAsia="仿宋_GB2312"/>
          <w:sz w:val="32"/>
          <w:szCs w:val="32"/>
        </w:rPr>
        <w:t>备用柴油发电机运行产生的燃烧尾气（以SO</w:t>
      </w:r>
      <w:r>
        <w:rPr>
          <w:rFonts w:hint="eastAsia" w:eastAsia="仿宋_GB2312"/>
          <w:sz w:val="32"/>
          <w:szCs w:val="32"/>
          <w:vertAlign w:val="subscript"/>
        </w:rPr>
        <w:t>2</w:t>
      </w:r>
      <w:r>
        <w:rPr>
          <w:rFonts w:hint="eastAsia" w:eastAsia="仿宋_GB2312"/>
          <w:sz w:val="32"/>
          <w:szCs w:val="32"/>
        </w:rPr>
        <w:t>、NO</w:t>
      </w:r>
      <w:r>
        <w:rPr>
          <w:rFonts w:hint="eastAsia" w:eastAsia="仿宋_GB2312"/>
          <w:sz w:val="32"/>
          <w:szCs w:val="32"/>
          <w:vertAlign w:val="subscript"/>
        </w:rPr>
        <w:t>X</w:t>
      </w:r>
      <w:r>
        <w:rPr>
          <w:rFonts w:hint="eastAsia" w:eastAsia="仿宋_GB2312"/>
          <w:sz w:val="32"/>
          <w:szCs w:val="32"/>
        </w:rPr>
        <w:t>、颗粒物和林格曼黑度表征）有组织排放执行广东省《大气污染物排放限值》（DB44/27-2001）第二时段二级标准</w:t>
      </w:r>
      <w:r>
        <w:rPr>
          <w:rFonts w:hint="eastAsia" w:eastAsia="仿宋_GB2312"/>
          <w:sz w:val="32"/>
          <w:szCs w:val="32"/>
          <w:lang w:eastAsia="zh-CN"/>
        </w:rPr>
        <w:t>，</w:t>
      </w:r>
      <w:r>
        <w:rPr>
          <w:rFonts w:hint="eastAsia" w:eastAsia="仿宋_GB2312"/>
          <w:sz w:val="32"/>
          <w:szCs w:val="32"/>
          <w:lang w:val="en-US" w:eastAsia="zh-CN"/>
        </w:rPr>
        <w:t>生产废水处理设施臭气（以</w:t>
      </w:r>
      <w:r>
        <w:rPr>
          <w:rFonts w:hint="eastAsia" w:hAnsi="Times New Roman" w:eastAsia="仿宋_GB2312"/>
          <w:sz w:val="32"/>
          <w:szCs w:val="32"/>
          <w:lang w:eastAsia="zh-CN"/>
        </w:rPr>
        <w:t>氨、硫化氢和臭气</w:t>
      </w:r>
      <w:r>
        <w:rPr>
          <w:rFonts w:hint="eastAsia" w:hAnsi="Times New Roman" w:eastAsia="仿宋_GB2312"/>
          <w:sz w:val="32"/>
          <w:szCs w:val="32"/>
          <w:lang w:val="en-US" w:eastAsia="zh-CN"/>
        </w:rPr>
        <w:t>为表征）排放执行</w:t>
      </w:r>
      <w:r>
        <w:rPr>
          <w:rFonts w:hint="eastAsia" w:hAnsi="Times New Roman" w:eastAsia="仿宋_GB2312"/>
          <w:sz w:val="32"/>
          <w:szCs w:val="32"/>
          <w:lang w:eastAsia="zh-CN"/>
        </w:rPr>
        <w:t>《恶臭污染物排放标准》（GB14554-93）表1恶臭污染物厂界标准值二级新扩改建标准</w:t>
      </w:r>
      <w:r>
        <w:rPr>
          <w:rFonts w:hint="eastAsia" w:eastAsia="仿宋_GB2312"/>
          <w:sz w:val="32"/>
          <w:szCs w:val="32"/>
        </w:rPr>
        <w:t>。</w:t>
      </w:r>
    </w:p>
    <w:p w14:paraId="044DE92D">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二</w:t>
      </w:r>
      <w:r>
        <w:rPr>
          <w:rFonts w:hint="default" w:ascii="Times New Roman" w:hAnsi="Times New Roman" w:eastAsia="仿宋_GB2312" w:cs="Times New Roman"/>
          <w:b w:val="0"/>
          <w:bCs w:val="0"/>
          <w:sz w:val="32"/>
          <w:szCs w:val="32"/>
        </w:rPr>
        <w:t>）</w:t>
      </w:r>
      <w:bookmarkStart w:id="2" w:name="OLE_LINK14"/>
      <w:r>
        <w:rPr>
          <w:rFonts w:hint="eastAsia" w:ascii="Times New Roman" w:hAnsi="Times New Roman" w:eastAsia="仿宋_GB2312" w:cs="Times New Roman"/>
          <w:b w:val="0"/>
          <w:bCs w:val="0"/>
          <w:sz w:val="32"/>
          <w:szCs w:val="32"/>
          <w:lang w:eastAsia="zh-CN"/>
        </w:rPr>
        <w:t>生产废水采用“混凝沉淀+厌氧+SBR”工艺预处理至达到《电子工业水污染物排放标准》（GB39731-2020）表1中电子专用材料间接排放限值</w:t>
      </w:r>
      <w:r>
        <w:rPr>
          <w:rFonts w:hint="eastAsia" w:eastAsia="仿宋_GB2312" w:cs="Times New Roman"/>
          <w:b w:val="0"/>
          <w:bCs w:val="0"/>
          <w:sz w:val="32"/>
          <w:szCs w:val="32"/>
          <w:lang w:val="en-US" w:eastAsia="zh-CN"/>
        </w:rPr>
        <w:t>后</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洗手间污水经三级化粪池预处理、食堂废水经隔油隔渣池预处理后与其他生活污水混合</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生产废水和生活污水分别经预处理达标后，与清净</w:t>
      </w:r>
      <w:r>
        <w:rPr>
          <w:rFonts w:hint="eastAsia" w:eastAsia="仿宋_GB2312" w:cs="Times New Roman"/>
          <w:b w:val="0"/>
          <w:bCs w:val="0"/>
          <w:sz w:val="32"/>
          <w:szCs w:val="32"/>
          <w:lang w:val="en-US" w:eastAsia="zh-CN"/>
        </w:rPr>
        <w:t>下</w:t>
      </w:r>
      <w:r>
        <w:rPr>
          <w:rFonts w:hint="eastAsia" w:ascii="Times New Roman" w:hAnsi="Times New Roman" w:eastAsia="仿宋_GB2312" w:cs="Times New Roman"/>
          <w:b w:val="0"/>
          <w:bCs w:val="0"/>
          <w:sz w:val="32"/>
          <w:szCs w:val="32"/>
          <w:lang w:eastAsia="zh-CN"/>
        </w:rPr>
        <w:t>水一并排入市政污水管网引至化龙净水厂集中处理</w:t>
      </w: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项目设置废水排放口1个</w:t>
      </w:r>
      <w:r>
        <w:rPr>
          <w:rFonts w:hint="eastAsia"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sz w:val="32"/>
          <w:szCs w:val="32"/>
        </w:rPr>
        <w:t>废水</w:t>
      </w:r>
      <w:r>
        <w:rPr>
          <w:rFonts w:hint="eastAsia" w:ascii="Times New Roman" w:hAnsi="Times New Roman" w:eastAsia="仿宋_GB2312" w:cs="Times New Roman"/>
          <w:b w:val="0"/>
          <w:bCs w:val="0"/>
          <w:sz w:val="32"/>
          <w:szCs w:val="32"/>
          <w:lang w:eastAsia="zh-CN"/>
        </w:rPr>
        <w:t>水污染物排放执行《电子工业水污染物排放标准》（GB39731-2020）表1中电子专用材料间接排放限值</w:t>
      </w:r>
      <w:r>
        <w:rPr>
          <w:rFonts w:hint="eastAsia" w:eastAsia="仿宋_GB2312"/>
          <w:sz w:val="32"/>
          <w:szCs w:val="32"/>
        </w:rPr>
        <w:t>和表 5 电子专用材料单位产品基准排水量</w:t>
      </w:r>
      <w:r>
        <w:rPr>
          <w:rFonts w:hint="eastAsia" w:ascii="Times New Roman" w:hAnsi="Times New Roman" w:eastAsia="仿宋_GB2312" w:cs="Times New Roman"/>
          <w:b w:val="0"/>
          <w:bCs w:val="0"/>
          <w:sz w:val="32"/>
          <w:szCs w:val="32"/>
          <w:lang w:eastAsia="zh-CN"/>
        </w:rPr>
        <w:t>，BOD</w:t>
      </w:r>
      <w:r>
        <w:rPr>
          <w:rFonts w:hint="eastAsia" w:ascii="Times New Roman" w:hAnsi="Times New Roman" w:eastAsia="仿宋_GB2312" w:cs="Times New Roman"/>
          <w:b w:val="0"/>
          <w:bCs w:val="0"/>
          <w:sz w:val="32"/>
          <w:szCs w:val="32"/>
          <w:vertAlign w:val="subscript"/>
          <w:lang w:eastAsia="zh-CN"/>
        </w:rPr>
        <w:t>5</w:t>
      </w:r>
      <w:r>
        <w:rPr>
          <w:rFonts w:hint="eastAsia" w:ascii="Times New Roman" w:hAnsi="Times New Roman" w:eastAsia="仿宋_GB2312" w:cs="Times New Roman"/>
          <w:b w:val="0"/>
          <w:bCs w:val="0"/>
          <w:sz w:val="32"/>
          <w:szCs w:val="32"/>
          <w:lang w:eastAsia="zh-CN"/>
        </w:rPr>
        <w:t>、动植物油执行广东省《水污染物排放限值》（DB44/26-2001）第二时段三级标准</w:t>
      </w:r>
      <w:r>
        <w:rPr>
          <w:rFonts w:hint="eastAsia" w:eastAsia="仿宋_GB2312" w:cs="Times New Roman"/>
          <w:b w:val="0"/>
          <w:bCs w:val="0"/>
          <w:sz w:val="32"/>
          <w:szCs w:val="32"/>
          <w:lang w:eastAsia="zh-CN"/>
        </w:rPr>
        <w:t>，</w:t>
      </w:r>
      <w:r>
        <w:rPr>
          <w:rFonts w:hint="eastAsia" w:eastAsia="仿宋_GB2312"/>
          <w:sz w:val="32"/>
          <w:szCs w:val="32"/>
        </w:rPr>
        <w:t>生产废水</w:t>
      </w:r>
      <w:r>
        <w:rPr>
          <w:rFonts w:hint="eastAsia" w:eastAsia="仿宋_GB2312"/>
          <w:sz w:val="32"/>
          <w:szCs w:val="32"/>
          <w:lang w:val="en-US" w:eastAsia="zh-CN"/>
        </w:rPr>
        <w:t>年</w:t>
      </w:r>
      <w:r>
        <w:rPr>
          <w:rFonts w:hint="eastAsia" w:eastAsia="仿宋_GB2312"/>
          <w:sz w:val="32"/>
          <w:szCs w:val="32"/>
        </w:rPr>
        <w:t>排放量</w:t>
      </w:r>
      <w:r>
        <w:rPr>
          <w:rFonts w:hint="eastAsia" w:eastAsia="仿宋_GB2312"/>
          <w:sz w:val="32"/>
          <w:szCs w:val="32"/>
          <w:lang w:val="en-US" w:eastAsia="zh-CN"/>
        </w:rPr>
        <w:t>不超过</w:t>
      </w:r>
      <w:r>
        <w:rPr>
          <w:rFonts w:hint="eastAsia" w:eastAsia="仿宋_GB2312"/>
          <w:sz w:val="32"/>
          <w:szCs w:val="32"/>
        </w:rPr>
        <w:t>2697.23</w:t>
      </w:r>
      <w:r>
        <w:rPr>
          <w:rFonts w:hint="eastAsia" w:eastAsia="仿宋_GB2312"/>
          <w:sz w:val="32"/>
          <w:szCs w:val="32"/>
          <w:lang w:val="en-US" w:eastAsia="zh-CN"/>
        </w:rPr>
        <w:t>吨，</w:t>
      </w:r>
      <w:r>
        <w:rPr>
          <w:rFonts w:hint="eastAsia" w:eastAsia="仿宋_GB2312"/>
          <w:sz w:val="32"/>
          <w:szCs w:val="32"/>
        </w:rPr>
        <w:t>清净</w:t>
      </w:r>
      <w:r>
        <w:rPr>
          <w:rFonts w:hint="eastAsia" w:eastAsia="仿宋_GB2312"/>
          <w:sz w:val="32"/>
          <w:szCs w:val="32"/>
          <w:lang w:val="en-US" w:eastAsia="zh-CN"/>
        </w:rPr>
        <w:t>下</w:t>
      </w:r>
      <w:r>
        <w:rPr>
          <w:rFonts w:hint="eastAsia" w:eastAsia="仿宋_GB2312"/>
          <w:sz w:val="32"/>
          <w:szCs w:val="32"/>
        </w:rPr>
        <w:t>水</w:t>
      </w:r>
      <w:r>
        <w:rPr>
          <w:rFonts w:hint="eastAsia" w:eastAsia="仿宋_GB2312"/>
          <w:sz w:val="32"/>
          <w:szCs w:val="32"/>
          <w:lang w:val="en-US" w:eastAsia="zh-CN"/>
        </w:rPr>
        <w:t>年</w:t>
      </w:r>
      <w:r>
        <w:rPr>
          <w:rFonts w:hint="eastAsia" w:eastAsia="仿宋_GB2312"/>
          <w:sz w:val="32"/>
          <w:szCs w:val="32"/>
        </w:rPr>
        <w:t>排放量</w:t>
      </w:r>
      <w:r>
        <w:rPr>
          <w:rFonts w:hint="eastAsia" w:eastAsia="仿宋_GB2312"/>
          <w:sz w:val="32"/>
          <w:szCs w:val="32"/>
          <w:lang w:val="en-US" w:eastAsia="zh-CN"/>
        </w:rPr>
        <w:t>不超过</w:t>
      </w:r>
      <w:r>
        <w:rPr>
          <w:rFonts w:hint="eastAsia" w:eastAsia="仿宋_GB2312"/>
          <w:sz w:val="32"/>
          <w:szCs w:val="32"/>
        </w:rPr>
        <w:t>2027.2</w:t>
      </w:r>
      <w:r>
        <w:rPr>
          <w:rFonts w:hint="eastAsia" w:eastAsia="仿宋_GB2312"/>
          <w:sz w:val="32"/>
          <w:szCs w:val="32"/>
          <w:lang w:val="en-US" w:eastAsia="zh-CN"/>
        </w:rPr>
        <w:t>4吨，生活污水年排放量不超过2700吨</w:t>
      </w:r>
      <w:bookmarkEnd w:id="2"/>
      <w:r>
        <w:rPr>
          <w:rFonts w:hint="eastAsia" w:eastAsia="仿宋_GB2312" w:cs="Times New Roman"/>
          <w:b w:val="0"/>
          <w:bCs w:val="0"/>
          <w:sz w:val="32"/>
          <w:szCs w:val="32"/>
          <w:lang w:val="en-US" w:eastAsia="zh-CN"/>
        </w:rPr>
        <w:t>。</w:t>
      </w:r>
    </w:p>
    <w:p w14:paraId="7BCDDF5F">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（三）项目噪声排放执行《工业企业厂界环境噪声排放标准》（GB12348-2008）</w:t>
      </w:r>
      <w:r>
        <w:rPr>
          <w:rFonts w:hint="eastAsia" w:ascii="Times New Roman" w:hAnsi="Times New Roman" w:eastAsia="仿宋_GB2312" w:cs="Times New Roman"/>
          <w:b w:val="0"/>
          <w:bCs w:val="0"/>
          <w:sz w:val="32"/>
          <w:szCs w:val="32"/>
          <w:lang w:val="en-US" w:eastAsia="zh-CN"/>
        </w:rPr>
        <w:t>3类区限值，即：昼间≤65dB（A），夜间≤55dB（A）</w:t>
      </w:r>
      <w:r>
        <w:rPr>
          <w:rFonts w:hint="default" w:ascii="Times New Roman" w:hAnsi="Times New Roman" w:eastAsia="仿宋_GB2312" w:cs="Times New Roman"/>
          <w:b w:val="0"/>
          <w:bCs w:val="0"/>
          <w:sz w:val="32"/>
          <w:szCs w:val="32"/>
        </w:rPr>
        <w:t>。</w:t>
      </w:r>
    </w:p>
    <w:p w14:paraId="6A2AE4FD">
      <w:pPr>
        <w:keepNext w:val="0"/>
        <w:keepLines w:val="0"/>
        <w:pageBreakBefore w:val="0"/>
        <w:widowControl w:val="0"/>
        <w:kinsoku/>
        <w:wordWrap/>
        <w:overflowPunct/>
        <w:topLinePunct w:val="0"/>
        <w:bidi w:val="0"/>
        <w:snapToGrid w:val="0"/>
        <w:spacing w:line="600" w:lineRule="exact"/>
        <w:ind w:firstLine="640" w:firstLineChars="200"/>
        <w:textAlignment w:val="auto"/>
        <w:rPr>
          <w:rFonts w:hint="eastAsia" w:ascii="Times New Roman" w:hAnsi="Times New Roman" w:eastAsia="仿宋_GB2312" w:cs="Times New Roman"/>
          <w:b w:val="0"/>
          <w:bCs w:val="0"/>
          <w:color w:val="FF0000"/>
          <w:sz w:val="32"/>
          <w:szCs w:val="32"/>
          <w:lang w:val="en-US" w:eastAsia="zh-CN"/>
        </w:rPr>
      </w:pPr>
      <w:r>
        <w:rPr>
          <w:rFonts w:hint="default" w:ascii="Times New Roman" w:hAnsi="Times New Roman" w:eastAsia="仿宋_GB2312" w:cs="Times New Roman"/>
          <w:b w:val="0"/>
          <w:bCs w:val="0"/>
          <w:sz w:val="32"/>
          <w:szCs w:val="32"/>
        </w:rPr>
        <w:t>（四）</w:t>
      </w:r>
      <w:bookmarkStart w:id="3" w:name="OLE_LINK16"/>
      <w:r>
        <w:rPr>
          <w:rFonts w:hint="default" w:ascii="Times New Roman" w:hAnsi="Times New Roman" w:eastAsia="仿宋_GB2312" w:cs="Times New Roman"/>
          <w:b w:val="0"/>
          <w:bCs w:val="0"/>
          <w:sz w:val="32"/>
          <w:szCs w:val="32"/>
        </w:rPr>
        <w:t>各类固体废物实行分类收集、处置</w:t>
      </w:r>
      <w:bookmarkEnd w:id="3"/>
      <w:bookmarkStart w:id="4" w:name="OLE_LINK12"/>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固体废物</w:t>
      </w:r>
      <w:r>
        <w:rPr>
          <w:rFonts w:hint="default" w:ascii="Times New Roman" w:hAnsi="Times New Roman" w:eastAsia="仿宋_GB2312" w:cs="Times New Roman"/>
          <w:b w:val="0"/>
          <w:bCs w:val="0"/>
          <w:sz w:val="32"/>
          <w:szCs w:val="32"/>
          <w:lang w:eastAsia="zh-CN"/>
        </w:rPr>
        <w:t>的贮存、堆放应按</w:t>
      </w:r>
      <w:r>
        <w:rPr>
          <w:rFonts w:hint="default" w:ascii="Times New Roman" w:hAnsi="Times New Roman" w:eastAsia="仿宋_GB2312" w:cs="Times New Roman"/>
          <w:b w:val="0"/>
          <w:bCs w:val="0"/>
          <w:sz w:val="32"/>
          <w:szCs w:val="32"/>
        </w:rPr>
        <w:t>《危险废物贮存污染控制标准》（GB18597-20</w:t>
      </w:r>
      <w:r>
        <w:rPr>
          <w:rFonts w:hint="default" w:ascii="Times New Roman" w:hAnsi="Times New Roman"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《一般工业固体废物贮存和填埋污染控制标准》(GB 18599-2020)</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b w:val="0"/>
          <w:bCs w:val="0"/>
          <w:sz w:val="32"/>
          <w:szCs w:val="32"/>
        </w:rPr>
        <w:t>进行管理。实验室清洗废液、废机油及废油桶、废抹布及手套、废活性炭等危险废物</w:t>
      </w:r>
      <w:r>
        <w:rPr>
          <w:rFonts w:hint="eastAsia" w:eastAsia="仿宋_GB2312" w:cs="Times New Roman"/>
          <w:b w:val="0"/>
          <w:bCs w:val="0"/>
          <w:color w:val="auto"/>
          <w:sz w:val="32"/>
          <w:szCs w:val="32"/>
          <w:lang w:eastAsia="zh-CN"/>
        </w:rPr>
        <w:t>委托有资质的单位处置；</w:t>
      </w:r>
      <w:r>
        <w:rPr>
          <w:rFonts w:hint="default" w:eastAsia="仿宋_GB2312"/>
          <w:sz w:val="32"/>
          <w:szCs w:val="32"/>
        </w:rPr>
        <w:t>废水处理污泥根据鉴别结果，采取不同的贮存及管理措施，在完成鉴定工作前，按危险废物管理</w:t>
      </w:r>
      <w:r>
        <w:rPr>
          <w:rFonts w:hint="eastAsia" w:eastAsia="仿宋_GB2312"/>
          <w:sz w:val="32"/>
          <w:szCs w:val="32"/>
          <w:lang w:eastAsia="zh-CN"/>
        </w:rPr>
        <w:t>。</w:t>
      </w:r>
    </w:p>
    <w:bookmarkEnd w:id="4"/>
    <w:p w14:paraId="5E03C6E0">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b w:val="0"/>
          <w:bCs w:val="0"/>
          <w:sz w:val="32"/>
          <w:szCs w:val="32"/>
        </w:rPr>
        <w:t>）加强环境风险防范和应急工作</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建立健全环境事故应急体系，落实各项环境风险防范与应急措施，确保</w:t>
      </w:r>
      <w:r>
        <w:rPr>
          <w:rFonts w:hint="eastAsia"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环境安全。</w:t>
      </w:r>
    </w:p>
    <w:p w14:paraId="1087EC8E">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eastAsia" w:eastAsia="仿宋_GB2312" w:cs="Times New Roman"/>
          <w:b w:val="0"/>
          <w:bCs w:val="0"/>
          <w:color w:val="auto"/>
          <w:sz w:val="32"/>
          <w:szCs w:val="32"/>
          <w:lang w:eastAsia="zh-CN"/>
        </w:rPr>
        <w:t>（</w:t>
      </w:r>
      <w:r>
        <w:rPr>
          <w:rFonts w:hint="eastAsia" w:eastAsia="仿宋_GB2312" w:cs="Times New Roman"/>
          <w:b w:val="0"/>
          <w:bCs w:val="0"/>
          <w:color w:val="auto"/>
          <w:sz w:val="32"/>
          <w:szCs w:val="32"/>
          <w:lang w:val="en-US" w:eastAsia="zh-CN"/>
        </w:rPr>
        <w:t>六</w:t>
      </w:r>
      <w:r>
        <w:rPr>
          <w:rFonts w:hint="eastAsia"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5" w:name="OLE_LINK15"/>
      <w:r>
        <w:rPr>
          <w:rFonts w:hint="eastAsia"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5"/>
      <w:r>
        <w:rPr>
          <w:rFonts w:hint="default" w:ascii="Times New Roman" w:hAnsi="Times New Roman" w:eastAsia="仿宋_GB2312" w:cs="Times New Roman"/>
          <w:b w:val="0"/>
          <w:bCs w:val="0"/>
          <w:color w:val="auto"/>
          <w:kern w:val="0"/>
          <w:sz w:val="32"/>
          <w:szCs w:val="32"/>
        </w:rPr>
        <w:t>。</w:t>
      </w:r>
    </w:p>
    <w:p w14:paraId="667E648E">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eastAsia"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val="en-US" w:eastAsia="zh-CN"/>
        </w:rPr>
        <w:t>七</w:t>
      </w:r>
      <w:r>
        <w:rPr>
          <w:rFonts w:hint="default" w:ascii="Times New Roman" w:hAnsi="Times New Roman" w:eastAsia="仿宋_GB2312" w:cs="Times New Roman"/>
          <w:b w:val="0"/>
          <w:bCs w:val="0"/>
          <w:sz w:val="32"/>
          <w:szCs w:val="32"/>
        </w:rPr>
        <w:t>）</w:t>
      </w:r>
      <w:bookmarkStart w:id="6" w:name="OLE_LINK21"/>
      <w:r>
        <w:rPr>
          <w:rFonts w:hint="default" w:eastAsia="仿宋_GB2312"/>
          <w:sz w:val="32"/>
          <w:szCs w:val="32"/>
        </w:rPr>
        <w:t>该项目建成后新增污染物排放总量控制指标如下： 挥发性有机物3.927吨/年。该项目应实施挥发性有机物</w:t>
      </w:r>
      <w:r>
        <w:rPr>
          <w:rFonts w:hint="eastAsia" w:eastAsia="仿宋_GB2312"/>
          <w:sz w:val="32"/>
          <w:szCs w:val="32"/>
          <w:lang w:val="en-US" w:eastAsia="zh-CN"/>
        </w:rPr>
        <w:t>两</w:t>
      </w:r>
      <w:r>
        <w:rPr>
          <w:rFonts w:hint="default" w:eastAsia="仿宋_GB2312"/>
          <w:sz w:val="32"/>
          <w:szCs w:val="32"/>
        </w:rPr>
        <w:t>倍替代</w:t>
      </w:r>
      <w:r>
        <w:rPr>
          <w:rFonts w:hint="eastAsia" w:eastAsia="仿宋_GB2312"/>
          <w:sz w:val="32"/>
          <w:szCs w:val="32"/>
          <w:lang w:eastAsia="zh-CN"/>
        </w:rPr>
        <w:t>，</w:t>
      </w:r>
      <w:r>
        <w:rPr>
          <w:rFonts w:hint="eastAsia" w:eastAsia="仿宋_GB2312"/>
          <w:sz w:val="32"/>
          <w:szCs w:val="32"/>
          <w:lang w:val="en-US" w:eastAsia="zh-CN"/>
        </w:rPr>
        <w:t>需</w:t>
      </w:r>
      <w:r>
        <w:rPr>
          <w:rFonts w:hint="eastAsia" w:eastAsia="仿宋_GB2312"/>
          <w:sz w:val="32"/>
          <w:szCs w:val="32"/>
        </w:rPr>
        <w:t>挥发性有机物</w:t>
      </w:r>
      <w:r>
        <w:rPr>
          <w:rFonts w:hint="eastAsia" w:eastAsia="仿宋_GB2312"/>
          <w:sz w:val="32"/>
          <w:szCs w:val="32"/>
          <w:lang w:val="en-US" w:eastAsia="zh-CN"/>
        </w:rPr>
        <w:t>替代指标</w:t>
      </w:r>
      <w:r>
        <w:rPr>
          <w:rFonts w:hint="eastAsia" w:eastAsia="仿宋_GB2312"/>
          <w:sz w:val="32"/>
          <w:szCs w:val="32"/>
          <w:lang w:eastAsia="zh-CN"/>
        </w:rPr>
        <w:t>7</w:t>
      </w:r>
      <w:r>
        <w:rPr>
          <w:rFonts w:hint="eastAsia" w:eastAsia="仿宋_GB2312"/>
          <w:sz w:val="32"/>
          <w:szCs w:val="32"/>
          <w:lang w:val="en-US" w:eastAsia="zh-CN"/>
        </w:rPr>
        <w:t>.854</w:t>
      </w:r>
      <w:r>
        <w:rPr>
          <w:rFonts w:hint="eastAsia" w:eastAsia="仿宋_GB2312"/>
          <w:sz w:val="32"/>
          <w:szCs w:val="32"/>
        </w:rPr>
        <w:t>吨</w:t>
      </w:r>
      <w:r>
        <w:rPr>
          <w:rFonts w:hint="default" w:eastAsia="仿宋_GB2312"/>
          <w:sz w:val="32"/>
          <w:szCs w:val="32"/>
        </w:rPr>
        <w:t>/年</w:t>
      </w:r>
      <w:r>
        <w:rPr>
          <w:rFonts w:hint="eastAsia" w:eastAsia="仿宋_GB2312"/>
          <w:sz w:val="32"/>
          <w:szCs w:val="32"/>
          <w:lang w:eastAsia="zh-CN"/>
        </w:rPr>
        <w:t>，</w:t>
      </w:r>
      <w:r>
        <w:rPr>
          <w:rFonts w:hint="eastAsia" w:eastAsia="仿宋_GB2312"/>
          <w:sz w:val="32"/>
          <w:szCs w:val="32"/>
          <w:lang w:val="en-US" w:eastAsia="zh-CN"/>
        </w:rPr>
        <w:t>具体待</w:t>
      </w:r>
      <w:r>
        <w:rPr>
          <w:rFonts w:hint="eastAsia" w:eastAsia="仿宋_GB2312"/>
          <w:sz w:val="32"/>
          <w:szCs w:val="32"/>
        </w:rPr>
        <w:t>项目建成后再根据实际排放及污染物总量控制要求予以核定。</w:t>
      </w:r>
    </w:p>
    <w:p w14:paraId="1E7F75DB">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八</w:t>
      </w:r>
      <w:r>
        <w:rPr>
          <w:rFonts w:hint="eastAsia" w:eastAsia="仿宋_GB2312" w:cs="Times New Roman"/>
          <w:b w:val="0"/>
          <w:bCs w:val="0"/>
          <w:sz w:val="32"/>
          <w:szCs w:val="32"/>
          <w:lang w:eastAsia="zh-CN"/>
        </w:rPr>
        <w:t>）</w:t>
      </w:r>
      <w:r>
        <w:rPr>
          <w:rFonts w:hint="eastAsia" w:ascii="仿宋_GB2312" w:hAnsi="仿宋_GB2312" w:eastAsia="仿宋_GB2312" w:cs="仿宋_GB2312"/>
          <w:color w:val="auto"/>
          <w:sz w:val="32"/>
          <w:szCs w:val="32"/>
          <w:highlight w:val="none"/>
        </w:rPr>
        <w:t>项目建设</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符合法律、</w:t>
      </w:r>
      <w:bookmarkStart w:id="8" w:name="_GoBack"/>
      <w:bookmarkEnd w:id="8"/>
      <w:r>
        <w:rPr>
          <w:rFonts w:hint="eastAsia" w:ascii="仿宋_GB2312" w:hAnsi="仿宋_GB2312" w:eastAsia="仿宋_GB2312" w:cs="仿宋_GB2312"/>
          <w:color w:val="auto"/>
          <w:sz w:val="32"/>
          <w:szCs w:val="32"/>
          <w:highlight w:val="none"/>
        </w:rPr>
        <w:t>法规等要求，如涉及规划、水务、消防等</w:t>
      </w:r>
      <w:r>
        <w:rPr>
          <w:rFonts w:hint="eastAsia" w:ascii="仿宋_GB2312" w:hAnsi="仿宋_GB2312" w:eastAsia="仿宋_GB2312" w:cs="仿宋_GB2312"/>
          <w:color w:val="auto"/>
          <w:sz w:val="32"/>
          <w:szCs w:val="32"/>
          <w:highlight w:val="none"/>
          <w:lang w:eastAsia="zh-CN"/>
        </w:rPr>
        <w:t>其他部门许可事项的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须依法办理相关手续</w:t>
      </w:r>
      <w:r>
        <w:rPr>
          <w:rFonts w:hint="eastAsia" w:ascii="仿宋_GB2312" w:hAnsi="仿宋_GB2312" w:eastAsia="仿宋_GB2312" w:cs="仿宋_GB2312"/>
          <w:color w:val="auto"/>
          <w:sz w:val="32"/>
          <w:szCs w:val="32"/>
          <w:highlight w:val="none"/>
        </w:rPr>
        <w:t>。</w:t>
      </w:r>
      <w:bookmarkEnd w:id="6"/>
    </w:p>
    <w:p w14:paraId="6B29C814">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45838D52">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eastAsia" w:eastAsia="仿宋_GB2312" w:cs="Times New Roman"/>
          <w:b w:val="0"/>
          <w:bCs w:val="0"/>
          <w:sz w:val="32"/>
          <w:szCs w:val="32"/>
          <w:lang w:val="en-US" w:eastAsia="zh-CN"/>
        </w:rPr>
        <w:t>四</w:t>
      </w:r>
      <w:r>
        <w:rPr>
          <w:rFonts w:hint="default" w:ascii="Times New Roman" w:hAnsi="Times New Roman" w:eastAsia="仿宋_GB2312" w:cs="Times New Roman"/>
          <w:b w:val="0"/>
          <w:bCs w:val="0"/>
          <w:sz w:val="32"/>
          <w:szCs w:val="32"/>
        </w:rPr>
        <w:t>、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21E61087">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08F9C122">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3B215F29">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 xml:space="preserve">        广州市生态环境局</w:t>
      </w:r>
    </w:p>
    <w:p w14:paraId="4A839BC0">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eastAsia"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eastAsia" w:eastAsia="仿宋_GB2312" w:cs="Times New Roman"/>
          <w:b w:val="0"/>
          <w:bCs w:val="0"/>
          <w:sz w:val="32"/>
          <w:szCs w:val="32"/>
          <w:lang w:val="en-US" w:eastAsia="zh-CN"/>
        </w:rPr>
        <w:t>10</w:t>
      </w:r>
      <w:r>
        <w:rPr>
          <w:rFonts w:hint="default" w:ascii="Times New Roman" w:hAnsi="Times New Roman" w:eastAsia="仿宋_GB2312" w:cs="Times New Roman"/>
          <w:b w:val="0"/>
          <w:bCs w:val="0"/>
          <w:sz w:val="32"/>
          <w:szCs w:val="32"/>
        </w:rPr>
        <w:t>月</w:t>
      </w:r>
      <w:r>
        <w:rPr>
          <w:rFonts w:hint="eastAsia"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日</w:t>
      </w:r>
    </w:p>
    <w:p w14:paraId="45D1C52A">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51CCF5A1">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4EAA9875">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60CF8B90">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39F35121">
      <w:pPr>
        <w:pStyle w:val="19"/>
        <w:rPr>
          <w:rFonts w:hint="eastAsia" w:ascii="黑体" w:hAnsi="黑体" w:eastAsia="黑体" w:cs="黑体"/>
          <w:b w:val="0"/>
          <w:bCs w:val="0"/>
          <w:sz w:val="32"/>
          <w:szCs w:val="32"/>
        </w:rPr>
      </w:pPr>
    </w:p>
    <w:p w14:paraId="079FB969">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3B2FBB38">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p>
    <w:p w14:paraId="6797DB4C">
      <w:pPr>
        <w:keepNext w:val="0"/>
        <w:keepLines w:val="0"/>
        <w:pageBreakBefore w:val="0"/>
        <w:widowControl w:val="0"/>
        <w:kinsoku/>
        <w:wordWrap/>
        <w:overflowPunct/>
        <w:topLinePunct w:val="0"/>
        <w:autoSpaceDE/>
        <w:autoSpaceDN/>
        <w:bidi w:val="0"/>
        <w:adjustRightInd/>
        <w:snapToGrid w:val="0"/>
        <w:spacing w:line="590" w:lineRule="exact"/>
        <w:ind w:left="0" w:leftChars="0" w:firstLine="560" w:firstLineChars="200"/>
        <w:jc w:val="left"/>
        <w:textAlignment w:val="auto"/>
        <w:rPr>
          <w:rFonts w:hint="eastAsia" w:eastAsia="仿宋_GB2312" w:cs="Times New Roman"/>
          <w:b w:val="0"/>
          <w:bCs w:val="0"/>
          <w:sz w:val="28"/>
          <w:szCs w:val="28"/>
          <w:lang w:eastAsia="zh-CN"/>
        </w:rPr>
      </w:pPr>
      <w:r>
        <w:rPr>
          <w:rFonts w:hint="default" w:ascii="Times New Roman" w:hAnsi="Times New Roman" w:eastAsia="仿宋_GB2312" w:cs="Times New Roman"/>
          <w:b w:val="0"/>
          <w:bCs w:val="0"/>
          <w:sz w:val="28"/>
          <w:szCs w:val="28"/>
        </w:rPr>
        <w:t>抄送：</w:t>
      </w:r>
      <w:bookmarkStart w:id="7" w:name="OLE_LINK13"/>
      <w:r>
        <w:rPr>
          <w:rFonts w:hint="eastAsia" w:eastAsia="仿宋_GB2312" w:cs="Times New Roman"/>
          <w:b w:val="0"/>
          <w:bCs w:val="0"/>
          <w:sz w:val="28"/>
          <w:szCs w:val="28"/>
          <w:lang w:eastAsia="zh-CN"/>
        </w:rPr>
        <w:t>广州市生态环境局番禺分局</w:t>
      </w:r>
      <w:r>
        <w:rPr>
          <w:rFonts w:hint="eastAsia" w:eastAsia="仿宋_GB2312" w:cs="Times New Roman"/>
          <w:b w:val="0"/>
          <w:bCs w:val="0"/>
          <w:sz w:val="28"/>
          <w:szCs w:val="28"/>
          <w:lang w:val="en-US" w:eastAsia="zh-CN"/>
        </w:rPr>
        <w:t>监管三科、</w:t>
      </w:r>
      <w:r>
        <w:rPr>
          <w:rFonts w:hint="eastAsia" w:eastAsia="仿宋_GB2312" w:cs="Times New Roman"/>
          <w:b w:val="0"/>
          <w:bCs w:val="0"/>
          <w:sz w:val="28"/>
          <w:szCs w:val="28"/>
          <w:lang w:eastAsia="zh-CN"/>
        </w:rPr>
        <w:t>执法三科；</w:t>
      </w:r>
      <w:r>
        <w:rPr>
          <w:rFonts w:hint="eastAsia" w:eastAsia="仿宋_GB2312" w:cs="Times New Roman"/>
          <w:b w:val="0"/>
          <w:bCs w:val="0"/>
          <w:sz w:val="28"/>
          <w:szCs w:val="28"/>
          <w:lang w:val="en-US" w:eastAsia="zh-CN"/>
        </w:rPr>
        <w:t>广州市</w:t>
      </w:r>
      <w:r>
        <w:rPr>
          <w:rFonts w:hint="eastAsia" w:eastAsia="仿宋_GB2312" w:cs="Times New Roman"/>
          <w:b w:val="0"/>
          <w:bCs w:val="0"/>
          <w:sz w:val="28"/>
          <w:szCs w:val="28"/>
          <w:lang w:eastAsia="zh-CN"/>
        </w:rPr>
        <w:t>生态</w:t>
      </w:r>
    </w:p>
    <w:p w14:paraId="240C4D89">
      <w:pPr>
        <w:keepNext w:val="0"/>
        <w:keepLines w:val="0"/>
        <w:pageBreakBefore w:val="0"/>
        <w:widowControl w:val="0"/>
        <w:kinsoku/>
        <w:wordWrap/>
        <w:overflowPunct/>
        <w:topLinePunct w:val="0"/>
        <w:autoSpaceDE/>
        <w:autoSpaceDN/>
        <w:bidi w:val="0"/>
        <w:adjustRightInd/>
        <w:snapToGrid w:val="0"/>
        <w:spacing w:line="590" w:lineRule="exact"/>
        <w:ind w:left="0" w:leftChars="0" w:firstLine="1400" w:firstLineChars="500"/>
        <w:jc w:val="left"/>
        <w:textAlignment w:val="auto"/>
        <w:rPr>
          <w:rFonts w:hint="eastAsia" w:eastAsia="仿宋_GB2312" w:cs="Times New Roman"/>
          <w:b w:val="0"/>
          <w:bCs w:val="0"/>
          <w:sz w:val="28"/>
          <w:szCs w:val="28"/>
          <w:lang w:val="en-US" w:eastAsia="zh-CN"/>
        </w:rPr>
      </w:pPr>
      <w:r>
        <w:rPr>
          <w:rFonts w:hint="eastAsia" w:eastAsia="仿宋_GB2312" w:cs="Times New Roman"/>
          <w:b w:val="0"/>
          <w:bCs w:val="0"/>
          <w:sz w:val="28"/>
          <w:szCs w:val="28"/>
          <w:lang w:eastAsia="zh-CN"/>
        </w:rPr>
        <w:t>环境局番禺第三环保所、</w:t>
      </w:r>
      <w:r>
        <w:rPr>
          <w:rFonts w:hint="eastAsia" w:eastAsia="仿宋_GB2312" w:cs="Times New Roman"/>
          <w:b w:val="0"/>
          <w:bCs w:val="0"/>
          <w:sz w:val="28"/>
          <w:szCs w:val="28"/>
          <w:lang w:val="en-US" w:eastAsia="zh-CN"/>
        </w:rPr>
        <w:t>番禺技术中心；广州市番禺环境工程</w:t>
      </w:r>
    </w:p>
    <w:p w14:paraId="1CF67948">
      <w:pPr>
        <w:keepNext w:val="0"/>
        <w:keepLines w:val="0"/>
        <w:pageBreakBefore w:val="0"/>
        <w:widowControl w:val="0"/>
        <w:kinsoku/>
        <w:wordWrap/>
        <w:overflowPunct/>
        <w:topLinePunct w:val="0"/>
        <w:autoSpaceDE/>
        <w:autoSpaceDN/>
        <w:bidi w:val="0"/>
        <w:adjustRightInd/>
        <w:snapToGrid w:val="0"/>
        <w:spacing w:line="590" w:lineRule="exact"/>
        <w:ind w:left="0" w:leftChars="0" w:firstLine="1400" w:firstLineChars="500"/>
        <w:jc w:val="left"/>
        <w:textAlignment w:val="auto"/>
        <w:rPr>
          <w:rFonts w:hint="eastAsia" w:ascii="Times New Roman" w:hAnsi="Times New Roman" w:eastAsia="仿宋_GB2312" w:cs="Times New Roman"/>
          <w:b w:val="0"/>
          <w:bCs w:val="0"/>
          <w:sz w:val="28"/>
          <w:szCs w:val="28"/>
          <w:lang w:val="en-US" w:eastAsia="zh-CN"/>
        </w:rPr>
      </w:pPr>
      <w:r>
        <w:rPr>
          <w:rFonts w:hint="eastAsia" w:eastAsia="仿宋_GB2312" w:cs="Times New Roman"/>
          <w:b w:val="0"/>
          <w:bCs w:val="0"/>
          <w:sz w:val="28"/>
          <w:szCs w:val="28"/>
          <w:lang w:val="en-US" w:eastAsia="zh-CN"/>
        </w:rPr>
        <w:t>有限公司</w:t>
      </w:r>
      <w:r>
        <w:rPr>
          <w:rFonts w:hint="default" w:ascii="Times New Roman" w:hAnsi="Times New Roman" w:eastAsia="仿宋_GB2312" w:cs="Times New Roman"/>
          <w:b w:val="0"/>
          <w:bCs w:val="0"/>
          <w:sz w:val="28"/>
          <w:szCs w:val="28"/>
        </w:rPr>
        <w:t>。</w:t>
      </w:r>
      <w:bookmarkEnd w:id="0"/>
      <w:bookmarkEnd w:id="7"/>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328F">
    <w:pPr>
      <w:pStyle w:val="9"/>
      <w:framePr w:wrap="around" w:vAnchor="text" w:hAnchor="margin" w:xAlign="outside" w:y="1"/>
      <w:rPr>
        <w:rStyle w:val="17"/>
        <w:rFonts w:hint="eastAsia"/>
        <w:sz w:val="28"/>
      </w:rPr>
    </w:pPr>
    <w:r>
      <w:rPr>
        <w:rStyle w:val="17"/>
        <w:rFonts w:hint="eastAsia" w:ascii="宋体" w:hAnsi="宋体"/>
        <w:sz w:val="28"/>
      </w:rPr>
      <w:t>―</w:t>
    </w:r>
    <w:r>
      <w:rPr>
        <w:rStyle w:val="17"/>
        <w:rFonts w:hint="eastAsia"/>
        <w:sz w:val="28"/>
      </w:rPr>
      <w:t xml:space="preserve"> </w:t>
    </w:r>
    <w:r>
      <w:rPr>
        <w:rStyle w:val="17"/>
        <w:sz w:val="28"/>
      </w:rPr>
      <w:fldChar w:fldCharType="begin"/>
    </w:r>
    <w:r>
      <w:rPr>
        <w:rStyle w:val="17"/>
        <w:sz w:val="28"/>
      </w:rPr>
      <w:instrText xml:space="preserve">PAGE  </w:instrText>
    </w:r>
    <w:r>
      <w:rPr>
        <w:rStyle w:val="17"/>
        <w:sz w:val="28"/>
      </w:rPr>
      <w:fldChar w:fldCharType="separate"/>
    </w:r>
    <w:r>
      <w:rPr>
        <w:rStyle w:val="17"/>
        <w:sz w:val="28"/>
      </w:rPr>
      <w:t>2</w:t>
    </w:r>
    <w:r>
      <w:rPr>
        <w:rStyle w:val="17"/>
        <w:sz w:val="28"/>
      </w:rPr>
      <w:fldChar w:fldCharType="end"/>
    </w:r>
    <w:r>
      <w:rPr>
        <w:rStyle w:val="17"/>
        <w:rFonts w:hint="eastAsia"/>
        <w:sz w:val="28"/>
      </w:rPr>
      <w:t xml:space="preserve"> </w:t>
    </w:r>
    <w:r>
      <w:rPr>
        <w:rStyle w:val="17"/>
        <w:rFonts w:hint="eastAsia" w:ascii="宋体" w:hAnsi="宋体"/>
        <w:sz w:val="28"/>
      </w:rPr>
      <w:t>―</w:t>
    </w:r>
  </w:p>
  <w:p w14:paraId="20B99668">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A6833">
    <w:pPr>
      <w:pStyle w:val="9"/>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6609E64F">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5E1E4">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726573F"/>
    <w:rsid w:val="08BB280E"/>
    <w:rsid w:val="09CA1181"/>
    <w:rsid w:val="0D4F2AE5"/>
    <w:rsid w:val="0DEB5A37"/>
    <w:rsid w:val="0E640050"/>
    <w:rsid w:val="0F52122C"/>
    <w:rsid w:val="0F6F1094"/>
    <w:rsid w:val="128379F6"/>
    <w:rsid w:val="12856FF3"/>
    <w:rsid w:val="13C979FA"/>
    <w:rsid w:val="15624E21"/>
    <w:rsid w:val="16153CF4"/>
    <w:rsid w:val="17D84309"/>
    <w:rsid w:val="19FE60C7"/>
    <w:rsid w:val="1A1914F5"/>
    <w:rsid w:val="1B176524"/>
    <w:rsid w:val="1BED373D"/>
    <w:rsid w:val="1C663D97"/>
    <w:rsid w:val="1CC968C3"/>
    <w:rsid w:val="1D4D67EE"/>
    <w:rsid w:val="1E765922"/>
    <w:rsid w:val="1F0D7671"/>
    <w:rsid w:val="1FDE71AF"/>
    <w:rsid w:val="20BA50E3"/>
    <w:rsid w:val="220E557A"/>
    <w:rsid w:val="232609F0"/>
    <w:rsid w:val="252D1EE5"/>
    <w:rsid w:val="260A4701"/>
    <w:rsid w:val="269D7E97"/>
    <w:rsid w:val="27CB7E09"/>
    <w:rsid w:val="284E34A5"/>
    <w:rsid w:val="291649F7"/>
    <w:rsid w:val="291B3F52"/>
    <w:rsid w:val="29FA00EA"/>
    <w:rsid w:val="2A7501F0"/>
    <w:rsid w:val="2BFC0D17"/>
    <w:rsid w:val="2C5348C6"/>
    <w:rsid w:val="2D3E219F"/>
    <w:rsid w:val="2D9B4434"/>
    <w:rsid w:val="2F2E2D8A"/>
    <w:rsid w:val="2FC737F6"/>
    <w:rsid w:val="30023F2B"/>
    <w:rsid w:val="30025200"/>
    <w:rsid w:val="30870396"/>
    <w:rsid w:val="31B62063"/>
    <w:rsid w:val="339B5615"/>
    <w:rsid w:val="34870786"/>
    <w:rsid w:val="368707A0"/>
    <w:rsid w:val="36E8706D"/>
    <w:rsid w:val="37FF4F0E"/>
    <w:rsid w:val="38A97D85"/>
    <w:rsid w:val="3A282EC7"/>
    <w:rsid w:val="3A53380B"/>
    <w:rsid w:val="3BD24112"/>
    <w:rsid w:val="3C191652"/>
    <w:rsid w:val="3D957DFF"/>
    <w:rsid w:val="3DAD3FDE"/>
    <w:rsid w:val="3DFE29E0"/>
    <w:rsid w:val="402A1393"/>
    <w:rsid w:val="40EE14B1"/>
    <w:rsid w:val="40F07806"/>
    <w:rsid w:val="41680404"/>
    <w:rsid w:val="42007882"/>
    <w:rsid w:val="42B875A4"/>
    <w:rsid w:val="438576C5"/>
    <w:rsid w:val="439F0BBE"/>
    <w:rsid w:val="44A15615"/>
    <w:rsid w:val="461D3EE6"/>
    <w:rsid w:val="4732045C"/>
    <w:rsid w:val="476D05EC"/>
    <w:rsid w:val="4792415F"/>
    <w:rsid w:val="48BC7A7A"/>
    <w:rsid w:val="4D037CA5"/>
    <w:rsid w:val="4D4D6CAD"/>
    <w:rsid w:val="4E100354"/>
    <w:rsid w:val="4E823E3F"/>
    <w:rsid w:val="50775E7B"/>
    <w:rsid w:val="51463C84"/>
    <w:rsid w:val="51EC39BC"/>
    <w:rsid w:val="526D1882"/>
    <w:rsid w:val="539A6D9B"/>
    <w:rsid w:val="54535B9B"/>
    <w:rsid w:val="56D90809"/>
    <w:rsid w:val="575E5E0B"/>
    <w:rsid w:val="576C3EC8"/>
    <w:rsid w:val="58F4010C"/>
    <w:rsid w:val="599125D0"/>
    <w:rsid w:val="5D0C3D95"/>
    <w:rsid w:val="5E175DB4"/>
    <w:rsid w:val="5E3E7416"/>
    <w:rsid w:val="5F63425D"/>
    <w:rsid w:val="633A1D77"/>
    <w:rsid w:val="63C51FC3"/>
    <w:rsid w:val="6534300B"/>
    <w:rsid w:val="66013B47"/>
    <w:rsid w:val="670856A2"/>
    <w:rsid w:val="69271CDD"/>
    <w:rsid w:val="69FC3374"/>
    <w:rsid w:val="6ABE0F32"/>
    <w:rsid w:val="6B743DD4"/>
    <w:rsid w:val="6BB20BEF"/>
    <w:rsid w:val="6BFA5CBF"/>
    <w:rsid w:val="6CB93980"/>
    <w:rsid w:val="6E193FCD"/>
    <w:rsid w:val="6E273EB7"/>
    <w:rsid w:val="6E3D4902"/>
    <w:rsid w:val="70EB61B4"/>
    <w:rsid w:val="719E1C2B"/>
    <w:rsid w:val="71F25EB7"/>
    <w:rsid w:val="721533D8"/>
    <w:rsid w:val="734F6D9E"/>
    <w:rsid w:val="75B46566"/>
    <w:rsid w:val="75B66322"/>
    <w:rsid w:val="76687ABD"/>
    <w:rsid w:val="77A3353E"/>
    <w:rsid w:val="784E3B62"/>
    <w:rsid w:val="793D1A06"/>
    <w:rsid w:val="79AB1D82"/>
    <w:rsid w:val="79AE53C9"/>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link w:val="15"/>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9"/>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Body Text Indent"/>
    <w:basedOn w:val="1"/>
    <w:qFormat/>
    <w:uiPriority w:val="0"/>
    <w:pPr>
      <w:spacing w:line="560" w:lineRule="exact"/>
      <w:ind w:firstLine="600" w:firstLineChars="200"/>
      <w:outlineLvl w:val="0"/>
    </w:pPr>
    <w:rPr>
      <w:rFonts w:ascii="仿宋_GB2312" w:eastAsia="仿宋_GB2312"/>
      <w:sz w:val="30"/>
    </w:rPr>
  </w:style>
  <w:style w:type="paragraph" w:styleId="5">
    <w:name w:val="Plain Text"/>
    <w:basedOn w:val="1"/>
    <w:qFormat/>
    <w:uiPriority w:val="0"/>
    <w:rPr>
      <w:rFonts w:ascii="宋体" w:hAnsi="Courier New" w:eastAsia="宋体"/>
      <w:kern w:val="2"/>
      <w:sz w:val="21"/>
      <w:lang w:val="en-US" w:eastAsia="zh-CN" w:bidi="ar-SA"/>
    </w:rPr>
  </w:style>
  <w:style w:type="paragraph" w:styleId="6">
    <w:name w:val="Date"/>
    <w:basedOn w:val="1"/>
    <w:next w:val="1"/>
    <w:qFormat/>
    <w:uiPriority w:val="0"/>
    <w:pPr>
      <w:ind w:left="100" w:leftChars="2500"/>
    </w:pPr>
    <w:rPr>
      <w:rFonts w:eastAsia="仿宋_GB2312"/>
      <w:w w:val="99"/>
      <w:sz w:val="32"/>
    </w:rPr>
  </w:style>
  <w:style w:type="paragraph" w:styleId="7">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w:basedOn w:val="1"/>
    <w:link w:val="14"/>
    <w:qFormat/>
    <w:uiPriority w:val="0"/>
  </w:style>
  <w:style w:type="character" w:styleId="16">
    <w:name w:val="Strong"/>
    <w:basedOn w:val="14"/>
    <w:qFormat/>
    <w:uiPriority w:val="22"/>
    <w:rPr>
      <w:rFonts w:ascii="Times New Roman" w:hAnsi="Times New Roman" w:eastAsia="宋体" w:cs="Times New Roman"/>
      <w:b/>
      <w:bCs/>
    </w:rPr>
  </w:style>
  <w:style w:type="character" w:styleId="17">
    <w:name w:val="page number"/>
    <w:basedOn w:val="14"/>
    <w:qFormat/>
    <w:uiPriority w:val="0"/>
  </w:style>
  <w:style w:type="character" w:styleId="18">
    <w:name w:val="Hyperlink"/>
    <w:basedOn w:val="14"/>
    <w:qFormat/>
    <w:uiPriority w:val="0"/>
    <w:rPr>
      <w:rFonts w:ascii="Times New Roman" w:hAnsi="Times New Roman" w:eastAsia="宋体" w:cs="Times New Roman"/>
      <w:color w:val="0000FF"/>
      <w:u w:val="single"/>
    </w:rPr>
  </w:style>
  <w:style w:type="paragraph" w:customStyle="1" w:styleId="19">
    <w:name w:val="Default"/>
    <w:basedOn w:val="20"/>
    <w:next w:val="21"/>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20">
    <w:name w:val="纯文本1"/>
    <w:basedOn w:val="1"/>
    <w:next w:val="1"/>
    <w:qFormat/>
    <w:uiPriority w:val="0"/>
    <w:pPr>
      <w:adjustRightInd w:val="0"/>
      <w:textAlignment w:val="baseline"/>
    </w:pPr>
    <w:rPr>
      <w:rFonts w:ascii="宋体" w:hAnsi="Courier New"/>
      <w:szCs w:val="20"/>
    </w:rPr>
  </w:style>
  <w:style w:type="paragraph" w:customStyle="1" w:styleId="21">
    <w:name w:val="正文文字 6"/>
    <w:basedOn w:val="22"/>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22">
    <w:name w:val="TT标题"/>
    <w:basedOn w:val="1"/>
    <w:qFormat/>
    <w:uiPriority w:val="0"/>
    <w:pPr>
      <w:jc w:val="center"/>
    </w:pPr>
    <w:rPr>
      <w:rFonts w:cs="宋体"/>
      <w:b/>
      <w:szCs w:val="20"/>
    </w:rPr>
  </w:style>
  <w:style w:type="paragraph" w:customStyle="1" w:styleId="23">
    <w:name w:val="Q-正文"/>
    <w:basedOn w:val="1"/>
    <w:next w:val="1"/>
    <w:qFormat/>
    <w:uiPriority w:val="0"/>
    <w:pPr>
      <w:ind w:firstLine="200"/>
    </w:pPr>
    <w:rPr>
      <w:rFonts w:ascii="Times New Roman" w:hAnsi="Times New Roman" w:eastAsia="宋体" w:cs="Courier New"/>
      <w:sz w:val="21"/>
      <w:szCs w:val="22"/>
    </w:rPr>
  </w:style>
  <w:style w:type="paragraph" w:customStyle="1" w:styleId="24">
    <w:name w:val="A正文-lcc"/>
    <w:basedOn w:val="1"/>
    <w:link w:val="27"/>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25">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26">
    <w:name w:val=" Char"/>
    <w:basedOn w:val="1"/>
    <w:qFormat/>
    <w:uiPriority w:val="0"/>
    <w:pPr>
      <w:spacing w:line="360" w:lineRule="auto"/>
    </w:pPr>
    <w:rPr>
      <w:rFonts w:ascii="Tahoma" w:hAnsi="Tahoma" w:eastAsia="宋体" w:cs="Times New Roman"/>
      <w:sz w:val="28"/>
      <w:szCs w:val="20"/>
    </w:rPr>
  </w:style>
  <w:style w:type="character" w:customStyle="1" w:styleId="27">
    <w:name w:val="A正文-lcc Char"/>
    <w:link w:val="24"/>
    <w:qFormat/>
    <w:uiPriority w:val="0"/>
    <w:rPr>
      <w:rFonts w:ascii="Times New Roman" w:hAnsi="Times New Roman" w:eastAsia="宋体" w:cs="Times New Roman"/>
      <w:color w:val="000000"/>
      <w:kern w:val="0"/>
      <w:sz w:val="24"/>
      <w:szCs w:val="24"/>
    </w:rPr>
  </w:style>
  <w:style w:type="character" w:customStyle="1" w:styleId="28">
    <w:name w:val="content1"/>
    <w:basedOn w:val="14"/>
    <w:qFormat/>
    <w:uiPriority w:val="0"/>
    <w:rPr>
      <w:rFonts w:ascii="Times New Roman" w:hAnsi="Times New Roman" w:eastAsia="宋体" w:cs="Times New Roman"/>
      <w:sz w:val="21"/>
      <w:szCs w:val="21"/>
    </w:rPr>
  </w:style>
  <w:style w:type="character" w:customStyle="1" w:styleId="29">
    <w:name w:val="正文文本 Char"/>
    <w:basedOn w:val="14"/>
    <w:link w:val="3"/>
    <w:semiHidden/>
    <w:qFormat/>
    <w:locked/>
    <w:uiPriority w:val="0"/>
    <w:rPr>
      <w:rFonts w:ascii="方正小标宋简体" w:hAnsi="Times New Roman" w:eastAsia="方正小标宋简体" w:cs="方正小标宋简体"/>
      <w:sz w:val="44"/>
      <w:szCs w:val="44"/>
    </w:rPr>
  </w:style>
  <w:style w:type="character" w:customStyle="1" w:styleId="30">
    <w:name w:val="样式 楷体_GB2312 黑色"/>
    <w:qFormat/>
    <w:uiPriority w:val="0"/>
    <w:rPr>
      <w:rFonts w:ascii="楷体_GB2312" w:hAnsi="宋体" w:eastAsia="楷体_GB2312" w:cs="Times New Roman"/>
      <w:b/>
      <w:color w:val="000000"/>
      <w:sz w:val="24"/>
      <w:lang w:val="en-US" w:eastAsia="zh-CN"/>
    </w:rPr>
  </w:style>
  <w:style w:type="paragraph" w:customStyle="1" w:styleId="31">
    <w:name w:val="无空2表格文字"/>
    <w:basedOn w:val="1"/>
    <w:qFormat/>
    <w:uiPriority w:val="0"/>
    <w:pPr>
      <w:spacing w:line="240" w:lineRule="auto"/>
      <w:ind w:firstLine="0" w:firstLineChars="0"/>
    </w:pPr>
    <w:rPr>
      <w:rFonts w:ascii="Times New Roman" w:hAnsi="Times New Roman" w:eastAsia="宋体" w:cs="Times New Roman"/>
      <w:color w:val="00000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gzepb</Company>
  <Pages>5</Pages>
  <Words>2334</Words>
  <Characters>2585</Characters>
  <Lines>16</Lines>
  <Paragraphs>4</Paragraphs>
  <TotalTime>1</TotalTime>
  <ScaleCrop>false</ScaleCrop>
  <LinksUpToDate>false</LinksUpToDate>
  <CharactersWithSpaces>2623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哲</cp:lastModifiedBy>
  <cp:lastPrinted>2025-10-23T02:29:00Z</cp:lastPrinted>
  <dcterms:modified xsi:type="dcterms:W3CDTF">2025-10-23T09:05:21Z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F3DB59B5B28B422E811699D71830EA02_13</vt:lpwstr>
  </property>
  <property fmtid="{D5CDD505-2E9C-101B-9397-08002B2CF9AE}" pid="4" name="KSOTemplateDocerSaveRecord">
    <vt:lpwstr>eyJoZGlkIjoiZmVkOWE4YzZkMjQ2YmUyZDVkNWVlNWY4MmZkZTUyYzMiLCJ1c2VySWQiOiIyNDQ3Mzk4NDAifQ==</vt:lpwstr>
  </property>
</Properties>
</file>