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9B7B36">
      <w:pPr>
        <w:keepNext w:val="0"/>
        <w:keepLines w:val="0"/>
        <w:widowControl w:val="0"/>
        <w:suppressLineNumbers w:val="0"/>
        <w:spacing w:line="590" w:lineRule="exact"/>
        <w:jc w:val="right"/>
        <w:rPr>
          <w:rFonts w:ascii="Times New Roman" w:hAnsi="Times New Roman" w:eastAsia="仿宋_GB2312" w:cs="Times New Roman"/>
          <w:b w:val="0"/>
          <w:bCs w:val="0"/>
          <w:sz w:val="32"/>
          <w:szCs w:val="32"/>
        </w:rPr>
      </w:pPr>
      <w:bookmarkStart w:id="0" w:name="Content"/>
      <w:r>
        <w:rPr>
          <w:rFonts w:ascii="Times New Roman" w:hAnsi="Times New Roman" w:eastAsia="仿宋_GB2312" w:cs="Times New Roman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穗环管影</w:t>
      </w:r>
      <w:r>
        <w:rPr>
          <w:rFonts w:hint="eastAsia" w:eastAsia="仿宋_GB2312" w:cs="Times New Roman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（</w:t>
      </w:r>
      <w:r>
        <w:rPr>
          <w:rFonts w:hint="eastAsia" w:eastAsia="仿宋_GB2312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番</w:t>
      </w:r>
      <w:r>
        <w:rPr>
          <w:rFonts w:hint="eastAsia" w:eastAsia="仿宋_GB2312" w:cs="Times New Roman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）</w:t>
      </w:r>
      <w:r>
        <w:rPr>
          <w:rFonts w:ascii="Times New Roman" w:hAnsi="Times New Roman" w:eastAsia="仿宋_GB2312" w:cs="Times New Roman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〔202</w:t>
      </w:r>
      <w:r>
        <w:rPr>
          <w:rFonts w:hint="eastAsia" w:eastAsia="仿宋_GB2312" w:cs="Times New Roman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5</w:t>
      </w:r>
      <w:r>
        <w:rPr>
          <w:rFonts w:ascii="Times New Roman" w:hAnsi="Times New Roman" w:eastAsia="仿宋_GB2312" w:cs="Times New Roman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〕</w:t>
      </w:r>
      <w:r>
        <w:rPr>
          <w:rFonts w:hint="eastAsia" w:eastAsia="仿宋_GB2312" w:cs="Times New Roman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132</w:t>
      </w:r>
      <w:r>
        <w:rPr>
          <w:rFonts w:ascii="Times New Roman" w:hAnsi="Times New Roman" w:eastAsia="仿宋_GB2312" w:cs="Times New Roman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号</w:t>
      </w:r>
    </w:p>
    <w:p w14:paraId="78622477">
      <w:pPr>
        <w:spacing w:line="590" w:lineRule="exact"/>
        <w:jc w:val="right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</w:p>
    <w:p w14:paraId="029BB5A0">
      <w:pPr>
        <w:spacing w:line="590" w:lineRule="exact"/>
        <w:jc w:val="right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</w:p>
    <w:p w14:paraId="117EFFFC">
      <w:pPr>
        <w:spacing w:line="59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广州市生态环境局关于</w:t>
      </w:r>
      <w:bookmarkStart w:id="1" w:name="OLE_LINK7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广州睿邦新材料科技</w:t>
      </w:r>
    </w:p>
    <w:p w14:paraId="470C22AC">
      <w:pPr>
        <w:spacing w:line="59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有限公司实验室项目</w:t>
      </w:r>
      <w:bookmarkEnd w:id="1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环境影响报告</w:t>
      </w:r>
      <w:bookmarkStart w:id="2" w:name="OLE_LINK17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表</w:t>
      </w:r>
      <w:bookmarkEnd w:id="2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的批复</w:t>
      </w:r>
    </w:p>
    <w:p w14:paraId="52B196A8">
      <w:pPr>
        <w:spacing w:line="590" w:lineRule="exact"/>
        <w:ind w:firstLine="643" w:firstLineChars="200"/>
        <w:jc w:val="center"/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</w:pPr>
    </w:p>
    <w:p w14:paraId="689394BA">
      <w:pPr>
        <w:spacing w:line="590" w:lineRule="exact"/>
        <w:ind w:firstLine="643" w:firstLineChars="200"/>
        <w:jc w:val="center"/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</w:pPr>
    </w:p>
    <w:p w14:paraId="1F6BD68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600" w:lineRule="exact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广州睿邦新材料科技有限公司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（91440113795545249B）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：</w:t>
      </w:r>
    </w:p>
    <w:p w14:paraId="6C658F9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60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 xml:space="preserve">    你公司报批的《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广州睿邦新材料科技有限公司实验室项目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环境影响报告</w:t>
      </w:r>
      <w:bookmarkStart w:id="3" w:name="OLE_LINK18"/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表</w:t>
      </w:r>
      <w:bookmarkEnd w:id="3"/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》（以下简称《报告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》）及相关资料收悉。经研究，批复如下：</w:t>
      </w:r>
    </w:p>
    <w:p w14:paraId="77BA351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pacing w:line="600" w:lineRule="exact"/>
        <w:ind w:firstLine="640" w:firstLineChars="200"/>
        <w:textAlignment w:val="auto"/>
        <w:rPr>
          <w:rFonts w:hint="default" w:eastAsia="宋体" w:cs="Times New Roman"/>
          <w:b w:val="0"/>
          <w:bCs w:val="0"/>
          <w:kern w:val="0"/>
          <w:sz w:val="32"/>
          <w:szCs w:val="32"/>
          <w:vertAlign w:val="baseline"/>
          <w:lang w:val="en-US" w:eastAsia="zh-CN"/>
        </w:rPr>
      </w:pP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一、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广州睿邦新材料科技有限公司实验室项目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位于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广东省广州市番禺区化龙镇龙顺二路9号1栋1201房之一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主要建设内容为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从事电镀添加剂的品检和电镀工艺的研发验证测试，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年进行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酸性镀铜添加剂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样品品检150个、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镀镍添加剂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样品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品检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120个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镀锡、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镀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金、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镀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银、金锡合金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镀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、镀镍、镀铜工艺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研发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测试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各10次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焦磷酸盐脉冲镀铜工艺测试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箱体TGV酸性镀铜脉冲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测试各20次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；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中性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盐雾测试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及</w:t>
      </w:r>
      <w:r>
        <w:rPr>
          <w:rFonts w:hint="default" w:eastAsia="仿宋_GB2312"/>
          <w:sz w:val="32"/>
          <w:szCs w:val="32"/>
        </w:rPr>
        <w:t>铜盐加速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盐雾测试各10次、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高温氧化测试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15次</w:t>
      </w: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  <w:lang w:val="en-US" w:eastAsia="zh-CN"/>
        </w:rPr>
        <w:t>。</w:t>
      </w:r>
      <w:r>
        <w:rPr>
          <w:rFonts w:hint="eastAsia" w:eastAsia="仿宋_GB2312" w:cs="Times New Roman"/>
          <w:b w:val="0"/>
          <w:bCs w:val="0"/>
          <w:kern w:val="0"/>
          <w:sz w:val="32"/>
          <w:szCs w:val="32"/>
          <w:lang w:val="en-US" w:eastAsia="zh-CN"/>
        </w:rPr>
        <w:t>项目</w:t>
      </w:r>
      <w:r>
        <w:rPr>
          <w:rFonts w:hint="eastAsia" w:eastAsia="仿宋_GB2312" w:cs="Times New Roman"/>
          <w:b w:val="0"/>
          <w:bCs w:val="0"/>
          <w:kern w:val="0"/>
          <w:sz w:val="32"/>
          <w:szCs w:val="32"/>
          <w:vertAlign w:val="baseline"/>
          <w:lang w:val="en-US" w:eastAsia="zh-CN"/>
        </w:rPr>
        <w:t>租用1栋12层厂房中的第12层部分区域建设，</w:t>
      </w:r>
      <w:r>
        <w:rPr>
          <w:rFonts w:hint="eastAsia" w:eastAsia="仿宋_GB2312" w:cs="Times New Roman"/>
          <w:b w:val="0"/>
          <w:bCs w:val="0"/>
          <w:kern w:val="0"/>
          <w:sz w:val="32"/>
          <w:szCs w:val="32"/>
          <w:lang w:val="en-US" w:eastAsia="zh-CN"/>
        </w:rPr>
        <w:t>总建筑面积158m</w:t>
      </w:r>
      <w:r>
        <w:rPr>
          <w:rFonts w:hint="eastAsia" w:eastAsia="仿宋_GB2312" w:cs="Times New Roman"/>
          <w:b w:val="0"/>
          <w:bCs w:val="0"/>
          <w:kern w:val="0"/>
          <w:sz w:val="32"/>
          <w:szCs w:val="32"/>
          <w:vertAlign w:val="superscript"/>
          <w:lang w:val="en-US" w:eastAsia="zh-CN"/>
        </w:rPr>
        <w:t>2</w:t>
      </w:r>
      <w:r>
        <w:rPr>
          <w:rFonts w:hint="eastAsia" w:eastAsia="仿宋_GB2312" w:cs="Times New Roman"/>
          <w:b w:val="0"/>
          <w:bCs w:val="0"/>
          <w:kern w:val="0"/>
          <w:sz w:val="32"/>
          <w:szCs w:val="32"/>
          <w:vertAlign w:val="baseline"/>
          <w:lang w:val="en-US" w:eastAsia="zh-CN"/>
        </w:rPr>
        <w:t>，使用主要设备有：切割机1台、打磨机2台、盐雾实验机3台、箱体TGV脉冲镀铜实验槽1个、铜槽1个、镍槽1个、赫氏槽12个、酸处理槽2个、碱处理槽2个、清水槽6个以及实验仪器一批等。项目涉及的辐射内容不在本次评价范围内，另行单独办理相关环保手续。</w:t>
      </w:r>
    </w:p>
    <w:p w14:paraId="6583F50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《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报告表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》评价结论认为，在全面落实《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报告表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》提出的各项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生态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环境保护措施和环境风险防范措施的前提下，该项目建设和运行过程中产生的不良环境影响能够得到有效控制，从环境保护角度，项目建设可行。经审查，我局同意《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报告表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 xml:space="preserve">》的评价结论。 </w:t>
      </w:r>
    </w:p>
    <w:p w14:paraId="5E9FD59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二、在项目建设和运营过程中，应认真落实《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报告表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》提出的各项环境保护对策措施，重点做好以下工作：</w:t>
      </w:r>
    </w:p>
    <w:p w14:paraId="4ABD87D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一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）项目产生的酸雾废气经收集引至废气处理装置（碱液喷淋塔）处理后通过不低于15米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高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排气筒排放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项目设置大气排放口1个。加强项目边界无组织排放废气的监控，确保项目边界无组织排放监控点的废气达到相应标准限值的要求，监测超标时应加强对无组织排放废气进行收集、净化处理。</w:t>
      </w:r>
    </w:p>
    <w:p w14:paraId="46ACC4C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酸雾废气（以硫酸雾、氯化氢、氮氧化物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为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表征）有组织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排放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执行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</w:rPr>
        <w:t>《电镀污染物排放标准》（GB 21900—2008）表5新建企业大气污染物排放浓度限值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氨气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排放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执行《恶臭污染物排放标准》（GB14554-93）表1新扩改建二级标准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，其余无组织排放执行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广东省《大气污染物排放限值》（DB44/27-2001）第二时段无组织排放监控浓度限值要求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。</w:t>
      </w:r>
    </w:p>
    <w:p w14:paraId="044DE92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）</w:t>
      </w:r>
      <w:bookmarkStart w:id="4" w:name="OLE_LINK14"/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项目</w:t>
      </w:r>
      <w:bookmarkEnd w:id="4"/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员工生活污水经园区三级化粪池预处理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后连同间接冷却废水、纯水制备浓水和反冲洗废水一同引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入市政污水管道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送城镇污水处理厂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eastAsia="zh-CN"/>
        </w:rPr>
        <w:t>进一步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处理。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水污染物排放执行广东省《水污染物排放限值》（DB44/26-2001）第二时段三级标准。生活污水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排放量不超过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81吨/年，间接冷却废水、纯水制备浓水和反冲洗废水年排放量不超过3.483吨/年。</w:t>
      </w:r>
    </w:p>
    <w:p w14:paraId="7BCDDF5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（三）项目噪声排放执行《工业企业厂界环境噪声排放标准》（GB12348-2008）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3类区限值，即：昼间≤65dB（A），夜间≤55dB（A）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。</w:t>
      </w:r>
    </w:p>
    <w:p w14:paraId="30F5882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  <w:lang w:val="en-US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（四）</w:t>
      </w:r>
      <w:bookmarkStart w:id="5" w:name="OLE_LINK16"/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各类固体废物实行分类收集、处置</w:t>
      </w:r>
      <w:bookmarkEnd w:id="5"/>
      <w:bookmarkStart w:id="6" w:name="OLE_LINK12"/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固体废物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的贮存、堆放应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按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《危险废物贮存污染控制标准》（GB18597-20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23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《一般工业固体废物贮存和填埋污染控制标准》(GB 18599-2020)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要求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进行管理。废试剂瓶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含铜废液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含镍废液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含金废液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含银废液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其他试验废液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喷淋废液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实验室耗材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等危险废物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eastAsia="zh-CN"/>
        </w:rPr>
        <w:t>应委托有资质的单位处置。</w:t>
      </w:r>
    </w:p>
    <w:bookmarkEnd w:id="6"/>
    <w:p w14:paraId="5E03C6E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）加强环境风险防范和应急工作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建立健全环境事故应急体系，落实各项环境风险防范与应急措施，确保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生态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环境安全。</w:t>
      </w:r>
    </w:p>
    <w:p w14:paraId="1087EC8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（六）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加强运营期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环境保护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管理，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确保各项污染物稳定达标排放，并</w:t>
      </w:r>
      <w:bookmarkStart w:id="7" w:name="OLE_LINK15"/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eastAsia="zh-CN"/>
        </w:rPr>
        <w:t>按规定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做好污染物排放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的自行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监测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及信息公开工作</w:t>
      </w:r>
      <w:bookmarkEnd w:id="7"/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。</w:t>
      </w:r>
    </w:p>
    <w:p w14:paraId="1E7F75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0" w:afterLines="0" w:line="60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（七）</w:t>
      </w:r>
      <w:bookmarkStart w:id="8" w:name="OLE_LINK21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项目建设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符合法律、法规等要求，如涉及规划、水务、消防等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其他部门许可事项的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须依法办理相关手续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</w:t>
      </w:r>
      <w:bookmarkEnd w:id="8"/>
    </w:p>
    <w:p w14:paraId="6B29C8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三、根据《建设项目环境保护管理条例》有关规定，建设项目需要配套建设的环境保护设施，必须与主体工程同时设计、同时施工、同时投产使用。项目竣工后，你公司应当按照国家和地方规定的标准和程序，对配套建设的环境保护设施进行验收，经验收合格后方可投入使用。</w:t>
      </w:r>
    </w:p>
    <w:p w14:paraId="45838D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四、如不服上述行政许可决定，可以在收到文书之日起60日内向广州市人民政府行政复议机构（地址：广州市越秀区小北路183号金和大厦2楼市政府行政复议办公室窗口，电话：020-83555988）申请行政复议；或者在收到文书之日起6个月内直接向广州铁路运输法院提起行政诉讼。申请行政复议或提起行政诉讼的，不停止本决定的执行。</w:t>
      </w:r>
    </w:p>
    <w:p w14:paraId="21E610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 w14:paraId="08F9C1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 w14:paraId="3B215F2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jc w:val="center"/>
        <w:textAlignment w:val="auto"/>
        <w:outlineLvl w:val="0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 xml:space="preserve">               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 xml:space="preserve">        广州市生态环境局</w:t>
      </w:r>
    </w:p>
    <w:p w14:paraId="4A839BC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202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年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月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16</w:t>
      </w:r>
      <w:bookmarkStart w:id="10" w:name="_GoBack"/>
      <w:bookmarkEnd w:id="10"/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日</w:t>
      </w:r>
    </w:p>
    <w:p w14:paraId="45D1C52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57EA72F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51CCF5A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4EAA987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79BAB0F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39F35121">
      <w:pPr>
        <w:pStyle w:val="19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</w:p>
    <w:p w14:paraId="079FB9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textAlignment w:val="auto"/>
        <w:outlineLvl w:val="0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公开方式：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主动公开</w:t>
      </w:r>
    </w:p>
    <w:p w14:paraId="3B2FBB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textAlignment w:val="auto"/>
        <w:outlineLvl w:val="0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 w14:paraId="1CF679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90" w:lineRule="exact"/>
        <w:ind w:left="0" w:leftChars="0" w:firstLine="56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t>抄送：</w:t>
      </w:r>
      <w:bookmarkStart w:id="9" w:name="OLE_LINK13"/>
      <w:r>
        <w:rPr>
          <w:rFonts w:hint="eastAsia" w:eastAsia="仿宋_GB2312" w:cs="Times New Roman"/>
          <w:b w:val="0"/>
          <w:bCs w:val="0"/>
          <w:sz w:val="28"/>
          <w:szCs w:val="28"/>
          <w:lang w:eastAsia="zh-CN"/>
        </w:rPr>
        <w:t>广州市生态环境局番禺分局</w:t>
      </w:r>
      <w:r>
        <w:rPr>
          <w:rFonts w:hint="eastAsia" w:eastAsia="仿宋_GB2312" w:cs="Times New Roman"/>
          <w:b w:val="0"/>
          <w:bCs w:val="0"/>
          <w:sz w:val="28"/>
          <w:szCs w:val="28"/>
          <w:lang w:val="en-US" w:eastAsia="zh-CN"/>
        </w:rPr>
        <w:t>监管三科、</w:t>
      </w:r>
      <w:r>
        <w:rPr>
          <w:rFonts w:hint="eastAsia" w:eastAsia="仿宋_GB2312" w:cs="Times New Roman"/>
          <w:b w:val="0"/>
          <w:bCs w:val="0"/>
          <w:sz w:val="28"/>
          <w:szCs w:val="28"/>
          <w:lang w:eastAsia="zh-CN"/>
        </w:rPr>
        <w:t>执法三科；</w:t>
      </w:r>
      <w:r>
        <w:rPr>
          <w:rFonts w:hint="eastAsia" w:eastAsia="仿宋_GB2312" w:cs="Times New Roman"/>
          <w:b w:val="0"/>
          <w:bCs w:val="0"/>
          <w:sz w:val="28"/>
          <w:szCs w:val="28"/>
          <w:lang w:val="en-US" w:eastAsia="zh-CN"/>
        </w:rPr>
        <w:t>广州市</w:t>
      </w:r>
      <w:r>
        <w:rPr>
          <w:rFonts w:hint="eastAsia" w:eastAsia="仿宋_GB2312" w:cs="Times New Roman"/>
          <w:b w:val="0"/>
          <w:bCs w:val="0"/>
          <w:sz w:val="28"/>
          <w:szCs w:val="28"/>
          <w:lang w:eastAsia="zh-CN"/>
        </w:rPr>
        <w:t>生态环境局番禺第三环保所、</w:t>
      </w:r>
      <w:r>
        <w:rPr>
          <w:rFonts w:hint="eastAsia" w:eastAsia="仿宋_GB2312" w:cs="Times New Roman"/>
          <w:b w:val="0"/>
          <w:bCs w:val="0"/>
          <w:sz w:val="28"/>
          <w:szCs w:val="28"/>
          <w:lang w:val="en-US" w:eastAsia="zh-CN"/>
        </w:rPr>
        <w:t>番禺技术中心；广州颐景环保科技有限公司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t>。</w:t>
      </w:r>
      <w:bookmarkEnd w:id="0"/>
      <w:bookmarkEnd w:id="9"/>
    </w:p>
    <w:sectPr>
      <w:headerReference r:id="rId3" w:type="default"/>
      <w:footerReference r:id="rId4" w:type="default"/>
      <w:footerReference r:id="rId5" w:type="even"/>
      <w:pgSz w:w="11906" w:h="16838"/>
      <w:pgMar w:top="1701" w:right="1417" w:bottom="1417" w:left="1417" w:header="1134" w:footer="1503" w:gutter="0"/>
      <w:cols w:space="720" w:num="1"/>
      <w:titlePg/>
      <w:docGrid w:type="lines" w:linePitch="312" w:charSpace="80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汉鼎简书宋">
    <w:altName w:val="宋体"/>
    <w:panose1 w:val="02010609010101010101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43328F">
    <w:pPr>
      <w:pStyle w:val="9"/>
      <w:framePr w:wrap="around" w:vAnchor="text" w:hAnchor="margin" w:xAlign="outside" w:y="1"/>
      <w:rPr>
        <w:rStyle w:val="17"/>
        <w:rFonts w:hint="eastAsia"/>
        <w:sz w:val="28"/>
      </w:rPr>
    </w:pPr>
    <w:r>
      <w:rPr>
        <w:rStyle w:val="17"/>
        <w:rFonts w:hint="eastAsia" w:ascii="宋体" w:hAnsi="宋体"/>
        <w:sz w:val="28"/>
      </w:rPr>
      <w:t>―</w:t>
    </w:r>
    <w:r>
      <w:rPr>
        <w:rStyle w:val="17"/>
        <w:rFonts w:hint="eastAsia"/>
        <w:sz w:val="28"/>
      </w:rPr>
      <w:t xml:space="preserve"> </w:t>
    </w:r>
    <w:r>
      <w:rPr>
        <w:rStyle w:val="17"/>
        <w:sz w:val="28"/>
      </w:rPr>
      <w:fldChar w:fldCharType="begin"/>
    </w:r>
    <w:r>
      <w:rPr>
        <w:rStyle w:val="17"/>
        <w:sz w:val="28"/>
      </w:rPr>
      <w:instrText xml:space="preserve">PAGE  </w:instrText>
    </w:r>
    <w:r>
      <w:rPr>
        <w:rStyle w:val="17"/>
        <w:sz w:val="28"/>
      </w:rPr>
      <w:fldChar w:fldCharType="separate"/>
    </w:r>
    <w:r>
      <w:rPr>
        <w:rStyle w:val="17"/>
        <w:sz w:val="28"/>
      </w:rPr>
      <w:t>2</w:t>
    </w:r>
    <w:r>
      <w:rPr>
        <w:rStyle w:val="17"/>
        <w:sz w:val="28"/>
      </w:rPr>
      <w:fldChar w:fldCharType="end"/>
    </w:r>
    <w:r>
      <w:rPr>
        <w:rStyle w:val="17"/>
        <w:rFonts w:hint="eastAsia"/>
        <w:sz w:val="28"/>
      </w:rPr>
      <w:t xml:space="preserve"> </w:t>
    </w:r>
    <w:r>
      <w:rPr>
        <w:rStyle w:val="17"/>
        <w:rFonts w:hint="eastAsia" w:ascii="宋体" w:hAnsi="宋体"/>
        <w:sz w:val="28"/>
      </w:rPr>
      <w:t>―</w:t>
    </w:r>
  </w:p>
  <w:p w14:paraId="20B99668">
    <w:pPr>
      <w:pStyle w:val="9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EA6833">
    <w:pPr>
      <w:pStyle w:val="9"/>
      <w:framePr w:wrap="around" w:vAnchor="text" w:hAnchor="margin" w:xAlign="outside" w:y="1"/>
      <w:rPr>
        <w:rStyle w:val="17"/>
      </w:rPr>
    </w:pPr>
    <w:r>
      <w:rPr>
        <w:rStyle w:val="17"/>
      </w:rPr>
      <w:fldChar w:fldCharType="begin"/>
    </w:r>
    <w:r>
      <w:rPr>
        <w:rStyle w:val="17"/>
      </w:rPr>
      <w:instrText xml:space="preserve">PAGE  </w:instrText>
    </w:r>
    <w:r>
      <w:rPr>
        <w:rStyle w:val="17"/>
      </w:rPr>
      <w:fldChar w:fldCharType="end"/>
    </w:r>
  </w:p>
  <w:p w14:paraId="6609E64F">
    <w:pPr>
      <w:pStyle w:val="9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D5E1E4">
    <w:pPr>
      <w:pStyle w:val="10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896"/>
    <w:rsid w:val="000001CF"/>
    <w:rsid w:val="00026628"/>
    <w:rsid w:val="00041246"/>
    <w:rsid w:val="000C0CFE"/>
    <w:rsid w:val="000D348E"/>
    <w:rsid w:val="00126DCF"/>
    <w:rsid w:val="00192134"/>
    <w:rsid w:val="001A7002"/>
    <w:rsid w:val="001A7E25"/>
    <w:rsid w:val="001C13B6"/>
    <w:rsid w:val="00270B56"/>
    <w:rsid w:val="003B41D3"/>
    <w:rsid w:val="003D2929"/>
    <w:rsid w:val="003F52EE"/>
    <w:rsid w:val="00487AF2"/>
    <w:rsid w:val="00491F01"/>
    <w:rsid w:val="004D452A"/>
    <w:rsid w:val="004F2B80"/>
    <w:rsid w:val="00554313"/>
    <w:rsid w:val="00562512"/>
    <w:rsid w:val="00567C32"/>
    <w:rsid w:val="00595D18"/>
    <w:rsid w:val="005D2912"/>
    <w:rsid w:val="005F112D"/>
    <w:rsid w:val="006344D0"/>
    <w:rsid w:val="0063597A"/>
    <w:rsid w:val="0066536E"/>
    <w:rsid w:val="00667561"/>
    <w:rsid w:val="00677A86"/>
    <w:rsid w:val="006C0566"/>
    <w:rsid w:val="00735456"/>
    <w:rsid w:val="007953FD"/>
    <w:rsid w:val="007E3C40"/>
    <w:rsid w:val="00831320"/>
    <w:rsid w:val="00846DB3"/>
    <w:rsid w:val="009330B6"/>
    <w:rsid w:val="0097541C"/>
    <w:rsid w:val="00994641"/>
    <w:rsid w:val="009D6C7F"/>
    <w:rsid w:val="00A40126"/>
    <w:rsid w:val="00AA5976"/>
    <w:rsid w:val="00AF591F"/>
    <w:rsid w:val="00B5082A"/>
    <w:rsid w:val="00B51081"/>
    <w:rsid w:val="00B72159"/>
    <w:rsid w:val="00B84328"/>
    <w:rsid w:val="00BB3F36"/>
    <w:rsid w:val="00BD5E65"/>
    <w:rsid w:val="00BF67C2"/>
    <w:rsid w:val="00C062D9"/>
    <w:rsid w:val="00CE520B"/>
    <w:rsid w:val="00D14896"/>
    <w:rsid w:val="00D42C38"/>
    <w:rsid w:val="00D961F1"/>
    <w:rsid w:val="00DE27FA"/>
    <w:rsid w:val="00DE2C98"/>
    <w:rsid w:val="00E505ED"/>
    <w:rsid w:val="00E85BE3"/>
    <w:rsid w:val="00EC342A"/>
    <w:rsid w:val="00F161F5"/>
    <w:rsid w:val="00F970DF"/>
    <w:rsid w:val="02E017A9"/>
    <w:rsid w:val="0726573F"/>
    <w:rsid w:val="09CA1181"/>
    <w:rsid w:val="0D4F2AE5"/>
    <w:rsid w:val="0DEB5A37"/>
    <w:rsid w:val="0E640050"/>
    <w:rsid w:val="0F52122C"/>
    <w:rsid w:val="0F6F1094"/>
    <w:rsid w:val="128379F6"/>
    <w:rsid w:val="12856FF3"/>
    <w:rsid w:val="13C979FA"/>
    <w:rsid w:val="15624E21"/>
    <w:rsid w:val="16153CF4"/>
    <w:rsid w:val="17D84309"/>
    <w:rsid w:val="19FE60C7"/>
    <w:rsid w:val="1A1914F5"/>
    <w:rsid w:val="1B176524"/>
    <w:rsid w:val="1BED373D"/>
    <w:rsid w:val="1C663D97"/>
    <w:rsid w:val="1E765922"/>
    <w:rsid w:val="1F0D7671"/>
    <w:rsid w:val="1FDE71AF"/>
    <w:rsid w:val="20BA50E3"/>
    <w:rsid w:val="220E557A"/>
    <w:rsid w:val="232609F0"/>
    <w:rsid w:val="252D1EE5"/>
    <w:rsid w:val="260A4701"/>
    <w:rsid w:val="269D7E97"/>
    <w:rsid w:val="27CB7E09"/>
    <w:rsid w:val="284E34A5"/>
    <w:rsid w:val="291649F7"/>
    <w:rsid w:val="291B3F52"/>
    <w:rsid w:val="29FA00EA"/>
    <w:rsid w:val="2A7501F0"/>
    <w:rsid w:val="2BFC0D17"/>
    <w:rsid w:val="2C5348C6"/>
    <w:rsid w:val="2D3E219F"/>
    <w:rsid w:val="2D9B4434"/>
    <w:rsid w:val="2F2E2D8A"/>
    <w:rsid w:val="2FC737F6"/>
    <w:rsid w:val="30023F2B"/>
    <w:rsid w:val="30025200"/>
    <w:rsid w:val="30870396"/>
    <w:rsid w:val="31B62063"/>
    <w:rsid w:val="339B5615"/>
    <w:rsid w:val="34870786"/>
    <w:rsid w:val="368707A0"/>
    <w:rsid w:val="36E8706D"/>
    <w:rsid w:val="37FF4F0E"/>
    <w:rsid w:val="38A97D85"/>
    <w:rsid w:val="3A282EC7"/>
    <w:rsid w:val="3A53380B"/>
    <w:rsid w:val="3D957DFF"/>
    <w:rsid w:val="3DFE29E0"/>
    <w:rsid w:val="402A1393"/>
    <w:rsid w:val="40EE14B1"/>
    <w:rsid w:val="40F07806"/>
    <w:rsid w:val="41680404"/>
    <w:rsid w:val="42007882"/>
    <w:rsid w:val="42B875A4"/>
    <w:rsid w:val="438576C5"/>
    <w:rsid w:val="439F0BBE"/>
    <w:rsid w:val="44A15615"/>
    <w:rsid w:val="461D3EE6"/>
    <w:rsid w:val="4732045C"/>
    <w:rsid w:val="476D05EC"/>
    <w:rsid w:val="4792415F"/>
    <w:rsid w:val="48BC7A7A"/>
    <w:rsid w:val="4D037CA5"/>
    <w:rsid w:val="4D4D6CAD"/>
    <w:rsid w:val="4E100354"/>
    <w:rsid w:val="4E823E3F"/>
    <w:rsid w:val="50775E7B"/>
    <w:rsid w:val="51463C84"/>
    <w:rsid w:val="51EC39BC"/>
    <w:rsid w:val="526D1882"/>
    <w:rsid w:val="54535B9B"/>
    <w:rsid w:val="56D90809"/>
    <w:rsid w:val="575E5E0B"/>
    <w:rsid w:val="576C3EC8"/>
    <w:rsid w:val="58F4010C"/>
    <w:rsid w:val="599125D0"/>
    <w:rsid w:val="5D0C3D95"/>
    <w:rsid w:val="5E175DB4"/>
    <w:rsid w:val="5E3E7416"/>
    <w:rsid w:val="5F63425D"/>
    <w:rsid w:val="633A1D77"/>
    <w:rsid w:val="63C51FC3"/>
    <w:rsid w:val="6534300B"/>
    <w:rsid w:val="66013B47"/>
    <w:rsid w:val="670856A2"/>
    <w:rsid w:val="69271CDD"/>
    <w:rsid w:val="69FC3374"/>
    <w:rsid w:val="6ABE0F32"/>
    <w:rsid w:val="6B743DD4"/>
    <w:rsid w:val="6BB20BEF"/>
    <w:rsid w:val="6BFA5CBF"/>
    <w:rsid w:val="6CB93980"/>
    <w:rsid w:val="6E193FCD"/>
    <w:rsid w:val="6E273EB7"/>
    <w:rsid w:val="6E3D4902"/>
    <w:rsid w:val="70EB61B4"/>
    <w:rsid w:val="719E1C2B"/>
    <w:rsid w:val="71F25EB7"/>
    <w:rsid w:val="721533D8"/>
    <w:rsid w:val="734F6D9E"/>
    <w:rsid w:val="75B46566"/>
    <w:rsid w:val="75B66322"/>
    <w:rsid w:val="77A3353E"/>
    <w:rsid w:val="784E3B62"/>
    <w:rsid w:val="793D1A06"/>
    <w:rsid w:val="79AB1D82"/>
    <w:rsid w:val="79AE53C9"/>
    <w:rsid w:val="7A1811CF"/>
    <w:rsid w:val="7AE349E1"/>
    <w:rsid w:val="7B615D46"/>
    <w:rsid w:val="7BE0008B"/>
    <w:rsid w:val="7CBDF9E3"/>
    <w:rsid w:val="7D52649A"/>
    <w:rsid w:val="7D865D8F"/>
    <w:rsid w:val="7E6D6AA6"/>
    <w:rsid w:val="7EE201BD"/>
    <w:rsid w:val="7F195567"/>
    <w:rsid w:val="D98E85D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4">
    <w:name w:val="Default Paragraph Font"/>
    <w:link w:val="15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link w:val="29"/>
    <w:qFormat/>
    <w:uiPriority w:val="0"/>
    <w:pPr>
      <w:autoSpaceDE w:val="0"/>
      <w:autoSpaceDN w:val="0"/>
      <w:adjustRightInd w:val="0"/>
      <w:jc w:val="center"/>
    </w:pPr>
    <w:rPr>
      <w:rFonts w:ascii="方正小标宋简体" w:hAnsi="Times New Roman" w:eastAsia="方正小标宋简体" w:cs="方正小标宋简体"/>
      <w:sz w:val="44"/>
      <w:szCs w:val="44"/>
    </w:rPr>
  </w:style>
  <w:style w:type="paragraph" w:styleId="4">
    <w:name w:val="Body Text Indent"/>
    <w:basedOn w:val="1"/>
    <w:qFormat/>
    <w:uiPriority w:val="0"/>
    <w:pPr>
      <w:spacing w:line="560" w:lineRule="exact"/>
      <w:ind w:firstLine="600" w:firstLineChars="200"/>
      <w:outlineLvl w:val="0"/>
    </w:pPr>
    <w:rPr>
      <w:rFonts w:ascii="仿宋_GB2312" w:eastAsia="仿宋_GB2312"/>
      <w:sz w:val="30"/>
    </w:rPr>
  </w:style>
  <w:style w:type="paragraph" w:styleId="5">
    <w:name w:val="Plain Text"/>
    <w:basedOn w:val="1"/>
    <w:qFormat/>
    <w:uiPriority w:val="0"/>
    <w:rPr>
      <w:rFonts w:ascii="宋体" w:hAnsi="Courier New" w:eastAsia="宋体"/>
      <w:kern w:val="2"/>
      <w:sz w:val="21"/>
      <w:lang w:val="en-US" w:eastAsia="zh-CN" w:bidi="ar-SA"/>
    </w:rPr>
  </w:style>
  <w:style w:type="paragraph" w:styleId="6">
    <w:name w:val="Date"/>
    <w:basedOn w:val="1"/>
    <w:next w:val="1"/>
    <w:qFormat/>
    <w:uiPriority w:val="0"/>
    <w:pPr>
      <w:ind w:left="100" w:leftChars="2500"/>
    </w:pPr>
    <w:rPr>
      <w:rFonts w:eastAsia="仿宋_GB2312"/>
      <w:w w:val="99"/>
      <w:sz w:val="32"/>
    </w:rPr>
  </w:style>
  <w:style w:type="paragraph" w:styleId="7">
    <w:name w:val="Body Text Indent 2"/>
    <w:basedOn w:val="1"/>
    <w:qFormat/>
    <w:uiPriority w:val="0"/>
    <w:pPr>
      <w:snapToGrid w:val="0"/>
      <w:spacing w:line="600" w:lineRule="exact"/>
      <w:ind w:firstLine="640" w:firstLineChars="200"/>
    </w:pPr>
    <w:rPr>
      <w:rFonts w:ascii="仿宋_GB2312" w:eastAsia="仿宋_GB2312"/>
      <w:color w:val="FF0000"/>
      <w:sz w:val="32"/>
      <w:szCs w:val="32"/>
    </w:rPr>
  </w:style>
  <w:style w:type="paragraph" w:styleId="8">
    <w:name w:val="Balloon Text"/>
    <w:basedOn w:val="1"/>
    <w:semiHidden/>
    <w:qFormat/>
    <w:uiPriority w:val="0"/>
    <w:rPr>
      <w:sz w:val="18"/>
      <w:szCs w:val="18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5">
    <w:name w:val="Char"/>
    <w:basedOn w:val="1"/>
    <w:link w:val="14"/>
    <w:qFormat/>
    <w:uiPriority w:val="0"/>
  </w:style>
  <w:style w:type="character" w:styleId="16">
    <w:name w:val="Strong"/>
    <w:basedOn w:val="14"/>
    <w:qFormat/>
    <w:uiPriority w:val="22"/>
    <w:rPr>
      <w:rFonts w:ascii="Times New Roman" w:hAnsi="Times New Roman" w:eastAsia="宋体" w:cs="Times New Roman"/>
      <w:b/>
      <w:bCs/>
    </w:rPr>
  </w:style>
  <w:style w:type="character" w:styleId="17">
    <w:name w:val="page number"/>
    <w:basedOn w:val="14"/>
    <w:qFormat/>
    <w:uiPriority w:val="0"/>
  </w:style>
  <w:style w:type="character" w:styleId="18">
    <w:name w:val="Hyperlink"/>
    <w:basedOn w:val="14"/>
    <w:qFormat/>
    <w:uiPriority w:val="0"/>
    <w:rPr>
      <w:rFonts w:ascii="Times New Roman" w:hAnsi="Times New Roman" w:eastAsia="宋体" w:cs="Times New Roman"/>
      <w:color w:val="0000FF"/>
      <w:u w:val="single"/>
    </w:rPr>
  </w:style>
  <w:style w:type="paragraph" w:customStyle="1" w:styleId="19">
    <w:name w:val="Default"/>
    <w:basedOn w:val="20"/>
    <w:next w:val="21"/>
    <w:qFormat/>
    <w:uiPriority w:val="0"/>
    <w:pPr>
      <w:widowControl w:val="0"/>
      <w:autoSpaceDE w:val="0"/>
      <w:autoSpaceDN w:val="0"/>
    </w:pPr>
    <w:rPr>
      <w:rFonts w:hint="eastAsia" w:ascii="黑体" w:hAnsi="黑体" w:eastAsia="黑体"/>
      <w:color w:val="000000"/>
      <w:sz w:val="24"/>
      <w:lang w:val="en-US" w:eastAsia="zh-CN" w:bidi="ar-SA"/>
    </w:rPr>
  </w:style>
  <w:style w:type="paragraph" w:customStyle="1" w:styleId="20">
    <w:name w:val="纯文本1"/>
    <w:basedOn w:val="1"/>
    <w:next w:val="1"/>
    <w:qFormat/>
    <w:uiPriority w:val="0"/>
    <w:pPr>
      <w:adjustRightInd w:val="0"/>
      <w:textAlignment w:val="baseline"/>
    </w:pPr>
    <w:rPr>
      <w:rFonts w:ascii="宋体" w:hAnsi="Courier New"/>
      <w:szCs w:val="20"/>
    </w:rPr>
  </w:style>
  <w:style w:type="paragraph" w:customStyle="1" w:styleId="21">
    <w:name w:val="正文文字 6"/>
    <w:basedOn w:val="22"/>
    <w:next w:val="1"/>
    <w:qFormat/>
    <w:uiPriority w:val="0"/>
    <w:pPr>
      <w:widowControl w:val="0"/>
      <w:ind w:left="240"/>
      <w:jc w:val="both"/>
    </w:pPr>
    <w:rPr>
      <w:rFonts w:ascii="宋体" w:hAnsi="Times New Roman" w:eastAsia="宋体" w:cs="Times New Roman"/>
      <w:bCs/>
      <w:kern w:val="2"/>
      <w:sz w:val="32"/>
      <w:szCs w:val="32"/>
      <w:lang w:val="en-US" w:eastAsia="zh-CN" w:bidi="ar-SA"/>
    </w:rPr>
  </w:style>
  <w:style w:type="paragraph" w:customStyle="1" w:styleId="22">
    <w:name w:val="TT标题"/>
    <w:basedOn w:val="1"/>
    <w:qFormat/>
    <w:uiPriority w:val="0"/>
    <w:pPr>
      <w:jc w:val="center"/>
    </w:pPr>
    <w:rPr>
      <w:rFonts w:cs="宋体"/>
      <w:b/>
      <w:szCs w:val="20"/>
    </w:rPr>
  </w:style>
  <w:style w:type="paragraph" w:customStyle="1" w:styleId="23">
    <w:name w:val="Q-正文"/>
    <w:basedOn w:val="1"/>
    <w:next w:val="1"/>
    <w:qFormat/>
    <w:uiPriority w:val="0"/>
    <w:pPr>
      <w:ind w:firstLine="200"/>
    </w:pPr>
    <w:rPr>
      <w:rFonts w:ascii="Times New Roman" w:hAnsi="Times New Roman" w:eastAsia="宋体" w:cs="Courier New"/>
      <w:sz w:val="21"/>
      <w:szCs w:val="22"/>
    </w:rPr>
  </w:style>
  <w:style w:type="paragraph" w:customStyle="1" w:styleId="24">
    <w:name w:val="A正文-lcc"/>
    <w:basedOn w:val="1"/>
    <w:link w:val="27"/>
    <w:qFormat/>
    <w:uiPriority w:val="0"/>
    <w:pPr>
      <w:widowControl/>
      <w:spacing w:line="360" w:lineRule="auto"/>
      <w:ind w:firstLine="200" w:firstLineChars="200"/>
      <w:jc w:val="left"/>
    </w:pPr>
    <w:rPr>
      <w:rFonts w:ascii="Times New Roman" w:hAnsi="Times New Roman" w:eastAsia="宋体" w:cs="Times New Roman"/>
      <w:color w:val="000000"/>
      <w:kern w:val="0"/>
      <w:sz w:val="24"/>
      <w:szCs w:val="24"/>
    </w:rPr>
  </w:style>
  <w:style w:type="paragraph" w:customStyle="1" w:styleId="25">
    <w:name w:val="默认段落字体 Para Char"/>
    <w:basedOn w:val="1"/>
    <w:next w:val="1"/>
    <w:qFormat/>
    <w:uiPriority w:val="0"/>
    <w:pPr>
      <w:spacing w:line="360" w:lineRule="auto"/>
      <w:ind w:firstLine="200" w:firstLineChars="200"/>
    </w:pPr>
    <w:rPr>
      <w:rFonts w:ascii="宋体" w:hAnsi="宋体" w:eastAsia="汉鼎简书宋" w:cs="宋体"/>
      <w:sz w:val="24"/>
      <w:szCs w:val="24"/>
    </w:rPr>
  </w:style>
  <w:style w:type="paragraph" w:customStyle="1" w:styleId="26">
    <w:name w:val=" Char"/>
    <w:basedOn w:val="1"/>
    <w:qFormat/>
    <w:uiPriority w:val="0"/>
    <w:pPr>
      <w:spacing w:line="360" w:lineRule="auto"/>
    </w:pPr>
    <w:rPr>
      <w:rFonts w:ascii="Tahoma" w:hAnsi="Tahoma" w:eastAsia="宋体" w:cs="Times New Roman"/>
      <w:sz w:val="28"/>
      <w:szCs w:val="20"/>
    </w:rPr>
  </w:style>
  <w:style w:type="character" w:customStyle="1" w:styleId="27">
    <w:name w:val="A正文-lcc Char"/>
    <w:link w:val="24"/>
    <w:qFormat/>
    <w:uiPriority w:val="0"/>
    <w:rPr>
      <w:rFonts w:ascii="Times New Roman" w:hAnsi="Times New Roman" w:eastAsia="宋体" w:cs="Times New Roman"/>
      <w:color w:val="000000"/>
      <w:kern w:val="0"/>
      <w:sz w:val="24"/>
      <w:szCs w:val="24"/>
    </w:rPr>
  </w:style>
  <w:style w:type="character" w:customStyle="1" w:styleId="28">
    <w:name w:val="content1"/>
    <w:basedOn w:val="14"/>
    <w:qFormat/>
    <w:uiPriority w:val="0"/>
    <w:rPr>
      <w:rFonts w:ascii="Times New Roman" w:hAnsi="Times New Roman" w:eastAsia="宋体" w:cs="Times New Roman"/>
      <w:sz w:val="21"/>
      <w:szCs w:val="21"/>
    </w:rPr>
  </w:style>
  <w:style w:type="character" w:customStyle="1" w:styleId="29">
    <w:name w:val="正文文本 Char"/>
    <w:basedOn w:val="14"/>
    <w:link w:val="3"/>
    <w:semiHidden/>
    <w:qFormat/>
    <w:locked/>
    <w:uiPriority w:val="0"/>
    <w:rPr>
      <w:rFonts w:ascii="方正小标宋简体" w:hAnsi="Times New Roman" w:eastAsia="方正小标宋简体" w:cs="方正小标宋简体"/>
      <w:sz w:val="44"/>
      <w:szCs w:val="44"/>
    </w:rPr>
  </w:style>
  <w:style w:type="character" w:customStyle="1" w:styleId="30">
    <w:name w:val="样式 楷体_GB2312 黑色"/>
    <w:qFormat/>
    <w:uiPriority w:val="0"/>
    <w:rPr>
      <w:rFonts w:ascii="楷体_GB2312" w:hAnsi="宋体" w:eastAsia="楷体_GB2312" w:cs="Times New Roman"/>
      <w:b/>
      <w:color w:val="000000"/>
      <w:sz w:val="24"/>
      <w:lang w:val="en-US" w:eastAsia="zh-CN"/>
    </w:rPr>
  </w:style>
  <w:style w:type="paragraph" w:customStyle="1" w:styleId="31">
    <w:name w:val="无空2表格文字"/>
    <w:basedOn w:val="1"/>
    <w:qFormat/>
    <w:uiPriority w:val="0"/>
    <w:pPr>
      <w:spacing w:line="240" w:lineRule="auto"/>
      <w:ind w:firstLine="0" w:firstLineChars="0"/>
    </w:pPr>
    <w:rPr>
      <w:rFonts w:ascii="Times New Roman" w:hAnsi="Times New Roman" w:eastAsia="宋体" w:cs="Times New Roman"/>
      <w:color w:val="00000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gzepb</Company>
  <Pages>4</Pages>
  <Words>1746</Words>
  <Characters>1892</Characters>
  <Lines>16</Lines>
  <Paragraphs>4</Paragraphs>
  <TotalTime>204</TotalTime>
  <ScaleCrop>false</ScaleCrop>
  <LinksUpToDate>false</LinksUpToDate>
  <CharactersWithSpaces>1928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2021-12-16T10:42:00Z</dcterms:created>
  <dc:creator>张春菊</dc:creator>
  <cp:lastModifiedBy>Sherry</cp:lastModifiedBy>
  <cp:lastPrinted>2025-10-15T00:54:00Z</cp:lastPrinted>
  <dcterms:modified xsi:type="dcterms:W3CDTF">2025-10-20T06:41:31Z</dcterms:modified>
  <dc:title>                                   穗府办函〔2006〕号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F5F60B152FFD4A168FC0D0BD3850CFD9_13</vt:lpwstr>
  </property>
  <property fmtid="{D5CDD505-2E9C-101B-9397-08002B2CF9AE}" pid="4" name="KSOTemplateDocerSaveRecord">
    <vt:lpwstr>eyJoZGlkIjoiZmVkOWE4YzZkMjQ2YmUyZDVkNWVlNWY4MmZkZTUyYzMiLCJ1c2VySWQiOiIyNDQ3Mzk4NDAifQ==</vt:lpwstr>
  </property>
</Properties>
</file>