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E7B52">
      <w:pPr>
        <w:keepNext w:val="0"/>
        <w:keepLines w:val="0"/>
        <w:pageBreakBefore w:val="0"/>
        <w:widowControl w:val="0"/>
        <w:kinsoku/>
        <w:wordWrap/>
        <w:overflowPunct/>
        <w:topLinePunct w:val="0"/>
        <w:bidi w:val="0"/>
        <w:adjustRightInd w:val="0"/>
        <w:snapToGrid w:val="0"/>
        <w:spacing w:beforeLines="0" w:afterLines="0" w:line="580" w:lineRule="exact"/>
        <w:jc w:val="center"/>
        <w:textAlignment w:val="auto"/>
        <w:outlineLvl w:val="9"/>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关于广州市番禺区20</w:t>
      </w:r>
      <w:r>
        <w:rPr>
          <w:rFonts w:hint="eastAsia" w:ascii="方正小标宋简体" w:hAnsi="方正小标宋简体" w:eastAsia="方正小标宋简体" w:cs="方正小标宋简体"/>
          <w:sz w:val="44"/>
          <w:szCs w:val="44"/>
          <w:highlight w:val="none"/>
          <w:lang w:val="en-US" w:eastAsia="zh-CN"/>
        </w:rPr>
        <w:t>24</w:t>
      </w:r>
      <w:r>
        <w:rPr>
          <w:rFonts w:hint="eastAsia" w:ascii="方正小标宋简体" w:hAnsi="方正小标宋简体" w:eastAsia="方正小标宋简体" w:cs="方正小标宋简体"/>
          <w:sz w:val="44"/>
          <w:szCs w:val="44"/>
          <w:highlight w:val="none"/>
        </w:rPr>
        <w:t>年区级</w:t>
      </w:r>
    </w:p>
    <w:p w14:paraId="637E9B63">
      <w:pPr>
        <w:keepNext w:val="0"/>
        <w:keepLines w:val="0"/>
        <w:pageBreakBefore w:val="0"/>
        <w:widowControl w:val="0"/>
        <w:kinsoku/>
        <w:wordWrap/>
        <w:overflowPunct/>
        <w:topLinePunct w:val="0"/>
        <w:bidi w:val="0"/>
        <w:adjustRightInd w:val="0"/>
        <w:snapToGrid w:val="0"/>
        <w:spacing w:beforeLines="0" w:afterLines="0" w:line="580" w:lineRule="exact"/>
        <w:jc w:val="center"/>
        <w:textAlignment w:val="auto"/>
        <w:outlineLvl w:val="9"/>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财政决算（草案）的报告</w:t>
      </w:r>
    </w:p>
    <w:p w14:paraId="6D849880">
      <w:pPr>
        <w:keepNext w:val="0"/>
        <w:keepLines w:val="0"/>
        <w:pageBreakBefore w:val="0"/>
        <w:widowControl w:val="0"/>
        <w:kinsoku/>
        <w:wordWrap/>
        <w:overflowPunct/>
        <w:topLinePunct w:val="0"/>
        <w:bidi w:val="0"/>
        <w:adjustRightInd w:val="0"/>
        <w:snapToGrid w:val="0"/>
        <w:spacing w:beforeLines="0" w:afterLines="0" w:line="580" w:lineRule="exact"/>
        <w:jc w:val="center"/>
        <w:textAlignment w:val="auto"/>
        <w:outlineLvl w:val="9"/>
        <w:rPr>
          <w:rFonts w:hint="eastAsia" w:ascii="楷体_GB2312" w:hAnsi="楷体_GB2312" w:eastAsia="楷体_GB2312" w:cs="楷体_GB2312"/>
          <w:sz w:val="32"/>
          <w:szCs w:val="32"/>
          <w:highlight w:val="none"/>
          <w:lang w:eastAsia="zh-CN"/>
        </w:rPr>
      </w:pPr>
      <w:bookmarkStart w:id="0" w:name="_GoBack"/>
      <w:bookmarkEnd w:id="0"/>
    </w:p>
    <w:p w14:paraId="4EF0DA52">
      <w:pPr>
        <w:keepNext w:val="0"/>
        <w:keepLines w:val="0"/>
        <w:pageBreakBefore w:val="0"/>
        <w:widowControl w:val="0"/>
        <w:kinsoku/>
        <w:wordWrap/>
        <w:overflowPunct/>
        <w:topLinePunct w:val="0"/>
        <w:bidi w:val="0"/>
        <w:adjustRightInd w:val="0"/>
        <w:snapToGrid w:val="0"/>
        <w:spacing w:beforeLines="0" w:afterLines="0" w:line="580" w:lineRule="exact"/>
        <w:jc w:val="center"/>
        <w:textAlignment w:val="auto"/>
        <w:outlineLvl w:val="9"/>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（在广州市番禺区第</w:t>
      </w:r>
      <w:r>
        <w:rPr>
          <w:rFonts w:hint="eastAsia" w:ascii="楷体_GB2312" w:hAnsi="楷体_GB2312" w:eastAsia="楷体_GB2312" w:cs="楷体_GB2312"/>
          <w:sz w:val="32"/>
          <w:szCs w:val="32"/>
          <w:highlight w:val="none"/>
          <w:lang w:val="en-US" w:eastAsia="zh-CN"/>
        </w:rPr>
        <w:t>十八</w:t>
      </w:r>
      <w:r>
        <w:rPr>
          <w:rFonts w:hint="eastAsia" w:ascii="楷体_GB2312" w:hAnsi="楷体_GB2312" w:eastAsia="楷体_GB2312" w:cs="楷体_GB2312"/>
          <w:sz w:val="32"/>
          <w:szCs w:val="32"/>
          <w:highlight w:val="none"/>
          <w:lang w:eastAsia="zh-CN"/>
        </w:rPr>
        <w:t>届人大常委会第</w:t>
      </w:r>
      <w:r>
        <w:rPr>
          <w:rFonts w:hint="eastAsia" w:ascii="楷体_GB2312" w:hAnsi="楷体_GB2312" w:eastAsia="楷体_GB2312" w:cs="楷体_GB2312"/>
          <w:sz w:val="32"/>
          <w:szCs w:val="32"/>
          <w:highlight w:val="none"/>
          <w:lang w:val="en-US" w:eastAsia="zh-CN"/>
        </w:rPr>
        <w:t>四十五</w:t>
      </w:r>
      <w:r>
        <w:rPr>
          <w:rFonts w:hint="eastAsia" w:ascii="楷体_GB2312" w:hAnsi="楷体_GB2312" w:eastAsia="楷体_GB2312" w:cs="楷体_GB2312"/>
          <w:sz w:val="32"/>
          <w:szCs w:val="32"/>
          <w:highlight w:val="none"/>
          <w:lang w:eastAsia="zh-CN"/>
        </w:rPr>
        <w:t>次会议上）</w:t>
      </w:r>
    </w:p>
    <w:p w14:paraId="6CC34783">
      <w:pPr>
        <w:keepNext w:val="0"/>
        <w:keepLines w:val="0"/>
        <w:pageBreakBefore w:val="0"/>
        <w:widowControl w:val="0"/>
        <w:kinsoku/>
        <w:wordWrap/>
        <w:overflowPunct/>
        <w:topLinePunct w:val="0"/>
        <w:bidi w:val="0"/>
        <w:adjustRightInd w:val="0"/>
        <w:snapToGrid w:val="0"/>
        <w:spacing w:beforeLines="0" w:afterLines="0" w:line="580" w:lineRule="exact"/>
        <w:jc w:val="center"/>
        <w:textAlignment w:val="auto"/>
        <w:outlineLvl w:val="9"/>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广州市番禺区人民政府</w:t>
      </w:r>
    </w:p>
    <w:p w14:paraId="019F549A">
      <w:pPr>
        <w:keepNext w:val="0"/>
        <w:keepLines w:val="0"/>
        <w:pageBreakBefore w:val="0"/>
        <w:widowControl w:val="0"/>
        <w:kinsoku/>
        <w:wordWrap/>
        <w:overflowPunct/>
        <w:topLinePunct w:val="0"/>
        <w:bidi w:val="0"/>
        <w:spacing w:beforeLines="0" w:afterLines="0" w:line="540" w:lineRule="exact"/>
        <w:jc w:val="center"/>
        <w:textAlignment w:val="auto"/>
        <w:outlineLvl w:val="9"/>
        <w:rPr>
          <w:rFonts w:hint="eastAsia" w:ascii="FZSY--SURROGATE-0" w:hAnsi="FZSY--SURROGATE-0" w:eastAsia="FZSY--SURROGATE-0"/>
          <w:sz w:val="32"/>
          <w:szCs w:val="32"/>
          <w:highlight w:val="none"/>
        </w:rPr>
      </w:pPr>
    </w:p>
    <w:p w14:paraId="35AB49F0">
      <w:pPr>
        <w:keepNext w:val="0"/>
        <w:keepLines w:val="0"/>
        <w:pageBreakBefore w:val="0"/>
        <w:widowControl w:val="0"/>
        <w:kinsoku/>
        <w:wordWrap/>
        <w:overflowPunct/>
        <w:topLinePunct w:val="0"/>
        <w:autoSpaceDE/>
        <w:autoSpaceDN/>
        <w:bidi w:val="0"/>
        <w:snapToGrid/>
        <w:spacing w:line="540" w:lineRule="exact"/>
        <w:ind w:right="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主任、各位副主任、各位委员：</w:t>
      </w:r>
    </w:p>
    <w:p w14:paraId="79A05148">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是新中国成立75周年，是实现“十四五”规划任务目标的关键一年。我区深入贯彻党的二十大和二十届二中、三中全会精神，全面贯彻落实习近平总书记对广东、广州系列重要讲话和重要指示精神，认真落实省委“1310”具体部署、市委“1312”思路举措和区委“十二个方面走在前列、争当示范”重点任务，聚力抓好经济建设中心工作和高质量发展首要任务，推动中国式现代化的番禺建设取得新进展。区第十八届人大第四次会议审议通过的预算和第十八届人大常委会第三十三次、第十八届人大常委会第三十七次会议审议通过的预算调整方案执行情况良好，具体收支决算情况如下：</w:t>
      </w:r>
    </w:p>
    <w:p w14:paraId="22F54059">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highlight w:val="none"/>
        </w:rPr>
        <w:t>一、区级一般公共预算收支决算情况</w:t>
      </w:r>
    </w:p>
    <w:p w14:paraId="6F097FD7">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年，区级一般公共预算收入</w:t>
      </w:r>
      <w:r>
        <w:rPr>
          <w:rFonts w:hint="eastAsia" w:ascii="仿宋_GB2312" w:hAnsi="仿宋_GB2312" w:eastAsia="仿宋_GB2312" w:cs="仿宋_GB2312"/>
          <w:sz w:val="32"/>
          <w:szCs w:val="32"/>
          <w:highlight w:val="none"/>
          <w:lang w:val="en-US" w:eastAsia="zh-CN"/>
        </w:rPr>
        <w:t>1,199,687</w:t>
      </w:r>
      <w:r>
        <w:rPr>
          <w:rFonts w:hint="eastAsia" w:ascii="仿宋_GB2312" w:hAnsi="仿宋_GB2312" w:eastAsia="仿宋_GB2312" w:cs="仿宋_GB2312"/>
          <w:sz w:val="32"/>
          <w:szCs w:val="32"/>
          <w:highlight w:val="none"/>
        </w:rPr>
        <w:t>万元，加上上级税收返还和各项补助收入</w:t>
      </w:r>
      <w:r>
        <w:rPr>
          <w:rFonts w:hint="eastAsia" w:ascii="仿宋_GB2312" w:hAnsi="仿宋_GB2312" w:eastAsia="仿宋_GB2312" w:cs="仿宋_GB2312"/>
          <w:sz w:val="32"/>
          <w:szCs w:val="32"/>
          <w:highlight w:val="none"/>
          <w:lang w:val="en-US" w:eastAsia="zh-CN"/>
        </w:rPr>
        <w:t>683,714</w:t>
      </w:r>
      <w:r>
        <w:rPr>
          <w:rFonts w:hint="eastAsia" w:ascii="仿宋_GB2312" w:hAnsi="仿宋_GB2312" w:eastAsia="仿宋_GB2312" w:cs="仿宋_GB2312"/>
          <w:sz w:val="32"/>
          <w:szCs w:val="32"/>
          <w:highlight w:val="none"/>
        </w:rPr>
        <w:t>万元，上年结</w:t>
      </w:r>
      <w:r>
        <w:rPr>
          <w:rFonts w:hint="eastAsia" w:ascii="仿宋_GB2312" w:hAnsi="仿宋_GB2312" w:eastAsia="仿宋_GB2312" w:cs="仿宋_GB2312"/>
          <w:sz w:val="32"/>
          <w:szCs w:val="32"/>
          <w:highlight w:val="none"/>
          <w:lang w:eastAsia="zh-CN"/>
        </w:rPr>
        <w:t>余收入</w:t>
      </w:r>
      <w:r>
        <w:rPr>
          <w:rFonts w:hint="eastAsia" w:ascii="仿宋_GB2312" w:hAnsi="仿宋_GB2312" w:eastAsia="仿宋_GB2312" w:cs="仿宋_GB2312"/>
          <w:sz w:val="32"/>
          <w:szCs w:val="32"/>
          <w:highlight w:val="none"/>
          <w:lang w:val="en-US" w:eastAsia="zh-CN"/>
        </w:rPr>
        <w:t>99,673</w:t>
      </w:r>
      <w:r>
        <w:rPr>
          <w:rFonts w:hint="eastAsia" w:ascii="仿宋_GB2312" w:hAnsi="仿宋_GB2312" w:eastAsia="仿宋_GB2312" w:cs="仿宋_GB2312"/>
          <w:sz w:val="32"/>
          <w:szCs w:val="32"/>
          <w:highlight w:val="none"/>
        </w:rPr>
        <w:t>万元，调入资金</w:t>
      </w:r>
      <w:r>
        <w:rPr>
          <w:rFonts w:hint="eastAsia" w:ascii="仿宋_GB2312" w:hAnsi="仿宋_GB2312" w:eastAsia="仿宋_GB2312" w:cs="仿宋_GB2312"/>
          <w:sz w:val="32"/>
          <w:szCs w:val="32"/>
          <w:highlight w:val="none"/>
          <w:lang w:val="en-US" w:eastAsia="zh-CN"/>
        </w:rPr>
        <w:t>159,352</w:t>
      </w:r>
      <w:r>
        <w:rPr>
          <w:rFonts w:hint="eastAsia" w:ascii="仿宋_GB2312" w:hAnsi="仿宋_GB2312" w:eastAsia="仿宋_GB2312" w:cs="仿宋_GB2312"/>
          <w:sz w:val="32"/>
          <w:szCs w:val="32"/>
          <w:highlight w:val="none"/>
        </w:rPr>
        <w:t>万元</w:t>
      </w:r>
      <w:r>
        <w:rPr>
          <w:rStyle w:val="11"/>
          <w:rFonts w:hint="eastAsia" w:ascii="仿宋_GB2312" w:hAnsi="仿宋_GB2312" w:eastAsia="仿宋_GB2312" w:cs="仿宋_GB2312"/>
          <w:sz w:val="32"/>
          <w:szCs w:val="32"/>
          <w:highlight w:val="none"/>
        </w:rPr>
        <w:footnoteReference w:id="0"/>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债务转贷收入</w:t>
      </w:r>
      <w:r>
        <w:rPr>
          <w:rFonts w:hint="eastAsia" w:ascii="仿宋_GB2312" w:hAnsi="仿宋_GB2312" w:eastAsia="仿宋_GB2312" w:cs="仿宋_GB2312"/>
          <w:sz w:val="32"/>
          <w:szCs w:val="32"/>
          <w:highlight w:val="none"/>
          <w:lang w:val="en-US" w:eastAsia="zh-CN"/>
        </w:rPr>
        <w:t>32,756万元</w:t>
      </w:r>
      <w:r>
        <w:rPr>
          <w:rFonts w:hint="eastAsia" w:ascii="仿宋_GB2312" w:hAnsi="仿宋_GB2312" w:eastAsia="仿宋_GB2312" w:cs="仿宋_GB2312"/>
          <w:sz w:val="32"/>
          <w:szCs w:val="32"/>
          <w:highlight w:val="none"/>
        </w:rPr>
        <w:t>以及动用预算稳定调节基金</w:t>
      </w:r>
      <w:r>
        <w:rPr>
          <w:rFonts w:hint="eastAsia" w:ascii="仿宋_GB2312" w:hAnsi="仿宋_GB2312" w:eastAsia="仿宋_GB2312" w:cs="仿宋_GB2312"/>
          <w:sz w:val="32"/>
          <w:szCs w:val="32"/>
          <w:highlight w:val="none"/>
          <w:lang w:val="en-US" w:eastAsia="zh-CN"/>
        </w:rPr>
        <w:t>39,013</w:t>
      </w:r>
      <w:r>
        <w:rPr>
          <w:rFonts w:hint="eastAsia" w:ascii="仿宋_GB2312" w:hAnsi="仿宋_GB2312" w:eastAsia="仿宋_GB2312" w:cs="仿宋_GB2312"/>
          <w:sz w:val="32"/>
          <w:szCs w:val="32"/>
          <w:highlight w:val="none"/>
        </w:rPr>
        <w:t>万元后，区级一般公共预算总收入</w:t>
      </w:r>
      <w:r>
        <w:rPr>
          <w:rFonts w:hint="eastAsia" w:ascii="仿宋_GB2312" w:hAnsi="仿宋_GB2312" w:eastAsia="仿宋_GB2312" w:cs="仿宋_GB2312"/>
          <w:sz w:val="32"/>
          <w:szCs w:val="32"/>
          <w:highlight w:val="none"/>
          <w:lang w:val="en-US" w:eastAsia="zh-CN"/>
        </w:rPr>
        <w:t>2,214,195</w:t>
      </w:r>
      <w:r>
        <w:rPr>
          <w:rFonts w:hint="eastAsia" w:ascii="仿宋_GB2312" w:hAnsi="仿宋_GB2312" w:eastAsia="仿宋_GB2312" w:cs="仿宋_GB2312"/>
          <w:sz w:val="32"/>
          <w:szCs w:val="32"/>
          <w:highlight w:val="none"/>
        </w:rPr>
        <w:t>万元。</w:t>
      </w:r>
    </w:p>
    <w:p w14:paraId="58DF0196">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年，区级一般公共预算支出</w:t>
      </w:r>
      <w:r>
        <w:rPr>
          <w:rFonts w:hint="eastAsia" w:ascii="仿宋_GB2312" w:hAnsi="仿宋_GB2312" w:eastAsia="仿宋_GB2312" w:cs="仿宋_GB2312"/>
          <w:sz w:val="32"/>
          <w:szCs w:val="32"/>
          <w:highlight w:val="none"/>
          <w:lang w:val="en-US" w:eastAsia="zh-CN"/>
        </w:rPr>
        <w:t>1,762,686</w:t>
      </w:r>
      <w:r>
        <w:rPr>
          <w:rFonts w:hint="eastAsia" w:ascii="仿宋_GB2312" w:hAnsi="仿宋_GB2312" w:eastAsia="仿宋_GB2312" w:cs="仿宋_GB2312"/>
          <w:sz w:val="32"/>
          <w:szCs w:val="32"/>
          <w:highlight w:val="none"/>
        </w:rPr>
        <w:t>万元，上解市级支出</w:t>
      </w:r>
      <w:r>
        <w:rPr>
          <w:rFonts w:hint="eastAsia" w:ascii="仿宋_GB2312" w:hAnsi="仿宋_GB2312" w:eastAsia="仿宋_GB2312" w:cs="仿宋_GB2312"/>
          <w:sz w:val="32"/>
          <w:szCs w:val="32"/>
          <w:highlight w:val="none"/>
          <w:lang w:val="en-US" w:eastAsia="zh-CN"/>
        </w:rPr>
        <w:t>392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923</w:t>
      </w:r>
      <w:r>
        <w:rPr>
          <w:rFonts w:hint="eastAsia" w:ascii="仿宋_GB2312" w:hAnsi="仿宋_GB2312" w:eastAsia="仿宋_GB2312" w:cs="仿宋_GB2312"/>
          <w:sz w:val="32"/>
          <w:szCs w:val="32"/>
          <w:highlight w:val="none"/>
        </w:rPr>
        <w:t>万元，债务还本支出</w:t>
      </w:r>
      <w:r>
        <w:rPr>
          <w:rFonts w:hint="eastAsia" w:ascii="仿宋_GB2312" w:hAnsi="仿宋_GB2312" w:eastAsia="仿宋_GB2312" w:cs="仿宋_GB2312"/>
          <w:sz w:val="32"/>
          <w:szCs w:val="32"/>
          <w:highlight w:val="none"/>
          <w:lang w:val="en-US" w:eastAsia="zh-CN"/>
        </w:rPr>
        <w:t>32,756</w:t>
      </w:r>
      <w:r>
        <w:rPr>
          <w:rFonts w:hint="eastAsia" w:ascii="仿宋_GB2312" w:hAnsi="仿宋_GB2312" w:eastAsia="仿宋_GB2312" w:cs="仿宋_GB2312"/>
          <w:sz w:val="32"/>
          <w:szCs w:val="32"/>
          <w:highlight w:val="none"/>
        </w:rPr>
        <w:t>万元,安排预算稳定调节基金</w:t>
      </w:r>
      <w:r>
        <w:rPr>
          <w:rFonts w:hint="eastAsia" w:ascii="仿宋_GB2312" w:hAnsi="仿宋_GB2312" w:eastAsia="仿宋_GB2312" w:cs="仿宋_GB2312"/>
          <w:sz w:val="32"/>
          <w:szCs w:val="32"/>
          <w:highlight w:val="none"/>
          <w:lang w:val="en-US" w:eastAsia="zh-CN"/>
        </w:rPr>
        <w:t>3,828</w:t>
      </w:r>
      <w:r>
        <w:rPr>
          <w:rFonts w:hint="eastAsia" w:ascii="仿宋_GB2312" w:hAnsi="仿宋_GB2312" w:eastAsia="仿宋_GB2312" w:cs="仿宋_GB2312"/>
          <w:sz w:val="32"/>
          <w:szCs w:val="32"/>
          <w:highlight w:val="none"/>
        </w:rPr>
        <w:t>万元，区域间转移性支出</w:t>
      </w:r>
      <w:r>
        <w:rPr>
          <w:rFonts w:hint="eastAsia" w:ascii="仿宋_GB2312" w:hAnsi="仿宋_GB2312" w:eastAsia="仿宋_GB2312" w:cs="仿宋_GB2312"/>
          <w:sz w:val="32"/>
          <w:szCs w:val="32"/>
          <w:highlight w:val="none"/>
          <w:lang w:val="en-US" w:eastAsia="zh-CN"/>
        </w:rPr>
        <w:t>14,467万元，</w:t>
      </w:r>
      <w:r>
        <w:rPr>
          <w:rFonts w:hint="eastAsia" w:ascii="仿宋_GB2312" w:hAnsi="仿宋_GB2312" w:eastAsia="仿宋_GB2312" w:cs="仿宋_GB2312"/>
          <w:sz w:val="32"/>
          <w:szCs w:val="32"/>
          <w:highlight w:val="none"/>
        </w:rPr>
        <w:t>区级一般公共预算总</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,206,660</w:t>
      </w:r>
      <w:r>
        <w:rPr>
          <w:rFonts w:hint="eastAsia" w:ascii="仿宋_GB2312" w:hAnsi="仿宋_GB2312" w:eastAsia="仿宋_GB2312" w:cs="仿宋_GB2312"/>
          <w:sz w:val="32"/>
          <w:szCs w:val="32"/>
          <w:highlight w:val="none"/>
        </w:rPr>
        <w:t>万元。</w:t>
      </w:r>
    </w:p>
    <w:p w14:paraId="79B69CD5">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收支相抵后，2024年区级一般公共预算资金年终结余7,535万元。</w:t>
      </w:r>
    </w:p>
    <w:p w14:paraId="1901A183">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（一）主要收入项目决算情况</w:t>
      </w:r>
    </w:p>
    <w:p w14:paraId="3250ED4F">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区级一般公共预算收入</w:t>
      </w:r>
      <w:r>
        <w:rPr>
          <w:rFonts w:hint="eastAsia" w:ascii="仿宋_GB2312" w:hAnsi="仿宋_GB2312" w:eastAsia="仿宋_GB2312" w:cs="仿宋_GB2312"/>
          <w:sz w:val="32"/>
          <w:szCs w:val="32"/>
          <w:highlight w:val="none"/>
          <w:lang w:val="en-US" w:eastAsia="zh-CN"/>
        </w:rPr>
        <w:t>1,199,687</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同比增长1.32%，</w:t>
      </w:r>
      <w:r>
        <w:rPr>
          <w:rFonts w:hint="eastAsia" w:ascii="仿宋_GB2312" w:hAnsi="仿宋_GB2312" w:eastAsia="仿宋_GB2312" w:cs="仿宋_GB2312"/>
          <w:sz w:val="32"/>
          <w:szCs w:val="32"/>
          <w:highlight w:val="none"/>
        </w:rPr>
        <w:t>完成年度预算</w:t>
      </w:r>
      <w:r>
        <w:rPr>
          <w:rFonts w:hint="eastAsia" w:ascii="仿宋_GB2312" w:hAnsi="仿宋_GB2312" w:eastAsia="仿宋_GB2312" w:cs="仿宋_GB2312"/>
          <w:sz w:val="32"/>
          <w:szCs w:val="32"/>
          <w:highlight w:val="none"/>
          <w:lang w:val="en-US" w:eastAsia="zh-CN"/>
        </w:rPr>
        <w:t>100.32%</w:t>
      </w:r>
      <w:r>
        <w:rPr>
          <w:rFonts w:hint="eastAsia" w:ascii="仿宋_GB2312" w:hAnsi="仿宋_GB2312" w:eastAsia="仿宋_GB2312" w:cs="仿宋_GB2312"/>
          <w:sz w:val="32"/>
          <w:szCs w:val="32"/>
          <w:highlight w:val="none"/>
        </w:rPr>
        <w:t>。其中：</w:t>
      </w:r>
    </w:p>
    <w:p w14:paraId="31731A0D">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（1）税收收入</w:t>
      </w:r>
      <w:r>
        <w:rPr>
          <w:rFonts w:hint="eastAsia" w:ascii="仿宋_GB2312" w:hAnsi="仿宋_GB2312" w:eastAsia="仿宋_GB2312" w:cs="仿宋_GB2312"/>
          <w:sz w:val="32"/>
          <w:szCs w:val="32"/>
          <w:highlight w:val="none"/>
          <w:lang w:val="en-US" w:eastAsia="zh-CN"/>
        </w:rPr>
        <w:t>832,941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同比增长</w:t>
      </w:r>
      <w:r>
        <w:rPr>
          <w:rFonts w:hint="eastAsia" w:ascii="仿宋_GB2312" w:hAnsi="仿宋_GB2312" w:eastAsia="仿宋_GB2312" w:cs="仿宋_GB2312"/>
          <w:sz w:val="32"/>
          <w:szCs w:val="32"/>
          <w:highlight w:val="none"/>
          <w:lang w:val="en-US" w:eastAsia="zh-CN"/>
        </w:rPr>
        <w:t>1.68%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完成年度预算</w:t>
      </w:r>
      <w:r>
        <w:rPr>
          <w:rFonts w:hint="eastAsia" w:ascii="仿宋_GB2312" w:hAnsi="仿宋_GB2312" w:eastAsia="仿宋_GB2312" w:cs="仿宋_GB2312"/>
          <w:sz w:val="32"/>
          <w:szCs w:val="32"/>
          <w:highlight w:val="none"/>
          <w:lang w:val="en-US" w:eastAsia="zh-CN"/>
        </w:rPr>
        <w:t>101.65</w:t>
      </w:r>
      <w:r>
        <w:rPr>
          <w:rFonts w:hint="eastAsia" w:ascii="仿宋_GB2312" w:hAnsi="仿宋_GB2312" w:eastAsia="仿宋_GB2312" w:cs="仿宋_GB2312"/>
          <w:sz w:val="32"/>
          <w:szCs w:val="32"/>
          <w:highlight w:val="none"/>
        </w:rPr>
        <w:t>%。其中增值税收入</w:t>
      </w:r>
      <w:r>
        <w:rPr>
          <w:rFonts w:hint="eastAsia" w:ascii="仿宋_GB2312" w:hAnsi="仿宋_GB2312" w:eastAsia="仿宋_GB2312" w:cs="仿宋_GB2312"/>
          <w:sz w:val="32"/>
          <w:szCs w:val="32"/>
          <w:highlight w:val="none"/>
          <w:lang w:val="en-US" w:eastAsia="zh-CN"/>
        </w:rPr>
        <w:t>345,355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w:t>
      </w:r>
      <w:r>
        <w:rPr>
          <w:rFonts w:hint="eastAsia" w:ascii="仿宋_GB2312" w:hAnsi="仿宋_GB2312" w:eastAsia="仿宋_GB2312" w:cs="仿宋_GB2312"/>
          <w:sz w:val="32"/>
          <w:szCs w:val="32"/>
          <w:highlight w:val="none"/>
          <w:lang w:val="en-US" w:eastAsia="zh-CN"/>
        </w:rPr>
        <w:t>增长0.35</w:t>
      </w:r>
      <w:r>
        <w:rPr>
          <w:rFonts w:hint="eastAsia" w:ascii="仿宋_GB2312" w:hAnsi="仿宋_GB2312" w:eastAsia="仿宋_GB2312" w:cs="仿宋_GB2312"/>
          <w:sz w:val="32"/>
          <w:szCs w:val="32"/>
          <w:highlight w:val="none"/>
        </w:rPr>
        <w:t>%；企业所得税收入</w:t>
      </w:r>
      <w:r>
        <w:rPr>
          <w:rFonts w:hint="eastAsia" w:ascii="仿宋_GB2312" w:hAnsi="仿宋_GB2312" w:eastAsia="仿宋_GB2312" w:cs="仿宋_GB2312"/>
          <w:sz w:val="32"/>
          <w:szCs w:val="32"/>
          <w:highlight w:val="none"/>
          <w:lang w:val="en-US" w:eastAsia="zh-CN"/>
        </w:rPr>
        <w:t>185,059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同比增长0.55</w:t>
      </w:r>
      <w:r>
        <w:rPr>
          <w:rFonts w:hint="eastAsia" w:ascii="仿宋_GB2312" w:hAnsi="仿宋_GB2312" w:eastAsia="仿宋_GB2312" w:cs="仿宋_GB2312"/>
          <w:sz w:val="32"/>
          <w:szCs w:val="32"/>
          <w:highlight w:val="none"/>
        </w:rPr>
        <w:t>%；城市维护建设税收入</w:t>
      </w:r>
      <w:r>
        <w:rPr>
          <w:rFonts w:hint="eastAsia" w:ascii="仿宋_GB2312" w:hAnsi="仿宋_GB2312" w:eastAsia="仿宋_GB2312" w:cs="仿宋_GB2312"/>
          <w:sz w:val="32"/>
          <w:szCs w:val="32"/>
          <w:highlight w:val="none"/>
          <w:lang w:val="en-US" w:eastAsia="zh-CN"/>
        </w:rPr>
        <w:t>91,149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同比下降9.39</w:t>
      </w:r>
      <w:r>
        <w:rPr>
          <w:rFonts w:hint="eastAsia" w:ascii="仿宋_GB2312" w:hAnsi="仿宋_GB2312" w:eastAsia="仿宋_GB2312" w:cs="仿宋_GB2312"/>
          <w:sz w:val="32"/>
          <w:szCs w:val="32"/>
          <w:highlight w:val="none"/>
        </w:rPr>
        <w:t>%；房产税收入</w:t>
      </w:r>
      <w:r>
        <w:rPr>
          <w:rFonts w:hint="eastAsia" w:ascii="仿宋_GB2312" w:hAnsi="仿宋_GB2312" w:eastAsia="仿宋_GB2312" w:cs="仿宋_GB2312"/>
          <w:sz w:val="32"/>
          <w:szCs w:val="32"/>
          <w:highlight w:val="none"/>
          <w:lang w:val="en-US" w:eastAsia="zh-CN"/>
        </w:rPr>
        <w:t>124,558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20.02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,主要是融海物业签订了出租10年以上的长期合同，一次性交纳房产税，推动房产税同比增收</w:t>
      </w:r>
      <w:r>
        <w:rPr>
          <w:rFonts w:hint="eastAsia" w:ascii="仿宋_GB2312" w:hAnsi="仿宋_GB2312" w:eastAsia="仿宋_GB2312" w:cs="仿宋_GB2312"/>
          <w:sz w:val="32"/>
          <w:szCs w:val="32"/>
          <w:highlight w:val="none"/>
        </w:rPr>
        <w:t>；印花税收入</w:t>
      </w:r>
      <w:r>
        <w:rPr>
          <w:rFonts w:hint="eastAsia" w:ascii="仿宋_GB2312" w:hAnsi="仿宋_GB2312" w:eastAsia="仿宋_GB2312" w:cs="仿宋_GB2312"/>
          <w:sz w:val="32"/>
          <w:szCs w:val="32"/>
          <w:highlight w:val="none"/>
          <w:lang w:val="en-US" w:eastAsia="zh-CN"/>
        </w:rPr>
        <w:t>44,554</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0.33</w:t>
      </w:r>
      <w:r>
        <w:rPr>
          <w:rFonts w:hint="eastAsia" w:ascii="仿宋_GB2312" w:hAnsi="仿宋_GB2312" w:eastAsia="仿宋_GB2312" w:cs="仿宋_GB2312"/>
          <w:sz w:val="32"/>
          <w:szCs w:val="32"/>
          <w:highlight w:val="none"/>
        </w:rPr>
        <w:t>%；城镇土地使用税收入</w:t>
      </w:r>
      <w:r>
        <w:rPr>
          <w:rFonts w:hint="eastAsia" w:ascii="仿宋_GB2312" w:hAnsi="仿宋_GB2312" w:eastAsia="仿宋_GB2312" w:cs="仿宋_GB2312"/>
          <w:sz w:val="32"/>
          <w:szCs w:val="32"/>
          <w:highlight w:val="none"/>
          <w:lang w:val="en-US" w:eastAsia="zh-CN"/>
        </w:rPr>
        <w:t>10,673</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同比下降0.69%</w:t>
      </w:r>
      <w:r>
        <w:rPr>
          <w:rFonts w:hint="eastAsia" w:ascii="仿宋_GB2312" w:hAnsi="仿宋_GB2312" w:eastAsia="仿宋_GB2312" w:cs="仿宋_GB2312"/>
          <w:sz w:val="32"/>
          <w:szCs w:val="32"/>
          <w:highlight w:val="none"/>
        </w:rPr>
        <w:t>；车船税收入</w:t>
      </w:r>
      <w:r>
        <w:rPr>
          <w:rFonts w:hint="eastAsia" w:ascii="仿宋_GB2312" w:hAnsi="仿宋_GB2312" w:eastAsia="仿宋_GB2312" w:cs="仿宋_GB2312"/>
          <w:sz w:val="32"/>
          <w:szCs w:val="32"/>
          <w:highlight w:val="none"/>
          <w:lang w:val="en-US" w:eastAsia="zh-CN"/>
        </w:rPr>
        <w:t>22,995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w:t>
      </w:r>
      <w:r>
        <w:rPr>
          <w:rFonts w:hint="eastAsia" w:ascii="仿宋_GB2312" w:hAnsi="仿宋_GB2312" w:eastAsia="仿宋_GB2312" w:cs="仿宋_GB2312"/>
          <w:sz w:val="32"/>
          <w:szCs w:val="32"/>
          <w:highlight w:val="none"/>
        </w:rPr>
        <w:t>增长</w:t>
      </w:r>
      <w:r>
        <w:rPr>
          <w:rFonts w:hint="eastAsia" w:ascii="仿宋_GB2312" w:hAnsi="仿宋_GB2312" w:eastAsia="仿宋_GB2312" w:cs="仿宋_GB2312"/>
          <w:sz w:val="32"/>
          <w:szCs w:val="32"/>
          <w:highlight w:val="none"/>
          <w:lang w:val="en-US" w:eastAsia="zh-CN"/>
        </w:rPr>
        <w:t>1.07</w:t>
      </w:r>
      <w:r>
        <w:rPr>
          <w:rFonts w:hint="eastAsia" w:ascii="仿宋_GB2312" w:hAnsi="仿宋_GB2312" w:eastAsia="仿宋_GB2312" w:cs="仿宋_GB2312"/>
          <w:sz w:val="32"/>
          <w:szCs w:val="32"/>
          <w:highlight w:val="none"/>
        </w:rPr>
        <w:t>%；耕地占用税收入</w:t>
      </w:r>
      <w:r>
        <w:rPr>
          <w:rFonts w:hint="eastAsia" w:ascii="仿宋_GB2312" w:hAnsi="仿宋_GB2312" w:eastAsia="仿宋_GB2312" w:cs="仿宋_GB2312"/>
          <w:sz w:val="32"/>
          <w:szCs w:val="32"/>
          <w:highlight w:val="none"/>
          <w:lang w:val="en-US" w:eastAsia="zh-CN"/>
        </w:rPr>
        <w:t>7,689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同比下降1.34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环境保护税收入</w:t>
      </w:r>
      <w:r>
        <w:rPr>
          <w:rFonts w:hint="eastAsia" w:ascii="仿宋_GB2312" w:hAnsi="仿宋_GB2312" w:eastAsia="仿宋_GB2312" w:cs="仿宋_GB2312"/>
          <w:sz w:val="32"/>
          <w:szCs w:val="32"/>
          <w:highlight w:val="none"/>
          <w:lang w:val="en-US" w:eastAsia="zh-CN"/>
        </w:rPr>
        <w:t>857</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8.83</w:t>
      </w:r>
      <w:r>
        <w:rPr>
          <w:rFonts w:hint="eastAsia" w:ascii="仿宋_GB2312" w:hAnsi="仿宋_GB2312" w:eastAsia="仿宋_GB2312" w:cs="仿宋_GB2312"/>
          <w:sz w:val="32"/>
          <w:szCs w:val="32"/>
          <w:highlight w:val="none"/>
        </w:rPr>
        <w:t>%；其他税收收入</w:t>
      </w:r>
      <w:r>
        <w:rPr>
          <w:rFonts w:hint="eastAsia" w:ascii="仿宋_GB2312" w:hAnsi="仿宋_GB2312" w:eastAsia="仿宋_GB2312" w:cs="仿宋_GB2312"/>
          <w:sz w:val="32"/>
          <w:szCs w:val="32"/>
          <w:highlight w:val="none"/>
          <w:lang w:val="en-US" w:eastAsia="zh-CN"/>
        </w:rPr>
        <w:t>52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去年同期为负数</w:t>
      </w:r>
      <w:r>
        <w:rPr>
          <w:rFonts w:hint="eastAsia" w:ascii="仿宋_GB2312" w:hAnsi="仿宋_GB2312" w:eastAsia="仿宋_GB2312" w:cs="仿宋_GB2312"/>
          <w:sz w:val="32"/>
          <w:szCs w:val="32"/>
          <w:highlight w:val="none"/>
        </w:rPr>
        <w:t>。</w:t>
      </w:r>
    </w:p>
    <w:p w14:paraId="18B6C7D1">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（2）非税收入</w:t>
      </w:r>
      <w:r>
        <w:rPr>
          <w:rFonts w:hint="eastAsia" w:ascii="仿宋_GB2312" w:hAnsi="仿宋_GB2312" w:eastAsia="仿宋_GB2312" w:cs="仿宋_GB2312"/>
          <w:sz w:val="32"/>
          <w:szCs w:val="32"/>
          <w:highlight w:val="none"/>
          <w:lang w:val="en-US" w:eastAsia="zh-CN"/>
        </w:rPr>
        <w:t>366,746</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val="en-US" w:eastAsia="zh-CN"/>
        </w:rPr>
        <w:t>增长0.53</w:t>
      </w:r>
      <w:r>
        <w:rPr>
          <w:rFonts w:hint="eastAsia" w:ascii="仿宋_GB2312" w:hAnsi="仿宋_GB2312" w:eastAsia="仿宋_GB2312" w:cs="仿宋_GB2312"/>
          <w:sz w:val="32"/>
          <w:szCs w:val="32"/>
          <w:highlight w:val="none"/>
        </w:rPr>
        <w:t>%，完成年度预算</w:t>
      </w:r>
      <w:r>
        <w:rPr>
          <w:rFonts w:hint="eastAsia" w:ascii="仿宋_GB2312" w:hAnsi="仿宋_GB2312" w:eastAsia="仿宋_GB2312" w:cs="仿宋_GB2312"/>
          <w:sz w:val="32"/>
          <w:szCs w:val="32"/>
          <w:highlight w:val="none"/>
          <w:lang w:val="en-US" w:eastAsia="zh-CN"/>
        </w:rPr>
        <w:t>97.43</w:t>
      </w:r>
      <w:r>
        <w:rPr>
          <w:rFonts w:hint="eastAsia" w:ascii="仿宋_GB2312" w:hAnsi="仿宋_GB2312" w:eastAsia="仿宋_GB2312" w:cs="仿宋_GB2312"/>
          <w:sz w:val="32"/>
          <w:szCs w:val="32"/>
          <w:highlight w:val="none"/>
        </w:rPr>
        <w:t>%。其中专项收入</w:t>
      </w:r>
      <w:r>
        <w:rPr>
          <w:rFonts w:hint="eastAsia" w:ascii="仿宋_GB2312" w:hAnsi="仿宋_GB2312" w:eastAsia="仿宋_GB2312" w:cs="仿宋_GB2312"/>
          <w:sz w:val="32"/>
          <w:szCs w:val="32"/>
          <w:highlight w:val="none"/>
          <w:lang w:val="en-US" w:eastAsia="zh-CN"/>
        </w:rPr>
        <w:t>76,987</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55.42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主要是2024年土地出让收入减少，导致政策性计提教育资金和农田水利建设资金相应减少</w:t>
      </w:r>
      <w:r>
        <w:rPr>
          <w:rFonts w:hint="eastAsia" w:ascii="仿宋_GB2312" w:hAnsi="仿宋_GB2312" w:eastAsia="仿宋_GB2312" w:cs="仿宋_GB2312"/>
          <w:sz w:val="32"/>
          <w:szCs w:val="32"/>
          <w:highlight w:val="none"/>
        </w:rPr>
        <w:t>；行政事业性收费收入</w:t>
      </w:r>
      <w:r>
        <w:rPr>
          <w:rFonts w:hint="eastAsia" w:ascii="仿宋_GB2312" w:hAnsi="仿宋_GB2312" w:eastAsia="仿宋_GB2312" w:cs="仿宋_GB2312"/>
          <w:sz w:val="32"/>
          <w:szCs w:val="32"/>
          <w:highlight w:val="none"/>
          <w:lang w:val="en-US" w:eastAsia="zh-CN"/>
        </w:rPr>
        <w:t>18,550</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2.24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，主要是公立幼儿园保教费收入增长</w:t>
      </w:r>
      <w:r>
        <w:rPr>
          <w:rFonts w:hint="eastAsia" w:ascii="仿宋_GB2312" w:hAnsi="仿宋_GB2312" w:eastAsia="仿宋_GB2312" w:cs="仿宋_GB2312"/>
          <w:sz w:val="32"/>
          <w:szCs w:val="32"/>
          <w:highlight w:val="none"/>
        </w:rPr>
        <w:t>；罚没收入</w:t>
      </w:r>
      <w:r>
        <w:rPr>
          <w:rFonts w:hint="eastAsia" w:ascii="仿宋_GB2312" w:hAnsi="仿宋_GB2312" w:eastAsia="仿宋_GB2312" w:cs="仿宋_GB2312"/>
          <w:sz w:val="32"/>
          <w:szCs w:val="32"/>
          <w:highlight w:val="none"/>
          <w:lang w:val="en-US" w:eastAsia="zh-CN"/>
        </w:rPr>
        <w:t>63,308</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val="en-US" w:eastAsia="zh-CN"/>
        </w:rPr>
        <w:t>增长126.87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，主要增收来源为公安、纪委</w:t>
      </w:r>
      <w:r>
        <w:rPr>
          <w:rFonts w:hint="eastAsia" w:ascii="仿宋_GB2312" w:hAnsi="仿宋_GB2312" w:eastAsia="仿宋_GB2312" w:cs="仿宋_GB2312"/>
          <w:sz w:val="32"/>
          <w:szCs w:val="32"/>
          <w:highlight w:val="none"/>
          <w:lang w:val="en-US" w:eastAsia="zh-CN"/>
        </w:rPr>
        <w:t>一次性</w:t>
      </w:r>
      <w:r>
        <w:rPr>
          <w:rFonts w:hint="eastAsia" w:ascii="仿宋_GB2312" w:hAnsi="仿宋_GB2312" w:eastAsia="仿宋_GB2312" w:cs="仿宋_GB2312"/>
          <w:sz w:val="32"/>
          <w:szCs w:val="32"/>
          <w:highlight w:val="none"/>
          <w:lang w:eastAsia="zh-CN"/>
        </w:rPr>
        <w:t>罚没的增长；</w:t>
      </w:r>
      <w:r>
        <w:rPr>
          <w:rFonts w:hint="eastAsia" w:ascii="仿宋_GB2312" w:hAnsi="仿宋_GB2312" w:eastAsia="仿宋_GB2312" w:cs="仿宋_GB2312"/>
          <w:sz w:val="32"/>
          <w:szCs w:val="32"/>
          <w:highlight w:val="none"/>
        </w:rPr>
        <w:t>国有资源（资产）有偿使用收入</w:t>
      </w:r>
      <w:r>
        <w:rPr>
          <w:rFonts w:hint="eastAsia" w:ascii="仿宋_GB2312" w:hAnsi="仿宋_GB2312" w:eastAsia="仿宋_GB2312" w:cs="仿宋_GB2312"/>
          <w:sz w:val="32"/>
          <w:szCs w:val="32"/>
          <w:highlight w:val="none"/>
          <w:lang w:val="en-US" w:eastAsia="zh-CN"/>
        </w:rPr>
        <w:t>162,265</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val="en-US" w:eastAsia="zh-CN"/>
        </w:rPr>
        <w:t>增长101.74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主要是</w:t>
      </w:r>
      <w:r>
        <w:rPr>
          <w:rFonts w:hint="eastAsia" w:ascii="仿宋_GB2312" w:hAnsi="仿宋_GB2312" w:eastAsia="仿宋_GB2312" w:cs="仿宋_GB2312"/>
          <w:sz w:val="32"/>
          <w:szCs w:val="32"/>
          <w:highlight w:val="none"/>
          <w:lang w:eastAsia="zh-CN"/>
        </w:rPr>
        <w:t>国资局处置保利鸿悦花园和华颂公馆（和樾府）收入102,740万元，推动国有资源（资产）有偿使用收入同比增收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政府住房基金收入</w:t>
      </w:r>
      <w:r>
        <w:rPr>
          <w:rFonts w:hint="eastAsia" w:ascii="仿宋_GB2312" w:hAnsi="仿宋_GB2312" w:eastAsia="仿宋_GB2312" w:cs="仿宋_GB2312"/>
          <w:sz w:val="32"/>
          <w:szCs w:val="32"/>
          <w:highlight w:val="none"/>
          <w:lang w:val="en-US" w:eastAsia="zh-CN"/>
        </w:rPr>
        <w:t>3,873万元，同比下降10.67%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其他收入</w:t>
      </w:r>
      <w:r>
        <w:rPr>
          <w:rFonts w:hint="eastAsia" w:ascii="仿宋_GB2312" w:hAnsi="仿宋_GB2312" w:eastAsia="仿宋_GB2312" w:cs="仿宋_GB2312"/>
          <w:sz w:val="32"/>
          <w:szCs w:val="32"/>
          <w:highlight w:val="none"/>
          <w:lang w:val="en-US" w:eastAsia="zh-CN"/>
        </w:rPr>
        <w:t>41,763</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31.84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w:t>
      </w:r>
      <w:r>
        <w:rPr>
          <w:rFonts w:hint="eastAsia" w:ascii="仿宋_GB2312" w:hAnsi="仿宋_GB2312" w:eastAsia="仿宋_GB2312" w:cs="仿宋_GB2312"/>
          <w:sz w:val="32"/>
          <w:szCs w:val="32"/>
          <w:highlight w:val="none"/>
          <w:lang w:val="en-US" w:eastAsia="zh-CN"/>
        </w:rPr>
        <w:t>是2024</w:t>
      </w:r>
      <w:r>
        <w:rPr>
          <w:rFonts w:hint="eastAsia" w:ascii="仿宋_GB2312" w:hAnsi="仿宋_GB2312" w:eastAsia="仿宋_GB2312" w:cs="仿宋_GB2312"/>
          <w:sz w:val="32"/>
          <w:szCs w:val="32"/>
          <w:highlight w:val="none"/>
          <w:lang w:eastAsia="zh-CN"/>
        </w:rPr>
        <w:t>年二类疫苗费不纳入非税收入。</w:t>
      </w:r>
    </w:p>
    <w:p w14:paraId="1A9FA5E5">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上级税收返还和各项补助收入</w:t>
      </w:r>
      <w:r>
        <w:rPr>
          <w:rFonts w:hint="eastAsia" w:ascii="仿宋_GB2312" w:hAnsi="仿宋_GB2312" w:eastAsia="仿宋_GB2312" w:cs="仿宋_GB2312"/>
          <w:color w:val="auto"/>
          <w:sz w:val="32"/>
          <w:szCs w:val="32"/>
          <w:highlight w:val="none"/>
          <w:lang w:val="en-US" w:eastAsia="zh-CN"/>
        </w:rPr>
        <w:t>683,714</w:t>
      </w:r>
      <w:r>
        <w:rPr>
          <w:rFonts w:hint="eastAsia" w:ascii="仿宋_GB2312" w:hAnsi="仿宋_GB2312" w:eastAsia="仿宋_GB2312" w:cs="仿宋_GB2312"/>
          <w:color w:val="auto"/>
          <w:sz w:val="32"/>
          <w:szCs w:val="32"/>
          <w:highlight w:val="none"/>
        </w:rPr>
        <w:t>万元，同比</w:t>
      </w:r>
      <w:r>
        <w:rPr>
          <w:rFonts w:hint="eastAsia" w:ascii="仿宋_GB2312" w:hAnsi="仿宋_GB2312" w:eastAsia="仿宋_GB2312" w:cs="仿宋_GB2312"/>
          <w:color w:val="auto"/>
          <w:sz w:val="32"/>
          <w:szCs w:val="32"/>
          <w:highlight w:val="none"/>
          <w:lang w:val="en-US" w:eastAsia="zh-CN"/>
        </w:rPr>
        <w:t>下降0.42</w:t>
      </w:r>
      <w:r>
        <w:rPr>
          <w:rFonts w:hint="eastAsia" w:ascii="仿宋_GB2312" w:hAnsi="仿宋_GB2312" w:eastAsia="仿宋_GB2312" w:cs="仿宋_GB2312"/>
          <w:color w:val="auto"/>
          <w:sz w:val="32"/>
          <w:szCs w:val="32"/>
          <w:highlight w:val="none"/>
        </w:rPr>
        <w:t>%。其中，税收返还收入250,790万元，与上年持平；一般性转移支付收入</w:t>
      </w:r>
      <w:r>
        <w:rPr>
          <w:rFonts w:hint="eastAsia" w:ascii="仿宋_GB2312" w:hAnsi="仿宋_GB2312" w:eastAsia="仿宋_GB2312" w:cs="仿宋_GB2312"/>
          <w:color w:val="auto"/>
          <w:sz w:val="32"/>
          <w:szCs w:val="32"/>
          <w:highlight w:val="none"/>
          <w:lang w:val="en-US" w:eastAsia="zh-CN"/>
        </w:rPr>
        <w:t>283,914</w:t>
      </w:r>
      <w:r>
        <w:rPr>
          <w:rFonts w:hint="eastAsia" w:ascii="仿宋_GB2312" w:hAnsi="仿宋_GB2312" w:eastAsia="仿宋_GB2312" w:cs="仿宋_GB2312"/>
          <w:color w:val="auto"/>
          <w:sz w:val="32"/>
          <w:szCs w:val="32"/>
          <w:highlight w:val="none"/>
        </w:rPr>
        <w:t>万元，同比</w:t>
      </w:r>
      <w:r>
        <w:rPr>
          <w:rFonts w:hint="eastAsia" w:ascii="仿宋_GB2312" w:hAnsi="仿宋_GB2312" w:eastAsia="仿宋_GB2312" w:cs="仿宋_GB2312"/>
          <w:color w:val="auto"/>
          <w:sz w:val="32"/>
          <w:szCs w:val="32"/>
          <w:highlight w:val="none"/>
          <w:lang w:val="en-US" w:eastAsia="zh-CN"/>
        </w:rPr>
        <w:t>下降13.93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主要是市对我区结算补助收入减少，以及2024年无增值税留抵退税转移支付</w:t>
      </w:r>
      <w:r>
        <w:rPr>
          <w:rFonts w:hint="eastAsia" w:ascii="仿宋_GB2312" w:hAnsi="仿宋_GB2312" w:eastAsia="仿宋_GB2312" w:cs="仿宋_GB2312"/>
          <w:color w:val="auto"/>
          <w:sz w:val="32"/>
          <w:szCs w:val="32"/>
          <w:highlight w:val="none"/>
        </w:rPr>
        <w:t>；专项转移支付收入</w:t>
      </w:r>
      <w:r>
        <w:rPr>
          <w:rFonts w:hint="eastAsia" w:ascii="仿宋_GB2312" w:hAnsi="仿宋_GB2312" w:eastAsia="仿宋_GB2312" w:cs="仿宋_GB2312"/>
          <w:color w:val="auto"/>
          <w:sz w:val="32"/>
          <w:szCs w:val="32"/>
          <w:highlight w:val="none"/>
          <w:lang w:val="en-US" w:eastAsia="zh-CN"/>
        </w:rPr>
        <w:t>149,010</w:t>
      </w:r>
      <w:r>
        <w:rPr>
          <w:rFonts w:hint="eastAsia" w:ascii="仿宋_GB2312" w:hAnsi="仿宋_GB2312" w:eastAsia="仿宋_GB2312" w:cs="仿宋_GB2312"/>
          <w:color w:val="auto"/>
          <w:sz w:val="32"/>
          <w:szCs w:val="32"/>
          <w:highlight w:val="none"/>
        </w:rPr>
        <w:t>万元，同比</w:t>
      </w:r>
      <w:r>
        <w:rPr>
          <w:rFonts w:hint="eastAsia" w:ascii="仿宋_GB2312" w:hAnsi="仿宋_GB2312" w:eastAsia="仿宋_GB2312" w:cs="仿宋_GB2312"/>
          <w:color w:val="auto"/>
          <w:sz w:val="32"/>
          <w:szCs w:val="32"/>
          <w:highlight w:val="none"/>
          <w:lang w:eastAsia="zh-CN"/>
        </w:rPr>
        <w:t>增长</w:t>
      </w:r>
      <w:r>
        <w:rPr>
          <w:rFonts w:hint="eastAsia" w:ascii="仿宋_GB2312" w:hAnsi="仿宋_GB2312" w:eastAsia="仿宋_GB2312" w:cs="仿宋_GB2312"/>
          <w:color w:val="auto"/>
          <w:sz w:val="32"/>
          <w:szCs w:val="32"/>
          <w:highlight w:val="none"/>
          <w:lang w:val="en-US" w:eastAsia="zh-CN"/>
        </w:rPr>
        <w:t>40.70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主要是广汽埃安电池和电驱等项目市级财政配套资金增加，以及增发2024年国债城市排水防涝能力提升补助资金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ab/>
      </w:r>
    </w:p>
    <w:p w14:paraId="2B431BA5">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上年结余、调入资金、</w:t>
      </w:r>
      <w:r>
        <w:rPr>
          <w:rFonts w:hint="eastAsia" w:ascii="仿宋_GB2312" w:hAnsi="仿宋_GB2312" w:eastAsia="仿宋_GB2312" w:cs="仿宋_GB2312"/>
          <w:sz w:val="32"/>
          <w:szCs w:val="32"/>
          <w:highlight w:val="none"/>
          <w:lang w:eastAsia="zh-CN"/>
        </w:rPr>
        <w:t>债务转贷收入、</w:t>
      </w:r>
      <w:r>
        <w:rPr>
          <w:rFonts w:hint="eastAsia" w:ascii="仿宋_GB2312" w:hAnsi="仿宋_GB2312" w:eastAsia="仿宋_GB2312" w:cs="仿宋_GB2312"/>
          <w:sz w:val="32"/>
          <w:szCs w:val="32"/>
          <w:highlight w:val="none"/>
        </w:rPr>
        <w:t>动用预算稳定调节基金等其他收入</w:t>
      </w:r>
      <w:r>
        <w:rPr>
          <w:rFonts w:hint="eastAsia" w:ascii="仿宋_GB2312" w:hAnsi="仿宋_GB2312" w:eastAsia="仿宋_GB2312" w:cs="仿宋_GB2312"/>
          <w:sz w:val="32"/>
          <w:szCs w:val="32"/>
          <w:highlight w:val="none"/>
          <w:lang w:val="en-US" w:eastAsia="zh-CN"/>
        </w:rPr>
        <w:t>330,794</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val="en-US" w:eastAsia="zh-CN"/>
        </w:rPr>
        <w:t>下降35.32</w:t>
      </w:r>
      <w:r>
        <w:rPr>
          <w:rFonts w:hint="eastAsia" w:ascii="仿宋_GB2312" w:hAnsi="仿宋_GB2312" w:eastAsia="仿宋_GB2312" w:cs="仿宋_GB2312"/>
          <w:sz w:val="32"/>
          <w:szCs w:val="32"/>
          <w:highlight w:val="none"/>
        </w:rPr>
        <w:t>%。其中：上年结余</w:t>
      </w:r>
      <w:r>
        <w:rPr>
          <w:rFonts w:hint="eastAsia" w:ascii="仿宋_GB2312" w:hAnsi="仿宋_GB2312" w:eastAsia="仿宋_GB2312" w:cs="仿宋_GB2312"/>
          <w:sz w:val="32"/>
          <w:szCs w:val="32"/>
          <w:highlight w:val="none"/>
          <w:lang w:val="en-US" w:eastAsia="zh-CN"/>
        </w:rPr>
        <w:t>99,673</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35.43</w:t>
      </w:r>
      <w:r>
        <w:rPr>
          <w:rFonts w:hint="eastAsia" w:ascii="仿宋_GB2312" w:hAnsi="仿宋_GB2312" w:eastAsia="仿宋_GB2312" w:cs="仿宋_GB2312"/>
          <w:sz w:val="32"/>
          <w:szCs w:val="32"/>
          <w:highlight w:val="none"/>
        </w:rPr>
        <w:t>%；调入资金</w:t>
      </w:r>
      <w:r>
        <w:rPr>
          <w:rFonts w:hint="eastAsia" w:ascii="仿宋_GB2312" w:hAnsi="仿宋_GB2312" w:eastAsia="仿宋_GB2312" w:cs="仿宋_GB2312"/>
          <w:sz w:val="32"/>
          <w:szCs w:val="32"/>
          <w:highlight w:val="none"/>
          <w:lang w:val="en-US" w:eastAsia="zh-CN"/>
        </w:rPr>
        <w:t>159,352</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57.14</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val="en-US" w:eastAsia="zh-CN"/>
        </w:rPr>
        <w:t>2024年政府性基金收入减少，</w:t>
      </w:r>
      <w:r>
        <w:rPr>
          <w:rFonts w:hint="eastAsia" w:ascii="仿宋_GB2312" w:hAnsi="仿宋_GB2312" w:eastAsia="仿宋_GB2312" w:cs="仿宋_GB2312"/>
          <w:sz w:val="32"/>
          <w:szCs w:val="32"/>
          <w:highlight w:val="none"/>
        </w:rPr>
        <w:t>按省财厅关于“政府性基金按不低于收入的10%统筹调入一般公共预算”的相关规定，</w:t>
      </w:r>
      <w:r>
        <w:rPr>
          <w:rFonts w:hint="eastAsia" w:ascii="仿宋_GB2312" w:hAnsi="仿宋_GB2312" w:eastAsia="仿宋_GB2312" w:cs="仿宋_GB2312"/>
          <w:sz w:val="32"/>
          <w:szCs w:val="32"/>
          <w:highlight w:val="none"/>
          <w:lang w:val="en-US" w:eastAsia="zh-CN"/>
        </w:rPr>
        <w:t>从政府性基金调入一般公共预算金额大幅减少</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债务转贷收入</w:t>
      </w:r>
      <w:r>
        <w:rPr>
          <w:rFonts w:hint="eastAsia" w:ascii="仿宋_GB2312" w:hAnsi="仿宋_GB2312" w:eastAsia="仿宋_GB2312" w:cs="仿宋_GB2312"/>
          <w:sz w:val="32"/>
          <w:szCs w:val="32"/>
          <w:highlight w:val="none"/>
          <w:lang w:val="en-US" w:eastAsia="zh-CN"/>
        </w:rPr>
        <w:t>32,756万元，同比下降26.23%；</w:t>
      </w:r>
      <w:r>
        <w:rPr>
          <w:rFonts w:hint="eastAsia" w:ascii="仿宋_GB2312" w:hAnsi="仿宋_GB2312" w:eastAsia="仿宋_GB2312" w:cs="仿宋_GB2312"/>
          <w:sz w:val="32"/>
          <w:szCs w:val="32"/>
          <w:highlight w:val="none"/>
        </w:rPr>
        <w:t>动用稳定调节金</w:t>
      </w:r>
      <w:r>
        <w:rPr>
          <w:rFonts w:hint="eastAsia" w:ascii="仿宋_GB2312" w:hAnsi="仿宋_GB2312" w:eastAsia="仿宋_GB2312" w:cs="仿宋_GB2312"/>
          <w:sz w:val="32"/>
          <w:szCs w:val="32"/>
          <w:highlight w:val="none"/>
          <w:lang w:val="en-US" w:eastAsia="zh-CN"/>
        </w:rPr>
        <w:t>39,013</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val="en-US" w:eastAsia="zh-CN"/>
        </w:rPr>
        <w:t>增长80.07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主要是根据预算平衡需要将当年稳定调节金全部动用</w:t>
      </w:r>
      <w:r>
        <w:rPr>
          <w:rFonts w:hint="eastAsia" w:ascii="仿宋_GB2312" w:hAnsi="仿宋_GB2312" w:eastAsia="仿宋_GB2312" w:cs="仿宋_GB2312"/>
          <w:sz w:val="32"/>
          <w:szCs w:val="32"/>
          <w:highlight w:val="none"/>
        </w:rPr>
        <w:t>。</w:t>
      </w:r>
    </w:p>
    <w:p w14:paraId="3F9E83EA">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（二）主要支出项目决算情况</w:t>
      </w:r>
    </w:p>
    <w:p w14:paraId="6405866E">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年，区级一般公共预算支出</w:t>
      </w:r>
      <w:r>
        <w:rPr>
          <w:rFonts w:hint="eastAsia" w:ascii="仿宋_GB2312" w:hAnsi="仿宋_GB2312" w:eastAsia="仿宋_GB2312" w:cs="仿宋_GB2312"/>
          <w:color w:val="auto"/>
          <w:sz w:val="32"/>
          <w:szCs w:val="32"/>
          <w:highlight w:val="none"/>
          <w:lang w:val="en-US" w:eastAsia="zh-CN"/>
        </w:rPr>
        <w:t>1,762,686</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上解市级支出</w:t>
      </w:r>
      <w:r>
        <w:rPr>
          <w:rFonts w:hint="eastAsia" w:ascii="仿宋_GB2312" w:hAnsi="仿宋_GB2312" w:eastAsia="仿宋_GB2312" w:cs="仿宋_GB2312"/>
          <w:color w:val="auto"/>
          <w:sz w:val="32"/>
          <w:szCs w:val="32"/>
          <w:highlight w:val="none"/>
          <w:lang w:val="en-US" w:eastAsia="zh-CN"/>
        </w:rPr>
        <w:t>392,923</w:t>
      </w:r>
      <w:r>
        <w:rPr>
          <w:rFonts w:hint="eastAsia" w:ascii="仿宋_GB2312" w:hAnsi="仿宋_GB2312" w:eastAsia="仿宋_GB2312" w:cs="仿宋_GB2312"/>
          <w:color w:val="auto"/>
          <w:sz w:val="32"/>
          <w:szCs w:val="32"/>
          <w:highlight w:val="none"/>
        </w:rPr>
        <w:t>万元，债务还本支出</w:t>
      </w:r>
      <w:r>
        <w:rPr>
          <w:rFonts w:hint="eastAsia" w:ascii="仿宋_GB2312" w:hAnsi="仿宋_GB2312" w:eastAsia="仿宋_GB2312" w:cs="仿宋_GB2312"/>
          <w:color w:val="auto"/>
          <w:sz w:val="32"/>
          <w:szCs w:val="32"/>
          <w:highlight w:val="none"/>
          <w:lang w:val="en-US" w:eastAsia="zh-CN"/>
        </w:rPr>
        <w:t>32,756</w:t>
      </w:r>
      <w:r>
        <w:rPr>
          <w:rFonts w:hint="eastAsia" w:ascii="仿宋_GB2312" w:hAnsi="仿宋_GB2312" w:eastAsia="仿宋_GB2312" w:cs="仿宋_GB2312"/>
          <w:color w:val="auto"/>
          <w:sz w:val="32"/>
          <w:szCs w:val="32"/>
          <w:highlight w:val="none"/>
        </w:rPr>
        <w:t>万元,安排预算稳定调节基金</w:t>
      </w:r>
      <w:r>
        <w:rPr>
          <w:rFonts w:hint="eastAsia" w:ascii="仿宋_GB2312" w:hAnsi="仿宋_GB2312" w:eastAsia="仿宋_GB2312" w:cs="仿宋_GB2312"/>
          <w:color w:val="auto"/>
          <w:sz w:val="32"/>
          <w:szCs w:val="32"/>
          <w:highlight w:val="none"/>
          <w:lang w:val="en-US" w:eastAsia="zh-CN"/>
        </w:rPr>
        <w:t>3,828</w:t>
      </w:r>
      <w:r>
        <w:rPr>
          <w:rFonts w:hint="eastAsia" w:ascii="仿宋_GB2312" w:hAnsi="仿宋_GB2312" w:eastAsia="仿宋_GB2312" w:cs="仿宋_GB2312"/>
          <w:color w:val="auto"/>
          <w:sz w:val="32"/>
          <w:szCs w:val="32"/>
          <w:highlight w:val="none"/>
        </w:rPr>
        <w:t>万元，区域间转移性支出</w:t>
      </w:r>
      <w:r>
        <w:rPr>
          <w:rFonts w:hint="eastAsia" w:ascii="仿宋_GB2312" w:hAnsi="仿宋_GB2312" w:eastAsia="仿宋_GB2312" w:cs="仿宋_GB2312"/>
          <w:color w:val="auto"/>
          <w:sz w:val="32"/>
          <w:szCs w:val="32"/>
          <w:highlight w:val="none"/>
          <w:lang w:val="en-US" w:eastAsia="zh-CN"/>
        </w:rPr>
        <w:t>14,467万元，</w:t>
      </w:r>
      <w:r>
        <w:rPr>
          <w:rFonts w:hint="eastAsia" w:ascii="仿宋_GB2312" w:hAnsi="仿宋_GB2312" w:eastAsia="仿宋_GB2312" w:cs="仿宋_GB2312"/>
          <w:color w:val="auto"/>
          <w:sz w:val="32"/>
          <w:szCs w:val="32"/>
          <w:highlight w:val="none"/>
        </w:rPr>
        <w:t>区级一般公共预算总支出</w:t>
      </w:r>
      <w:r>
        <w:rPr>
          <w:rFonts w:hint="eastAsia" w:ascii="仿宋_GB2312" w:hAnsi="仿宋_GB2312" w:eastAsia="仿宋_GB2312" w:cs="仿宋_GB2312"/>
          <w:color w:val="auto"/>
          <w:sz w:val="32"/>
          <w:szCs w:val="32"/>
          <w:highlight w:val="none"/>
          <w:lang w:val="en-US" w:eastAsia="zh-CN"/>
        </w:rPr>
        <w:t>2,206,660</w:t>
      </w:r>
      <w:r>
        <w:rPr>
          <w:rFonts w:hint="eastAsia" w:ascii="仿宋_GB2312" w:hAnsi="仿宋_GB2312" w:eastAsia="仿宋_GB2312" w:cs="仿宋_GB2312"/>
          <w:color w:val="auto"/>
          <w:sz w:val="32"/>
          <w:szCs w:val="32"/>
          <w:highlight w:val="none"/>
        </w:rPr>
        <w:t>万元。主要项目完成情况如下：</w:t>
      </w:r>
    </w:p>
    <w:p w14:paraId="40B224AD">
      <w:pPr>
        <w:keepNext w:val="0"/>
        <w:keepLines w:val="0"/>
        <w:pageBreakBefore w:val="0"/>
        <w:widowControl w:val="0"/>
        <w:numPr>
          <w:ilvl w:val="0"/>
          <w:numId w:val="0"/>
        </w:numPr>
        <w:tabs>
          <w:tab w:val="left" w:pos="2160"/>
        </w:tabs>
        <w:kinsoku/>
        <w:wordWrap/>
        <w:overflowPunct/>
        <w:topLinePunct w:val="0"/>
        <w:autoSpaceDE/>
        <w:autoSpaceDN/>
        <w:bidi w:val="0"/>
        <w:adjustRightInd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区级一般公共预算支出</w:t>
      </w:r>
      <w:r>
        <w:rPr>
          <w:rFonts w:hint="eastAsia" w:ascii="仿宋_GB2312" w:hAnsi="仿宋_GB2312" w:eastAsia="仿宋_GB2312" w:cs="仿宋_GB2312"/>
          <w:color w:val="auto"/>
          <w:sz w:val="32"/>
          <w:szCs w:val="32"/>
          <w:highlight w:val="none"/>
          <w:lang w:val="en-US" w:eastAsia="zh-CN"/>
        </w:rPr>
        <w:t>1,762,686</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val="en-US" w:eastAsia="zh-CN"/>
        </w:rPr>
        <w:t>下降7.73%</w:t>
      </w:r>
      <w:r>
        <w:rPr>
          <w:rFonts w:hint="eastAsia" w:ascii="仿宋_GB2312" w:hAnsi="仿宋_GB2312" w:eastAsia="仿宋_GB2312" w:cs="仿宋_GB2312"/>
          <w:sz w:val="32"/>
          <w:szCs w:val="32"/>
          <w:highlight w:val="none"/>
          <w:lang w:eastAsia="zh-CN"/>
        </w:rPr>
        <w:t>，完成年度预算的</w:t>
      </w:r>
      <w:r>
        <w:rPr>
          <w:rFonts w:hint="eastAsia" w:ascii="仿宋_GB2312" w:hAnsi="仿宋_GB2312" w:eastAsia="仿宋_GB2312" w:cs="仿宋_GB2312"/>
          <w:sz w:val="32"/>
          <w:szCs w:val="32"/>
          <w:highlight w:val="none"/>
          <w:lang w:val="en-US" w:eastAsia="zh-CN"/>
        </w:rPr>
        <w:t>99.57%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color w:val="000000"/>
          <w:sz w:val="32"/>
          <w:szCs w:val="32"/>
          <w:highlight w:val="none"/>
          <w:lang w:eastAsia="zh-CN"/>
        </w:rPr>
        <w:t>一般公共</w:t>
      </w:r>
      <w:r>
        <w:rPr>
          <w:rFonts w:hint="eastAsia" w:ascii="仿宋_GB2312" w:hAnsi="仿宋_GB2312" w:eastAsia="仿宋_GB2312" w:cs="仿宋_GB2312"/>
          <w:color w:val="000000"/>
          <w:sz w:val="32"/>
          <w:szCs w:val="32"/>
          <w:highlight w:val="none"/>
          <w:lang w:val="en-US" w:eastAsia="zh-CN"/>
        </w:rPr>
        <w:t>服务</w:t>
      </w:r>
      <w:r>
        <w:rPr>
          <w:rFonts w:hint="eastAsia" w:ascii="仿宋_GB2312" w:hAnsi="仿宋_GB2312" w:eastAsia="仿宋_GB2312" w:cs="仿宋_GB2312"/>
          <w:color w:val="000000"/>
          <w:sz w:val="32"/>
          <w:szCs w:val="32"/>
          <w:highlight w:val="none"/>
          <w:lang w:eastAsia="zh-CN"/>
        </w:rPr>
        <w:t>支出</w:t>
      </w:r>
      <w:r>
        <w:rPr>
          <w:rFonts w:hint="eastAsia" w:ascii="仿宋_GB2312" w:hAnsi="仿宋_GB2312" w:eastAsia="仿宋_GB2312" w:cs="仿宋_GB2312"/>
          <w:color w:val="000000"/>
          <w:sz w:val="32"/>
          <w:szCs w:val="32"/>
          <w:highlight w:val="none"/>
          <w:lang w:val="en-US" w:eastAsia="zh-CN"/>
        </w:rPr>
        <w:t>214,635万元,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下降4.12%；国防支出2,407万元，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下降13.51%；公共安全支出185,820万元，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下降6.16%；教育支出589,375万元，</w:t>
      </w:r>
      <w:r>
        <w:rPr>
          <w:rFonts w:hint="eastAsia" w:ascii="仿宋_GB2312" w:hAnsi="仿宋_GB2312" w:eastAsia="仿宋_GB2312" w:cs="仿宋_GB2312"/>
          <w:color w:val="auto"/>
          <w:sz w:val="32"/>
          <w:szCs w:val="32"/>
          <w:highlight w:val="none"/>
        </w:rPr>
        <w:t>同比</w:t>
      </w:r>
      <w:r>
        <w:rPr>
          <w:rFonts w:hint="eastAsia" w:ascii="仿宋_GB2312" w:hAnsi="仿宋_GB2312" w:eastAsia="仿宋_GB2312" w:cs="仿宋_GB2312"/>
          <w:color w:val="auto"/>
          <w:sz w:val="32"/>
          <w:szCs w:val="32"/>
          <w:highlight w:val="none"/>
          <w:lang w:val="en-US" w:eastAsia="zh-CN"/>
        </w:rPr>
        <w:t>下降6.63%；科学技术支出5,994万元，</w:t>
      </w:r>
      <w:r>
        <w:rPr>
          <w:rFonts w:hint="eastAsia" w:ascii="仿宋_GB2312" w:hAnsi="仿宋_GB2312" w:eastAsia="仿宋_GB2312" w:cs="仿宋_GB2312"/>
          <w:color w:val="auto"/>
          <w:sz w:val="32"/>
          <w:szCs w:val="32"/>
          <w:highlight w:val="none"/>
        </w:rPr>
        <w:t>同比</w:t>
      </w:r>
      <w:r>
        <w:rPr>
          <w:rFonts w:hint="eastAsia" w:ascii="仿宋_GB2312" w:hAnsi="仿宋_GB2312" w:eastAsia="仿宋_GB2312" w:cs="仿宋_GB2312"/>
          <w:color w:val="auto"/>
          <w:sz w:val="32"/>
          <w:szCs w:val="32"/>
          <w:highlight w:val="none"/>
          <w:lang w:val="en-US" w:eastAsia="zh-CN"/>
        </w:rPr>
        <w:t>下降57.33%；</w:t>
      </w:r>
      <w:r>
        <w:rPr>
          <w:rFonts w:hint="eastAsia" w:ascii="仿宋_GB2312" w:hAnsi="仿宋_GB2312" w:eastAsia="仿宋_GB2312" w:cs="仿宋_GB2312"/>
          <w:sz w:val="32"/>
          <w:szCs w:val="32"/>
          <w:highlight w:val="none"/>
          <w:lang w:val="en-US" w:eastAsia="zh-CN"/>
        </w:rPr>
        <w:t>文化旅游体育与传媒支出13,210万元，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下降33.59%；社会保障和就业支出208,192万元，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下降5.81%；卫生健康支出137,676万元，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下降40.19%；节能环保支出5,730万元，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下降64.68%；城乡社区支出126,706万元，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增长8.41%；农林水支出75,864万元，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增长3.43%；交通运输支出11,767万元，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下降39.52%；</w:t>
      </w:r>
      <w:r>
        <w:rPr>
          <w:rFonts w:hint="eastAsia" w:ascii="仿宋_GB2312" w:hAnsi="仿宋_GB2312" w:eastAsia="仿宋_GB2312" w:cs="仿宋_GB2312"/>
          <w:color w:val="auto"/>
          <w:sz w:val="32"/>
          <w:szCs w:val="32"/>
          <w:highlight w:val="none"/>
          <w:lang w:val="en-US" w:eastAsia="zh-CN"/>
        </w:rPr>
        <w:t>资源勘探信息等支出99,607万元，</w:t>
      </w:r>
      <w:r>
        <w:rPr>
          <w:rFonts w:hint="eastAsia" w:ascii="仿宋_GB2312" w:hAnsi="仿宋_GB2312" w:eastAsia="仿宋_GB2312" w:cs="仿宋_GB2312"/>
          <w:color w:val="auto"/>
          <w:sz w:val="32"/>
          <w:szCs w:val="32"/>
          <w:highlight w:val="none"/>
        </w:rPr>
        <w:t>同比</w:t>
      </w:r>
      <w:r>
        <w:rPr>
          <w:rFonts w:hint="eastAsia" w:ascii="仿宋_GB2312" w:hAnsi="仿宋_GB2312" w:eastAsia="仿宋_GB2312" w:cs="仿宋_GB2312"/>
          <w:color w:val="auto"/>
          <w:sz w:val="32"/>
          <w:szCs w:val="32"/>
          <w:highlight w:val="none"/>
          <w:lang w:val="en-US" w:eastAsia="zh-CN"/>
        </w:rPr>
        <w:t>增长95.74%；</w:t>
      </w:r>
      <w:r>
        <w:rPr>
          <w:rFonts w:hint="eastAsia" w:ascii="仿宋_GB2312" w:hAnsi="仿宋_GB2312" w:eastAsia="仿宋_GB2312" w:cs="仿宋_GB2312"/>
          <w:sz w:val="32"/>
          <w:szCs w:val="32"/>
          <w:highlight w:val="none"/>
          <w:lang w:val="en-US" w:eastAsia="zh-CN"/>
        </w:rPr>
        <w:t>商业服务业等支出2,185万元，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下降54.18%；自然资源海洋气象等支出2,388万元，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增长6.11%；住房和保障支出45,165万元，</w:t>
      </w:r>
      <w:r>
        <w:rPr>
          <w:rFonts w:hint="eastAsia" w:ascii="仿宋_GB2312" w:hAnsi="仿宋_GB2312" w:eastAsia="仿宋_GB2312" w:cs="仿宋_GB2312"/>
          <w:color w:val="auto"/>
          <w:sz w:val="32"/>
          <w:szCs w:val="32"/>
          <w:highlight w:val="none"/>
        </w:rPr>
        <w:t>同比</w:t>
      </w:r>
      <w:r>
        <w:rPr>
          <w:rFonts w:hint="eastAsia" w:ascii="仿宋_GB2312" w:hAnsi="仿宋_GB2312" w:eastAsia="仿宋_GB2312" w:cs="仿宋_GB2312"/>
          <w:color w:val="auto"/>
          <w:sz w:val="32"/>
          <w:szCs w:val="32"/>
          <w:highlight w:val="none"/>
          <w:lang w:val="en-US" w:eastAsia="zh-CN"/>
        </w:rPr>
        <w:t>增长0.65%；粮油物资储备支出4,512万元，</w:t>
      </w:r>
      <w:r>
        <w:rPr>
          <w:rFonts w:hint="eastAsia" w:ascii="仿宋_GB2312" w:hAnsi="仿宋_GB2312" w:eastAsia="仿宋_GB2312" w:cs="仿宋_GB2312"/>
          <w:color w:val="auto"/>
          <w:sz w:val="32"/>
          <w:szCs w:val="32"/>
          <w:highlight w:val="none"/>
        </w:rPr>
        <w:t>同比</w:t>
      </w:r>
      <w:r>
        <w:rPr>
          <w:rFonts w:hint="eastAsia" w:ascii="仿宋_GB2312" w:hAnsi="仿宋_GB2312" w:eastAsia="仿宋_GB2312" w:cs="仿宋_GB2312"/>
          <w:color w:val="auto"/>
          <w:sz w:val="32"/>
          <w:szCs w:val="32"/>
          <w:highlight w:val="none"/>
          <w:lang w:val="en-US" w:eastAsia="zh-CN"/>
        </w:rPr>
        <w:t>下降47.75%；</w:t>
      </w:r>
      <w:r>
        <w:rPr>
          <w:rFonts w:hint="eastAsia" w:ascii="仿宋_GB2312" w:hAnsi="仿宋_GB2312" w:eastAsia="仿宋_GB2312" w:cs="仿宋_GB2312"/>
          <w:sz w:val="32"/>
          <w:szCs w:val="32"/>
          <w:highlight w:val="none"/>
          <w:lang w:val="en-US" w:eastAsia="zh-CN"/>
        </w:rPr>
        <w:t>灾害防治及应急管理支出16,429万元，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增长0.23%；其他支出0万元，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sz w:val="32"/>
          <w:szCs w:val="32"/>
          <w:highlight w:val="none"/>
          <w:lang w:val="en-US" w:eastAsia="zh-CN"/>
        </w:rPr>
        <w:t>下降100.00%；债务付息支出14,995万元，</w:t>
      </w:r>
      <w:r>
        <w:rPr>
          <w:rFonts w:hint="eastAsia" w:ascii="仿宋_GB2312" w:hAnsi="仿宋_GB2312" w:eastAsia="仿宋_GB2312" w:cs="仿宋_GB2312"/>
          <w:sz w:val="32"/>
          <w:szCs w:val="32"/>
          <w:highlight w:val="none"/>
        </w:rPr>
        <w:t>同比</w:t>
      </w:r>
      <w:r>
        <w:rPr>
          <w:rFonts w:hint="eastAsia" w:ascii="仿宋_GB2312" w:hAnsi="仿宋_GB2312" w:eastAsia="仿宋_GB2312" w:cs="仿宋_GB2312"/>
          <w:color w:val="auto"/>
          <w:sz w:val="32"/>
          <w:szCs w:val="32"/>
          <w:highlight w:val="none"/>
          <w:lang w:val="en-US" w:eastAsia="zh-CN"/>
        </w:rPr>
        <w:t>下降3.75%；债务发行费用支出29万元，</w:t>
      </w:r>
      <w:r>
        <w:rPr>
          <w:rFonts w:hint="eastAsia" w:ascii="仿宋_GB2312" w:hAnsi="仿宋_GB2312" w:eastAsia="仿宋_GB2312" w:cs="仿宋_GB2312"/>
          <w:color w:val="auto"/>
          <w:sz w:val="32"/>
          <w:szCs w:val="32"/>
          <w:highlight w:val="none"/>
        </w:rPr>
        <w:t>同比</w:t>
      </w:r>
      <w:r>
        <w:rPr>
          <w:rFonts w:hint="eastAsia" w:ascii="仿宋_GB2312" w:hAnsi="仿宋_GB2312" w:eastAsia="仿宋_GB2312" w:cs="仿宋_GB2312"/>
          <w:color w:val="auto"/>
          <w:sz w:val="32"/>
          <w:szCs w:val="32"/>
          <w:highlight w:val="none"/>
          <w:lang w:val="en-US" w:eastAsia="zh-CN"/>
        </w:rPr>
        <w:t>下降28.36%。</w:t>
      </w:r>
    </w:p>
    <w:p w14:paraId="1174D731">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上解市级支出</w:t>
      </w:r>
      <w:r>
        <w:rPr>
          <w:rFonts w:hint="eastAsia" w:ascii="仿宋_GB2312" w:hAnsi="仿宋_GB2312" w:eastAsia="仿宋_GB2312" w:cs="仿宋_GB2312"/>
          <w:sz w:val="32"/>
          <w:szCs w:val="32"/>
          <w:highlight w:val="none"/>
          <w:lang w:val="en-US" w:eastAsia="zh-CN"/>
        </w:rPr>
        <w:t>392,923</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38.09%，主要是根据上级财政部门年度清算据实支出。</w:t>
      </w:r>
    </w:p>
    <w:p w14:paraId="6AD44D10">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债务还本支出</w:t>
      </w:r>
      <w:r>
        <w:rPr>
          <w:rFonts w:hint="eastAsia" w:ascii="仿宋_GB2312" w:hAnsi="仿宋_GB2312" w:eastAsia="仿宋_GB2312" w:cs="仿宋_GB2312"/>
          <w:sz w:val="32"/>
          <w:szCs w:val="32"/>
          <w:highlight w:val="none"/>
          <w:lang w:val="en-US" w:eastAsia="zh-CN"/>
        </w:rPr>
        <w:t>32,756</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同比下降26.24%，主要是根据</w:t>
      </w:r>
      <w:r>
        <w:rPr>
          <w:rFonts w:hint="eastAsia" w:ascii="仿宋_GB2312" w:hAnsi="仿宋_GB2312" w:eastAsia="仿宋_GB2312" w:cs="仿宋_GB2312"/>
          <w:kern w:val="2"/>
          <w:sz w:val="32"/>
          <w:szCs w:val="32"/>
          <w:highlight w:val="none"/>
          <w:lang w:eastAsia="zh-CN"/>
        </w:rPr>
        <w:t>202</w:t>
      </w:r>
      <w:r>
        <w:rPr>
          <w:rFonts w:hint="eastAsia" w:ascii="仿宋_GB2312" w:hAnsi="仿宋_GB2312" w:eastAsia="仿宋_GB2312" w:cs="仿宋_GB2312"/>
          <w:kern w:val="2"/>
          <w:sz w:val="32"/>
          <w:szCs w:val="32"/>
          <w:highlight w:val="none"/>
          <w:lang w:val="en-US" w:eastAsia="zh-CN"/>
        </w:rPr>
        <w:t>4</w:t>
      </w:r>
      <w:r>
        <w:rPr>
          <w:rFonts w:hint="eastAsia" w:ascii="仿宋_GB2312" w:hAnsi="仿宋_GB2312" w:eastAsia="仿宋_GB2312" w:cs="仿宋_GB2312"/>
          <w:kern w:val="2"/>
          <w:sz w:val="32"/>
          <w:szCs w:val="32"/>
          <w:highlight w:val="none"/>
          <w:lang w:eastAsia="zh-CN"/>
        </w:rPr>
        <w:t>年实际到期还本</w:t>
      </w:r>
      <w:r>
        <w:rPr>
          <w:rFonts w:hint="eastAsia" w:ascii="仿宋_GB2312" w:hAnsi="仿宋_GB2312" w:eastAsia="仿宋_GB2312" w:cs="仿宋_GB2312"/>
          <w:kern w:val="2"/>
          <w:sz w:val="32"/>
          <w:szCs w:val="32"/>
          <w:highlight w:val="none"/>
          <w:lang w:val="en-US" w:eastAsia="zh-CN"/>
        </w:rPr>
        <w:t>安排</w:t>
      </w:r>
      <w:r>
        <w:rPr>
          <w:rFonts w:hint="eastAsia" w:ascii="仿宋_GB2312" w:hAnsi="仿宋_GB2312" w:eastAsia="仿宋_GB2312" w:cs="仿宋_GB2312"/>
          <w:kern w:val="2"/>
          <w:sz w:val="32"/>
          <w:szCs w:val="32"/>
          <w:highlight w:val="none"/>
          <w:lang w:eastAsia="zh-CN"/>
        </w:rPr>
        <w:t>地方政府债券支出</w:t>
      </w:r>
      <w:r>
        <w:rPr>
          <w:rFonts w:hint="eastAsia" w:ascii="仿宋_GB2312" w:hAnsi="仿宋_GB2312" w:eastAsia="仿宋_GB2312" w:cs="仿宋_GB2312"/>
          <w:sz w:val="32"/>
          <w:szCs w:val="32"/>
          <w:highlight w:val="none"/>
          <w:lang w:val="en-US" w:eastAsia="zh-CN"/>
        </w:rPr>
        <w:t>。</w:t>
      </w:r>
    </w:p>
    <w:p w14:paraId="61EDA155">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安排</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稳定调节金</w:t>
      </w:r>
      <w:r>
        <w:rPr>
          <w:rFonts w:hint="eastAsia" w:ascii="仿宋_GB2312" w:hAnsi="仿宋_GB2312" w:eastAsia="仿宋_GB2312" w:cs="仿宋_GB2312"/>
          <w:sz w:val="32"/>
          <w:szCs w:val="32"/>
          <w:highlight w:val="none"/>
          <w:lang w:val="en-US" w:eastAsia="zh-CN"/>
        </w:rPr>
        <w:t>3,828</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90.19</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主要是2024年实现超收收入较少</w:t>
      </w:r>
      <w:r>
        <w:rPr>
          <w:rFonts w:hint="eastAsia" w:ascii="仿宋_GB2312" w:hAnsi="仿宋_GB2312" w:eastAsia="仿宋_GB2312" w:cs="仿宋_GB2312"/>
          <w:kern w:val="2"/>
          <w:sz w:val="32"/>
          <w:szCs w:val="32"/>
          <w:highlight w:val="none"/>
          <w:lang w:val="en-US" w:eastAsia="zh-CN"/>
        </w:rPr>
        <w:t>，且2024年预备费结余不再用于补充</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稳定调节金。</w:t>
      </w:r>
      <w:r>
        <w:rPr>
          <w:rFonts w:hint="eastAsia" w:ascii="仿宋_GB2312" w:hAnsi="仿宋_GB2312" w:eastAsia="仿宋_GB2312" w:cs="仿宋_GB2312"/>
          <w:sz w:val="32"/>
          <w:szCs w:val="32"/>
          <w:highlight w:val="none"/>
          <w:lang w:val="en-US" w:eastAsia="zh-CN"/>
        </w:rPr>
        <w:tab/>
      </w:r>
    </w:p>
    <w:p w14:paraId="243B66FF">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5.区域间转移性支出14,467万元，同比增长260.86%，主要是省内横向土地指标调剂转移性支出。</w:t>
      </w:r>
    </w:p>
    <w:p w14:paraId="3C5DC6CB">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highlight w:val="none"/>
        </w:rPr>
        <w:t>“三公”经费支出决算情况</w:t>
      </w:r>
    </w:p>
    <w:p w14:paraId="1AE30F0D">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kern w:val="2"/>
          <w:sz w:val="32"/>
          <w:szCs w:val="32"/>
          <w:highlight w:val="yellow"/>
          <w:lang w:eastAsia="zh-CN"/>
        </w:rPr>
      </w:pPr>
      <w:r>
        <w:rPr>
          <w:rFonts w:hint="eastAsia" w:ascii="仿宋_GB2312" w:hAnsi="仿宋_GB2312" w:eastAsia="仿宋_GB2312" w:cs="仿宋_GB2312"/>
          <w:color w:val="auto"/>
          <w:kern w:val="2"/>
          <w:sz w:val="32"/>
          <w:szCs w:val="32"/>
          <w:highlight w:val="none"/>
          <w:lang w:eastAsia="zh-CN"/>
        </w:rPr>
        <w:t>我区严格贯彻落实中央八项规定及《党政机关厉行节约反对浪费条例》精神，政府部门带头过紧日子，严控“三公”经费支出管理。202</w:t>
      </w:r>
      <w:r>
        <w:rPr>
          <w:rFonts w:hint="eastAsia" w:ascii="仿宋_GB2312" w:hAnsi="仿宋_GB2312" w:eastAsia="仿宋_GB2312" w:cs="仿宋_GB2312"/>
          <w:color w:val="auto"/>
          <w:kern w:val="2"/>
          <w:sz w:val="32"/>
          <w:szCs w:val="32"/>
          <w:highlight w:val="none"/>
          <w:lang w:val="en-US" w:eastAsia="zh-CN"/>
        </w:rPr>
        <w:t>4</w:t>
      </w:r>
      <w:r>
        <w:rPr>
          <w:rFonts w:hint="eastAsia" w:ascii="仿宋_GB2312" w:hAnsi="仿宋_GB2312" w:eastAsia="仿宋_GB2312" w:cs="仿宋_GB2312"/>
          <w:color w:val="auto"/>
          <w:kern w:val="2"/>
          <w:sz w:val="32"/>
          <w:szCs w:val="32"/>
          <w:highlight w:val="none"/>
          <w:lang w:eastAsia="zh-CN"/>
        </w:rPr>
        <w:t>年度党政机关和事业单位一般公共预算资金开支的“三公”经费合计</w:t>
      </w:r>
      <w:r>
        <w:rPr>
          <w:rFonts w:hint="eastAsia" w:ascii="仿宋_GB2312" w:hAnsi="仿宋_GB2312" w:eastAsia="仿宋_GB2312" w:cs="仿宋_GB2312"/>
          <w:color w:val="auto"/>
          <w:kern w:val="2"/>
          <w:sz w:val="32"/>
          <w:szCs w:val="32"/>
          <w:highlight w:val="none"/>
          <w:lang w:val="en-US" w:eastAsia="zh-CN"/>
        </w:rPr>
        <w:t>3,986</w:t>
      </w:r>
      <w:r>
        <w:rPr>
          <w:rFonts w:hint="eastAsia" w:ascii="仿宋_GB2312" w:hAnsi="仿宋_GB2312" w:eastAsia="仿宋_GB2312" w:cs="仿宋_GB2312"/>
          <w:color w:val="auto"/>
          <w:kern w:val="2"/>
          <w:sz w:val="32"/>
          <w:szCs w:val="32"/>
          <w:highlight w:val="none"/>
          <w:lang w:eastAsia="zh-CN"/>
        </w:rPr>
        <w:t>万元，同比减少</w:t>
      </w:r>
      <w:r>
        <w:rPr>
          <w:rFonts w:hint="eastAsia" w:ascii="仿宋_GB2312" w:hAnsi="仿宋_GB2312" w:eastAsia="仿宋_GB2312" w:cs="仿宋_GB2312"/>
          <w:color w:val="auto"/>
          <w:kern w:val="2"/>
          <w:sz w:val="32"/>
          <w:szCs w:val="32"/>
          <w:highlight w:val="none"/>
          <w:lang w:val="en-US" w:eastAsia="zh-CN"/>
        </w:rPr>
        <w:t>570</w:t>
      </w:r>
      <w:r>
        <w:rPr>
          <w:rFonts w:hint="eastAsia" w:ascii="仿宋_GB2312" w:hAnsi="仿宋_GB2312" w:eastAsia="仿宋_GB2312" w:cs="仿宋_GB2312"/>
          <w:color w:val="auto"/>
          <w:kern w:val="2"/>
          <w:sz w:val="32"/>
          <w:szCs w:val="32"/>
          <w:highlight w:val="none"/>
          <w:lang w:eastAsia="zh-CN"/>
        </w:rPr>
        <w:t>万元，降低</w:t>
      </w:r>
      <w:r>
        <w:rPr>
          <w:rFonts w:hint="eastAsia" w:ascii="仿宋_GB2312" w:hAnsi="仿宋_GB2312" w:eastAsia="仿宋_GB2312" w:cs="仿宋_GB2312"/>
          <w:color w:val="auto"/>
          <w:kern w:val="2"/>
          <w:sz w:val="32"/>
          <w:szCs w:val="32"/>
          <w:highlight w:val="none"/>
          <w:lang w:val="en-US" w:eastAsia="zh-CN"/>
        </w:rPr>
        <w:t>12.52</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比年初预算下降23.45%，</w:t>
      </w:r>
      <w:r>
        <w:rPr>
          <w:rFonts w:hint="eastAsia" w:ascii="仿宋_GB2312" w:hAnsi="仿宋_GB2312" w:eastAsia="仿宋_GB2312" w:cs="仿宋_GB2312"/>
          <w:color w:val="auto"/>
          <w:kern w:val="2"/>
          <w:sz w:val="32"/>
          <w:szCs w:val="32"/>
          <w:highlight w:val="none"/>
          <w:lang w:eastAsia="zh-CN"/>
        </w:rPr>
        <w:t>主要是全区各部门严格落实过紧日子要求，大力压减“三公”经费支出。其中，因公出国（境）费用</w:t>
      </w:r>
      <w:r>
        <w:rPr>
          <w:rFonts w:hint="eastAsia" w:ascii="仿宋_GB2312" w:hAnsi="仿宋_GB2312" w:eastAsia="仿宋_GB2312" w:cs="仿宋_GB2312"/>
          <w:color w:val="auto"/>
          <w:kern w:val="2"/>
          <w:sz w:val="32"/>
          <w:szCs w:val="32"/>
          <w:highlight w:val="none"/>
          <w:lang w:val="en-US" w:eastAsia="zh-CN"/>
        </w:rPr>
        <w:t>215</w:t>
      </w:r>
      <w:r>
        <w:rPr>
          <w:rFonts w:hint="eastAsia" w:ascii="仿宋_GB2312" w:hAnsi="仿宋_GB2312" w:eastAsia="仿宋_GB2312" w:cs="仿宋_GB2312"/>
          <w:color w:val="auto"/>
          <w:kern w:val="2"/>
          <w:sz w:val="32"/>
          <w:szCs w:val="32"/>
          <w:highlight w:val="none"/>
          <w:lang w:eastAsia="zh-CN"/>
        </w:rPr>
        <w:t>万元，同比增加</w:t>
      </w:r>
      <w:r>
        <w:rPr>
          <w:rFonts w:hint="eastAsia" w:ascii="仿宋_GB2312" w:hAnsi="仿宋_GB2312" w:eastAsia="仿宋_GB2312" w:cs="仿宋_GB2312"/>
          <w:color w:val="auto"/>
          <w:kern w:val="2"/>
          <w:sz w:val="32"/>
          <w:szCs w:val="32"/>
          <w:highlight w:val="none"/>
          <w:lang w:val="en-US" w:eastAsia="zh-CN"/>
        </w:rPr>
        <w:t>44</w:t>
      </w:r>
      <w:r>
        <w:rPr>
          <w:rFonts w:hint="eastAsia" w:ascii="仿宋_GB2312" w:hAnsi="仿宋_GB2312" w:eastAsia="仿宋_GB2312" w:cs="仿宋_GB2312"/>
          <w:color w:val="auto"/>
          <w:kern w:val="2"/>
          <w:sz w:val="32"/>
          <w:szCs w:val="32"/>
          <w:highlight w:val="none"/>
          <w:lang w:eastAsia="zh-CN"/>
        </w:rPr>
        <w:t>万元，增长</w:t>
      </w:r>
      <w:r>
        <w:rPr>
          <w:rFonts w:hint="eastAsia" w:ascii="仿宋_GB2312" w:hAnsi="仿宋_GB2312" w:eastAsia="仿宋_GB2312" w:cs="仿宋_GB2312"/>
          <w:color w:val="auto"/>
          <w:kern w:val="2"/>
          <w:sz w:val="32"/>
          <w:szCs w:val="32"/>
          <w:highlight w:val="none"/>
          <w:lang w:val="en-US" w:eastAsia="zh-CN"/>
        </w:rPr>
        <w:t>25.65</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比年初预算下降44.59%</w:t>
      </w:r>
      <w:r>
        <w:rPr>
          <w:rFonts w:hint="eastAsia" w:ascii="仿宋_GB2312" w:hAnsi="仿宋_GB2312" w:eastAsia="仿宋_GB2312" w:cs="仿宋_GB2312"/>
          <w:color w:val="auto"/>
          <w:kern w:val="2"/>
          <w:sz w:val="32"/>
          <w:szCs w:val="32"/>
          <w:highlight w:val="none"/>
          <w:lang w:eastAsia="zh-CN"/>
        </w:rPr>
        <w:t>；公务接待费</w:t>
      </w:r>
      <w:r>
        <w:rPr>
          <w:rFonts w:hint="eastAsia" w:ascii="仿宋_GB2312" w:hAnsi="仿宋_GB2312" w:eastAsia="仿宋_GB2312" w:cs="仿宋_GB2312"/>
          <w:color w:val="auto"/>
          <w:kern w:val="2"/>
          <w:sz w:val="32"/>
          <w:szCs w:val="32"/>
          <w:highlight w:val="none"/>
          <w:lang w:val="en-US" w:eastAsia="zh-CN"/>
        </w:rPr>
        <w:t>96</w:t>
      </w:r>
      <w:r>
        <w:rPr>
          <w:rFonts w:hint="eastAsia" w:ascii="仿宋_GB2312" w:hAnsi="仿宋_GB2312" w:eastAsia="仿宋_GB2312" w:cs="仿宋_GB2312"/>
          <w:color w:val="auto"/>
          <w:kern w:val="2"/>
          <w:sz w:val="32"/>
          <w:szCs w:val="32"/>
          <w:highlight w:val="none"/>
          <w:lang w:eastAsia="zh-CN"/>
        </w:rPr>
        <w:t>万元，同比</w:t>
      </w:r>
      <w:r>
        <w:rPr>
          <w:rFonts w:hint="eastAsia" w:ascii="仿宋_GB2312" w:hAnsi="仿宋_GB2312" w:eastAsia="仿宋_GB2312" w:cs="仿宋_GB2312"/>
          <w:color w:val="auto"/>
          <w:kern w:val="2"/>
          <w:sz w:val="32"/>
          <w:szCs w:val="32"/>
          <w:highlight w:val="none"/>
          <w:lang w:val="en-US" w:eastAsia="zh-CN"/>
        </w:rPr>
        <w:t>减少33</w:t>
      </w:r>
      <w:r>
        <w:rPr>
          <w:rFonts w:hint="eastAsia" w:ascii="仿宋_GB2312" w:hAnsi="仿宋_GB2312" w:eastAsia="仿宋_GB2312" w:cs="仿宋_GB2312"/>
          <w:color w:val="auto"/>
          <w:kern w:val="2"/>
          <w:sz w:val="32"/>
          <w:szCs w:val="32"/>
          <w:highlight w:val="none"/>
          <w:lang w:eastAsia="zh-CN"/>
        </w:rPr>
        <w:t>万元，降低</w:t>
      </w:r>
      <w:r>
        <w:rPr>
          <w:rFonts w:hint="eastAsia" w:ascii="仿宋_GB2312" w:hAnsi="仿宋_GB2312" w:eastAsia="仿宋_GB2312" w:cs="仿宋_GB2312"/>
          <w:color w:val="auto"/>
          <w:kern w:val="2"/>
          <w:sz w:val="32"/>
          <w:szCs w:val="32"/>
          <w:highlight w:val="none"/>
          <w:lang w:val="en-US" w:eastAsia="zh-CN"/>
        </w:rPr>
        <w:t>26.01</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比年初预算下降65.47%</w:t>
      </w:r>
      <w:r>
        <w:rPr>
          <w:rFonts w:hint="eastAsia" w:ascii="仿宋_GB2312" w:hAnsi="仿宋_GB2312" w:eastAsia="仿宋_GB2312" w:cs="仿宋_GB2312"/>
          <w:color w:val="auto"/>
          <w:kern w:val="2"/>
          <w:sz w:val="32"/>
          <w:szCs w:val="32"/>
          <w:highlight w:val="none"/>
          <w:lang w:eastAsia="zh-CN"/>
        </w:rPr>
        <w:t>；公务用车购置和运行维护</w:t>
      </w:r>
      <w:r>
        <w:rPr>
          <w:rFonts w:hint="eastAsia" w:ascii="仿宋_GB2312" w:hAnsi="仿宋_GB2312" w:eastAsia="仿宋_GB2312" w:cs="仿宋_GB2312"/>
          <w:color w:val="auto"/>
          <w:kern w:val="2"/>
          <w:sz w:val="32"/>
          <w:szCs w:val="32"/>
          <w:highlight w:val="none"/>
          <w:lang w:val="en-US" w:eastAsia="zh-CN"/>
        </w:rPr>
        <w:t>3,675</w:t>
      </w:r>
      <w:r>
        <w:rPr>
          <w:rFonts w:hint="eastAsia" w:ascii="仿宋_GB2312" w:hAnsi="仿宋_GB2312" w:eastAsia="仿宋_GB2312" w:cs="仿宋_GB2312"/>
          <w:color w:val="auto"/>
          <w:kern w:val="2"/>
          <w:sz w:val="32"/>
          <w:szCs w:val="32"/>
          <w:highlight w:val="none"/>
          <w:lang w:eastAsia="zh-CN"/>
        </w:rPr>
        <w:t>万元（包括：公务用车购置费</w:t>
      </w:r>
      <w:r>
        <w:rPr>
          <w:rFonts w:hint="eastAsia" w:ascii="仿宋_GB2312" w:hAnsi="仿宋_GB2312" w:eastAsia="仿宋_GB2312" w:cs="仿宋_GB2312"/>
          <w:color w:val="auto"/>
          <w:kern w:val="2"/>
          <w:sz w:val="32"/>
          <w:szCs w:val="32"/>
          <w:highlight w:val="none"/>
          <w:lang w:val="en-US" w:eastAsia="zh-CN"/>
        </w:rPr>
        <w:t>718</w:t>
      </w:r>
      <w:r>
        <w:rPr>
          <w:rFonts w:hint="eastAsia" w:ascii="仿宋_GB2312" w:hAnsi="仿宋_GB2312" w:eastAsia="仿宋_GB2312" w:cs="仿宋_GB2312"/>
          <w:color w:val="auto"/>
          <w:kern w:val="2"/>
          <w:sz w:val="32"/>
          <w:szCs w:val="32"/>
          <w:highlight w:val="none"/>
          <w:lang w:eastAsia="zh-CN"/>
        </w:rPr>
        <w:t>万元，同比增加</w:t>
      </w:r>
      <w:r>
        <w:rPr>
          <w:rFonts w:hint="eastAsia" w:ascii="仿宋_GB2312" w:hAnsi="仿宋_GB2312" w:eastAsia="仿宋_GB2312" w:cs="仿宋_GB2312"/>
          <w:color w:val="auto"/>
          <w:kern w:val="2"/>
          <w:sz w:val="32"/>
          <w:szCs w:val="32"/>
          <w:highlight w:val="none"/>
          <w:lang w:val="en-US" w:eastAsia="zh-CN"/>
        </w:rPr>
        <w:t>113</w:t>
      </w:r>
      <w:r>
        <w:rPr>
          <w:rFonts w:hint="eastAsia" w:ascii="仿宋_GB2312" w:hAnsi="仿宋_GB2312" w:eastAsia="仿宋_GB2312" w:cs="仿宋_GB2312"/>
          <w:color w:val="auto"/>
          <w:kern w:val="2"/>
          <w:sz w:val="32"/>
          <w:szCs w:val="32"/>
          <w:highlight w:val="none"/>
          <w:lang w:eastAsia="zh-CN"/>
        </w:rPr>
        <w:t>万元，增长</w:t>
      </w:r>
      <w:r>
        <w:rPr>
          <w:rFonts w:hint="eastAsia" w:ascii="仿宋_GB2312" w:hAnsi="仿宋_GB2312" w:eastAsia="仿宋_GB2312" w:cs="仿宋_GB2312"/>
          <w:color w:val="auto"/>
          <w:kern w:val="2"/>
          <w:sz w:val="32"/>
          <w:szCs w:val="32"/>
          <w:highlight w:val="none"/>
          <w:lang w:val="en-US" w:eastAsia="zh-CN"/>
        </w:rPr>
        <w:t>18.65</w:t>
      </w:r>
      <w:r>
        <w:rPr>
          <w:rFonts w:hint="eastAsia" w:ascii="仿宋_GB2312" w:hAnsi="仿宋_GB2312" w:eastAsia="仿宋_GB2312" w:cs="仿宋_GB2312"/>
          <w:color w:val="auto"/>
          <w:kern w:val="2"/>
          <w:sz w:val="32"/>
          <w:szCs w:val="32"/>
          <w:highlight w:val="none"/>
          <w:lang w:eastAsia="zh-CN"/>
        </w:rPr>
        <w:t>%，公务用车运行维护</w:t>
      </w:r>
      <w:r>
        <w:rPr>
          <w:rFonts w:hint="eastAsia" w:ascii="仿宋_GB2312" w:hAnsi="仿宋_GB2312" w:eastAsia="仿宋_GB2312" w:cs="仿宋_GB2312"/>
          <w:color w:val="auto"/>
          <w:kern w:val="2"/>
          <w:sz w:val="32"/>
          <w:szCs w:val="32"/>
          <w:highlight w:val="none"/>
          <w:lang w:val="en-US" w:eastAsia="zh-CN"/>
        </w:rPr>
        <w:t>2,957</w:t>
      </w:r>
      <w:r>
        <w:rPr>
          <w:rFonts w:hint="eastAsia" w:ascii="仿宋_GB2312" w:hAnsi="仿宋_GB2312" w:eastAsia="仿宋_GB2312" w:cs="仿宋_GB2312"/>
          <w:color w:val="auto"/>
          <w:kern w:val="2"/>
          <w:sz w:val="32"/>
          <w:szCs w:val="32"/>
          <w:highlight w:val="none"/>
          <w:lang w:eastAsia="zh-CN"/>
        </w:rPr>
        <w:t>万元，同比减少</w:t>
      </w:r>
      <w:r>
        <w:rPr>
          <w:rFonts w:hint="eastAsia" w:ascii="仿宋_GB2312" w:hAnsi="仿宋_GB2312" w:eastAsia="仿宋_GB2312" w:cs="仿宋_GB2312"/>
          <w:color w:val="auto"/>
          <w:kern w:val="2"/>
          <w:sz w:val="32"/>
          <w:szCs w:val="32"/>
          <w:highlight w:val="none"/>
          <w:lang w:val="en-US" w:eastAsia="zh-CN"/>
        </w:rPr>
        <w:t>694</w:t>
      </w:r>
      <w:r>
        <w:rPr>
          <w:rFonts w:hint="eastAsia" w:ascii="仿宋_GB2312" w:hAnsi="仿宋_GB2312" w:eastAsia="仿宋_GB2312" w:cs="仿宋_GB2312"/>
          <w:color w:val="auto"/>
          <w:kern w:val="2"/>
          <w:sz w:val="32"/>
          <w:szCs w:val="32"/>
          <w:highlight w:val="none"/>
          <w:lang w:eastAsia="zh-CN"/>
        </w:rPr>
        <w:t>万元，降低</w:t>
      </w:r>
      <w:r>
        <w:rPr>
          <w:rFonts w:hint="eastAsia" w:ascii="仿宋_GB2312" w:hAnsi="仿宋_GB2312" w:eastAsia="仿宋_GB2312" w:cs="仿宋_GB2312"/>
          <w:color w:val="auto"/>
          <w:kern w:val="2"/>
          <w:sz w:val="32"/>
          <w:szCs w:val="32"/>
          <w:highlight w:val="none"/>
          <w:lang w:val="en-US" w:eastAsia="zh-CN"/>
        </w:rPr>
        <w:t>19.01</w:t>
      </w:r>
      <w:r>
        <w:rPr>
          <w:rFonts w:hint="eastAsia" w:ascii="仿宋_GB2312" w:hAnsi="仿宋_GB2312" w:eastAsia="仿宋_GB2312" w:cs="仿宋_GB2312"/>
          <w:color w:val="auto"/>
          <w:kern w:val="2"/>
          <w:sz w:val="32"/>
          <w:szCs w:val="32"/>
          <w:highlight w:val="none"/>
          <w:lang w:eastAsia="zh-CN"/>
        </w:rPr>
        <w:t>%），同比减少</w:t>
      </w:r>
      <w:r>
        <w:rPr>
          <w:rFonts w:hint="eastAsia" w:ascii="仿宋_GB2312" w:hAnsi="仿宋_GB2312" w:eastAsia="仿宋_GB2312" w:cs="仿宋_GB2312"/>
          <w:color w:val="auto"/>
          <w:kern w:val="2"/>
          <w:sz w:val="32"/>
          <w:szCs w:val="32"/>
          <w:highlight w:val="none"/>
          <w:lang w:val="en-US" w:eastAsia="zh-CN"/>
        </w:rPr>
        <w:t>581</w:t>
      </w:r>
      <w:r>
        <w:rPr>
          <w:rFonts w:hint="eastAsia" w:ascii="仿宋_GB2312" w:hAnsi="仿宋_GB2312" w:eastAsia="仿宋_GB2312" w:cs="仿宋_GB2312"/>
          <w:color w:val="auto"/>
          <w:kern w:val="2"/>
          <w:sz w:val="32"/>
          <w:szCs w:val="32"/>
          <w:highlight w:val="none"/>
          <w:lang w:eastAsia="zh-CN"/>
        </w:rPr>
        <w:t>万元，降低</w:t>
      </w:r>
      <w:r>
        <w:rPr>
          <w:rFonts w:hint="eastAsia" w:ascii="仿宋_GB2312" w:hAnsi="仿宋_GB2312" w:eastAsia="仿宋_GB2312" w:cs="仿宋_GB2312"/>
          <w:color w:val="auto"/>
          <w:kern w:val="2"/>
          <w:sz w:val="32"/>
          <w:szCs w:val="32"/>
          <w:highlight w:val="none"/>
          <w:lang w:val="en-US" w:eastAsia="zh-CN"/>
        </w:rPr>
        <w:t>13.65</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比年初预算下降19.09%</w:t>
      </w:r>
      <w:r>
        <w:rPr>
          <w:rFonts w:hint="eastAsia" w:ascii="仿宋_GB2312" w:hAnsi="仿宋_GB2312" w:eastAsia="仿宋_GB2312" w:cs="仿宋_GB2312"/>
          <w:color w:val="auto"/>
          <w:kern w:val="2"/>
          <w:sz w:val="32"/>
          <w:szCs w:val="32"/>
          <w:highlight w:val="none"/>
          <w:lang w:eastAsia="zh-CN"/>
        </w:rPr>
        <w:t>。</w:t>
      </w:r>
    </w:p>
    <w:p w14:paraId="2CD0BFFA">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仿宋_GB2312" w:hAnsi="仿宋_GB2312" w:eastAsia="楷体_GB2312" w:cs="仿宋_GB2312"/>
          <w:sz w:val="32"/>
          <w:szCs w:val="32"/>
          <w:highlight w:val="none"/>
          <w:lang w:val="en-US" w:eastAsia="zh-CN"/>
        </w:rPr>
      </w:pPr>
      <w:r>
        <w:rPr>
          <w:rFonts w:hint="eastAsia" w:ascii="楷体_GB2312" w:hAnsi="楷体_GB2312" w:eastAsia="楷体_GB2312" w:cs="楷体_GB2312"/>
          <w:sz w:val="32"/>
          <w:szCs w:val="32"/>
          <w:highlight w:val="none"/>
        </w:rPr>
        <w:t>（四）预备费使用情况</w:t>
      </w:r>
    </w:p>
    <w:p w14:paraId="6987CD21">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年初区本级安排预备费20,827万元，年中无动用。</w:t>
      </w:r>
    </w:p>
    <w:p w14:paraId="2C2BDBEC">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yellow"/>
          <w:lang w:eastAsia="zh-CN"/>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五</w:t>
      </w:r>
      <w:r>
        <w:rPr>
          <w:rFonts w:hint="eastAsia" w:ascii="楷体_GB2312" w:hAnsi="楷体_GB2312" w:eastAsia="楷体_GB2312" w:cs="楷体_GB2312"/>
          <w:sz w:val="32"/>
          <w:szCs w:val="32"/>
          <w:highlight w:val="none"/>
        </w:rPr>
        <w:t>）上年结转</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超收收入、预算周转金、预算稳定调节基金规模及使用情况</w:t>
      </w:r>
    </w:p>
    <w:p w14:paraId="02600EC6">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kern w:val="2"/>
          <w:sz w:val="32"/>
          <w:szCs w:val="32"/>
          <w:highlight w:val="none"/>
          <w:lang w:eastAsia="zh-CN"/>
        </w:rPr>
        <w:t>区级一般公共预算上年结转资金99,673万</w:t>
      </w:r>
      <w:r>
        <w:rPr>
          <w:rFonts w:hint="eastAsia" w:ascii="仿宋_GB2312" w:hAnsi="仿宋_GB2312" w:eastAsia="仿宋_GB2312" w:cs="仿宋_GB2312"/>
          <w:kern w:val="2"/>
          <w:sz w:val="32"/>
          <w:szCs w:val="32"/>
          <w:highlight w:val="none"/>
          <w:lang w:val="en-US" w:eastAsia="zh-CN"/>
        </w:rPr>
        <w:t>元基本支出及统筹使用</w:t>
      </w:r>
      <w:r>
        <w:rPr>
          <w:rFonts w:hint="eastAsia" w:ascii="仿宋_GB2312" w:hAnsi="仿宋_GB2312" w:eastAsia="仿宋_GB2312" w:cs="仿宋_GB2312"/>
          <w:kern w:val="2"/>
          <w:sz w:val="32"/>
          <w:szCs w:val="32"/>
          <w:highlight w:val="none"/>
          <w:lang w:eastAsia="zh-CN"/>
        </w:rPr>
        <w:t>完毕，</w:t>
      </w:r>
      <w:r>
        <w:rPr>
          <w:rFonts w:hint="eastAsia" w:ascii="仿宋_GB2312" w:hAnsi="仿宋_GB2312" w:eastAsia="仿宋_GB2312" w:cs="仿宋_GB2312"/>
          <w:kern w:val="2"/>
          <w:sz w:val="32"/>
          <w:szCs w:val="32"/>
          <w:highlight w:val="none"/>
          <w:lang w:val="en-US" w:eastAsia="zh-CN"/>
        </w:rPr>
        <w:t>未再结转至下一年度</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2024年</w:t>
      </w:r>
      <w:r>
        <w:rPr>
          <w:rFonts w:hint="eastAsia" w:ascii="仿宋_GB2312" w:hAnsi="仿宋_GB2312" w:eastAsia="仿宋_GB2312" w:cs="仿宋_GB2312"/>
          <w:kern w:val="2"/>
          <w:sz w:val="32"/>
          <w:szCs w:val="32"/>
          <w:highlight w:val="none"/>
        </w:rPr>
        <w:t>全区一般公共预算收入完成</w:t>
      </w:r>
      <w:r>
        <w:rPr>
          <w:rFonts w:hint="eastAsia" w:ascii="仿宋_GB2312" w:hAnsi="仿宋_GB2312" w:eastAsia="仿宋_GB2312" w:cs="仿宋_GB2312"/>
          <w:kern w:val="2"/>
          <w:sz w:val="32"/>
          <w:szCs w:val="32"/>
          <w:highlight w:val="none"/>
          <w:lang w:val="en-US" w:eastAsia="zh-CN"/>
        </w:rPr>
        <w:t>1,199,687</w:t>
      </w:r>
      <w:r>
        <w:rPr>
          <w:rFonts w:hint="eastAsia" w:ascii="仿宋_GB2312" w:hAnsi="仿宋_GB2312" w:eastAsia="仿宋_GB2312" w:cs="仿宋_GB2312"/>
          <w:kern w:val="2"/>
          <w:sz w:val="32"/>
          <w:szCs w:val="32"/>
          <w:highlight w:val="none"/>
        </w:rPr>
        <w:t>万元，较年</w:t>
      </w:r>
      <w:r>
        <w:rPr>
          <w:rFonts w:hint="eastAsia" w:ascii="仿宋_GB2312" w:hAnsi="仿宋_GB2312" w:eastAsia="仿宋_GB2312" w:cs="仿宋_GB2312"/>
          <w:kern w:val="2"/>
          <w:sz w:val="32"/>
          <w:szCs w:val="32"/>
          <w:highlight w:val="none"/>
          <w:lang w:val="en-US" w:eastAsia="zh-CN"/>
        </w:rPr>
        <w:t>度</w:t>
      </w:r>
      <w:r>
        <w:rPr>
          <w:rFonts w:hint="eastAsia" w:ascii="仿宋_GB2312" w:hAnsi="仿宋_GB2312" w:eastAsia="仿宋_GB2312" w:cs="仿宋_GB2312"/>
          <w:kern w:val="2"/>
          <w:sz w:val="32"/>
          <w:szCs w:val="32"/>
          <w:highlight w:val="none"/>
        </w:rPr>
        <w:t>预算超收</w:t>
      </w:r>
      <w:r>
        <w:rPr>
          <w:rFonts w:hint="eastAsia" w:ascii="仿宋_GB2312" w:hAnsi="仿宋_GB2312" w:eastAsia="仿宋_GB2312" w:cs="仿宋_GB2312"/>
          <w:kern w:val="2"/>
          <w:sz w:val="32"/>
          <w:szCs w:val="32"/>
          <w:highlight w:val="none"/>
          <w:lang w:val="en-US" w:eastAsia="zh-CN"/>
        </w:rPr>
        <w:t>3,828</w:t>
      </w:r>
      <w:r>
        <w:rPr>
          <w:rFonts w:hint="eastAsia" w:ascii="仿宋_GB2312" w:hAnsi="仿宋_GB2312" w:eastAsia="仿宋_GB2312" w:cs="仿宋_GB2312"/>
          <w:kern w:val="2"/>
          <w:sz w:val="32"/>
          <w:szCs w:val="32"/>
          <w:highlight w:val="none"/>
        </w:rPr>
        <w:t>万元。截至20</w:t>
      </w:r>
      <w:r>
        <w:rPr>
          <w:rFonts w:hint="eastAsia" w:ascii="仿宋_GB2312" w:hAnsi="仿宋_GB2312" w:eastAsia="仿宋_GB2312" w:cs="仿宋_GB2312"/>
          <w:kern w:val="2"/>
          <w:sz w:val="32"/>
          <w:szCs w:val="32"/>
          <w:highlight w:val="none"/>
          <w:lang w:val="en-US" w:eastAsia="zh-CN"/>
        </w:rPr>
        <w:t>24</w:t>
      </w:r>
      <w:r>
        <w:rPr>
          <w:rFonts w:hint="eastAsia" w:ascii="仿宋_GB2312" w:hAnsi="仿宋_GB2312" w:eastAsia="仿宋_GB2312" w:cs="仿宋_GB2312"/>
          <w:kern w:val="2"/>
          <w:sz w:val="32"/>
          <w:szCs w:val="32"/>
          <w:highlight w:val="none"/>
        </w:rPr>
        <w:t>年底，区本级预算周转金余额为零。20</w:t>
      </w:r>
      <w:r>
        <w:rPr>
          <w:rFonts w:hint="eastAsia" w:ascii="仿宋_GB2312" w:hAnsi="仿宋_GB2312" w:eastAsia="仿宋_GB2312" w:cs="仿宋_GB2312"/>
          <w:kern w:val="2"/>
          <w:sz w:val="32"/>
          <w:szCs w:val="32"/>
          <w:highlight w:val="none"/>
          <w:lang w:val="en-US" w:eastAsia="zh-CN"/>
        </w:rPr>
        <w:t>23</w:t>
      </w:r>
      <w:r>
        <w:rPr>
          <w:rFonts w:hint="eastAsia" w:ascii="仿宋_GB2312" w:hAnsi="仿宋_GB2312" w:eastAsia="仿宋_GB2312" w:cs="仿宋_GB2312"/>
          <w:kern w:val="2"/>
          <w:sz w:val="32"/>
          <w:szCs w:val="32"/>
          <w:highlight w:val="none"/>
        </w:rPr>
        <w:t>年末区本级预算稳定调节基金余额</w:t>
      </w:r>
      <w:r>
        <w:rPr>
          <w:rFonts w:hint="eastAsia" w:ascii="仿宋_GB2312" w:hAnsi="仿宋_GB2312" w:eastAsia="仿宋_GB2312" w:cs="仿宋_GB2312"/>
          <w:kern w:val="2"/>
          <w:sz w:val="32"/>
          <w:szCs w:val="32"/>
          <w:highlight w:val="none"/>
          <w:lang w:eastAsia="zh-CN"/>
        </w:rPr>
        <w:t>39</w:t>
      </w:r>
      <w:r>
        <w:rPr>
          <w:rFonts w:hint="eastAsia" w:ascii="仿宋_GB2312" w:hAnsi="仿宋_GB2312" w:eastAsia="仿宋_GB2312" w:cs="仿宋_GB2312"/>
          <w:kern w:val="2"/>
          <w:sz w:val="32"/>
          <w:szCs w:val="32"/>
          <w:highlight w:val="none"/>
          <w:lang w:val="en-US" w:eastAsia="zh-CN"/>
        </w:rPr>
        <w:t>,</w:t>
      </w:r>
      <w:r>
        <w:rPr>
          <w:rFonts w:hint="eastAsia" w:ascii="仿宋_GB2312" w:hAnsi="仿宋_GB2312" w:eastAsia="仿宋_GB2312" w:cs="仿宋_GB2312"/>
          <w:kern w:val="2"/>
          <w:sz w:val="32"/>
          <w:szCs w:val="32"/>
          <w:highlight w:val="none"/>
          <w:lang w:eastAsia="zh-CN"/>
        </w:rPr>
        <w:t>013</w:t>
      </w:r>
      <w:r>
        <w:rPr>
          <w:rFonts w:hint="eastAsia" w:ascii="仿宋_GB2312" w:hAnsi="仿宋_GB2312" w:eastAsia="仿宋_GB2312" w:cs="仿宋_GB2312"/>
          <w:kern w:val="2"/>
          <w:sz w:val="32"/>
          <w:szCs w:val="32"/>
          <w:highlight w:val="none"/>
        </w:rPr>
        <w:t>万元，20</w:t>
      </w:r>
      <w:r>
        <w:rPr>
          <w:rFonts w:hint="eastAsia" w:ascii="仿宋_GB2312" w:hAnsi="仿宋_GB2312" w:eastAsia="仿宋_GB2312" w:cs="仿宋_GB2312"/>
          <w:kern w:val="2"/>
          <w:sz w:val="32"/>
          <w:szCs w:val="32"/>
          <w:highlight w:val="none"/>
          <w:lang w:val="en-US" w:eastAsia="zh-CN"/>
        </w:rPr>
        <w:t>24</w:t>
      </w:r>
      <w:r>
        <w:rPr>
          <w:rFonts w:hint="eastAsia" w:ascii="仿宋_GB2312" w:hAnsi="仿宋_GB2312" w:eastAsia="仿宋_GB2312" w:cs="仿宋_GB2312"/>
          <w:kern w:val="2"/>
          <w:sz w:val="32"/>
          <w:szCs w:val="32"/>
          <w:highlight w:val="none"/>
        </w:rPr>
        <w:t>年年初预算及年中预算调整根据需要动用了</w:t>
      </w:r>
      <w:r>
        <w:rPr>
          <w:rFonts w:hint="eastAsia" w:ascii="仿宋_GB2312" w:hAnsi="仿宋_GB2312" w:eastAsia="仿宋_GB2312" w:cs="仿宋_GB2312"/>
          <w:kern w:val="2"/>
          <w:sz w:val="32"/>
          <w:szCs w:val="32"/>
          <w:highlight w:val="none"/>
          <w:lang w:eastAsia="zh-CN"/>
        </w:rPr>
        <w:t>39</w:t>
      </w:r>
      <w:r>
        <w:rPr>
          <w:rFonts w:hint="eastAsia" w:ascii="仿宋_GB2312" w:hAnsi="仿宋_GB2312" w:eastAsia="仿宋_GB2312" w:cs="仿宋_GB2312"/>
          <w:kern w:val="2"/>
          <w:sz w:val="32"/>
          <w:szCs w:val="32"/>
          <w:highlight w:val="none"/>
          <w:lang w:val="en-US" w:eastAsia="zh-CN"/>
        </w:rPr>
        <w:t>,</w:t>
      </w:r>
      <w:r>
        <w:rPr>
          <w:rFonts w:hint="eastAsia" w:ascii="仿宋_GB2312" w:hAnsi="仿宋_GB2312" w:eastAsia="仿宋_GB2312" w:cs="仿宋_GB2312"/>
          <w:kern w:val="2"/>
          <w:sz w:val="32"/>
          <w:szCs w:val="32"/>
          <w:highlight w:val="none"/>
          <w:lang w:eastAsia="zh-CN"/>
        </w:rPr>
        <w:t>013</w:t>
      </w:r>
      <w:r>
        <w:rPr>
          <w:rFonts w:hint="eastAsia" w:ascii="仿宋_GB2312" w:hAnsi="仿宋_GB2312" w:eastAsia="仿宋_GB2312" w:cs="仿宋_GB2312"/>
          <w:kern w:val="2"/>
          <w:sz w:val="32"/>
          <w:szCs w:val="32"/>
          <w:highlight w:val="none"/>
        </w:rPr>
        <w:t>万元</w:t>
      </w:r>
      <w:r>
        <w:rPr>
          <w:rFonts w:hint="eastAsia" w:ascii="仿宋_GB2312" w:hAnsi="仿宋_GB2312" w:eastAsia="仿宋_GB2312" w:cs="仿宋_GB2312"/>
          <w:kern w:val="2"/>
          <w:sz w:val="32"/>
          <w:szCs w:val="32"/>
          <w:highlight w:val="none"/>
          <w:lang w:eastAsia="zh-CN"/>
        </w:rPr>
        <w:t>，年末</w:t>
      </w:r>
      <w:r>
        <w:rPr>
          <w:rFonts w:hint="eastAsia" w:ascii="仿宋_GB2312" w:hAnsi="仿宋_GB2312" w:eastAsia="仿宋_GB2312" w:cs="仿宋_GB2312"/>
          <w:kern w:val="2"/>
          <w:sz w:val="32"/>
          <w:szCs w:val="32"/>
          <w:highlight w:val="none"/>
          <w:lang w:val="en-US" w:eastAsia="zh-CN"/>
        </w:rPr>
        <w:t>安排预算稳定调节基金3,828万元</w:t>
      </w:r>
      <w:r>
        <w:rPr>
          <w:rFonts w:hint="eastAsia" w:ascii="仿宋_GB2312" w:hAnsi="仿宋_GB2312" w:eastAsia="仿宋_GB2312" w:cs="仿宋_GB2312"/>
          <w:kern w:val="2"/>
          <w:sz w:val="32"/>
          <w:szCs w:val="32"/>
          <w:highlight w:val="none"/>
        </w:rPr>
        <w:t>，截至20</w:t>
      </w:r>
      <w:r>
        <w:rPr>
          <w:rFonts w:hint="eastAsia" w:ascii="仿宋_GB2312" w:hAnsi="仿宋_GB2312" w:eastAsia="仿宋_GB2312" w:cs="仿宋_GB2312"/>
          <w:kern w:val="2"/>
          <w:sz w:val="32"/>
          <w:szCs w:val="32"/>
          <w:highlight w:val="none"/>
          <w:lang w:val="en-US" w:eastAsia="zh-CN"/>
        </w:rPr>
        <w:t>24</w:t>
      </w:r>
      <w:r>
        <w:rPr>
          <w:rFonts w:hint="eastAsia" w:ascii="仿宋_GB2312" w:hAnsi="仿宋_GB2312" w:eastAsia="仿宋_GB2312" w:cs="仿宋_GB2312"/>
          <w:kern w:val="2"/>
          <w:sz w:val="32"/>
          <w:szCs w:val="32"/>
          <w:highlight w:val="none"/>
        </w:rPr>
        <w:t>年末预算稳定调节基金余额为</w:t>
      </w:r>
      <w:r>
        <w:rPr>
          <w:rFonts w:hint="eastAsia" w:ascii="仿宋_GB2312" w:hAnsi="仿宋_GB2312" w:eastAsia="仿宋_GB2312" w:cs="仿宋_GB2312"/>
          <w:kern w:val="2"/>
          <w:sz w:val="32"/>
          <w:szCs w:val="32"/>
          <w:highlight w:val="none"/>
          <w:lang w:val="en-US" w:eastAsia="zh-CN"/>
        </w:rPr>
        <w:t>3,828</w:t>
      </w:r>
      <w:r>
        <w:rPr>
          <w:rFonts w:hint="eastAsia" w:ascii="仿宋_GB2312" w:hAnsi="仿宋_GB2312" w:eastAsia="仿宋_GB2312" w:cs="仿宋_GB2312"/>
          <w:kern w:val="2"/>
          <w:sz w:val="32"/>
          <w:szCs w:val="32"/>
          <w:highlight w:val="none"/>
        </w:rPr>
        <w:t>万元。</w:t>
      </w:r>
    </w:p>
    <w:p w14:paraId="090E0653">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二、</w:t>
      </w:r>
      <w:r>
        <w:rPr>
          <w:rFonts w:hint="eastAsia" w:ascii="黑体" w:hAnsi="黑体" w:eastAsia="黑体" w:cs="黑体"/>
          <w:sz w:val="32"/>
          <w:szCs w:val="32"/>
          <w:highlight w:val="none"/>
        </w:rPr>
        <w:t>区级政府性基金预算收支决算情况</w:t>
      </w:r>
    </w:p>
    <w:p w14:paraId="703FFC1D">
      <w:pPr>
        <w:keepNext w:val="0"/>
        <w:keepLines w:val="0"/>
        <w:pageBreakBefore w:val="0"/>
        <w:widowControl w:val="0"/>
        <w:numPr>
          <w:ilvl w:val="0"/>
          <w:numId w:val="0"/>
        </w:numPr>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年，区级政府性基金</w:t>
      </w:r>
      <w:r>
        <w:rPr>
          <w:rFonts w:hint="eastAsia" w:ascii="仿宋_GB2312" w:hAnsi="仿宋_GB2312" w:eastAsia="仿宋_GB2312" w:cs="仿宋_GB2312"/>
          <w:sz w:val="32"/>
          <w:szCs w:val="32"/>
          <w:highlight w:val="none"/>
          <w:lang w:eastAsia="zh-CN"/>
        </w:rPr>
        <w:t>预算</w:t>
      </w:r>
      <w:r>
        <w:rPr>
          <w:rFonts w:hint="eastAsia" w:ascii="仿宋_GB2312" w:hAnsi="仿宋_GB2312" w:eastAsia="仿宋_GB2312" w:cs="仿宋_GB2312"/>
          <w:sz w:val="32"/>
          <w:szCs w:val="32"/>
          <w:highlight w:val="none"/>
        </w:rPr>
        <w:t>收入</w:t>
      </w:r>
      <w:r>
        <w:rPr>
          <w:rFonts w:hint="eastAsia" w:ascii="仿宋_GB2312" w:hAnsi="仿宋_GB2312" w:eastAsia="仿宋_GB2312" w:cs="仿宋_GB2312"/>
          <w:sz w:val="32"/>
          <w:szCs w:val="32"/>
          <w:highlight w:val="none"/>
          <w:lang w:val="en-US" w:eastAsia="zh-CN"/>
        </w:rPr>
        <w:t>464,277</w:t>
      </w:r>
      <w:r>
        <w:rPr>
          <w:rFonts w:hint="eastAsia" w:ascii="仿宋_GB2312" w:hAnsi="仿宋_GB2312" w:eastAsia="仿宋_GB2312" w:cs="仿宋_GB2312"/>
          <w:sz w:val="32"/>
          <w:szCs w:val="32"/>
          <w:highlight w:val="none"/>
        </w:rPr>
        <w:t>万元，加上上年结余收入</w:t>
      </w:r>
      <w:r>
        <w:rPr>
          <w:rFonts w:hint="eastAsia" w:ascii="仿宋_GB2312" w:hAnsi="仿宋_GB2312" w:eastAsia="仿宋_GB2312" w:cs="仿宋_GB2312"/>
          <w:sz w:val="32"/>
          <w:szCs w:val="32"/>
          <w:highlight w:val="none"/>
          <w:lang w:val="en-US" w:eastAsia="zh-CN"/>
        </w:rPr>
        <w:t>13,545</w:t>
      </w:r>
      <w:r>
        <w:rPr>
          <w:rFonts w:hint="eastAsia" w:ascii="仿宋_GB2312" w:hAnsi="仿宋_GB2312" w:eastAsia="仿宋_GB2312" w:cs="仿宋_GB2312"/>
          <w:sz w:val="32"/>
          <w:szCs w:val="32"/>
          <w:highlight w:val="none"/>
        </w:rPr>
        <w:t>万元，上级补助收入</w:t>
      </w:r>
      <w:r>
        <w:rPr>
          <w:rFonts w:hint="eastAsia" w:ascii="仿宋_GB2312" w:hAnsi="仿宋_GB2312" w:eastAsia="仿宋_GB2312" w:cs="仿宋_GB2312"/>
          <w:sz w:val="32"/>
          <w:szCs w:val="32"/>
          <w:highlight w:val="none"/>
          <w:lang w:val="en-US" w:eastAsia="zh-CN"/>
        </w:rPr>
        <w:t>130,165</w:t>
      </w:r>
      <w:r>
        <w:rPr>
          <w:rFonts w:hint="eastAsia" w:ascii="仿宋_GB2312" w:hAnsi="仿宋_GB2312" w:eastAsia="仿宋_GB2312" w:cs="仿宋_GB2312"/>
          <w:sz w:val="32"/>
          <w:szCs w:val="32"/>
          <w:highlight w:val="none"/>
        </w:rPr>
        <w:t>万元，债券转贷收入</w:t>
      </w:r>
      <w:r>
        <w:rPr>
          <w:rFonts w:hint="eastAsia" w:ascii="仿宋_GB2312" w:hAnsi="仿宋_GB2312" w:eastAsia="仿宋_GB2312" w:cs="仿宋_GB2312"/>
          <w:sz w:val="32"/>
          <w:szCs w:val="32"/>
          <w:highlight w:val="none"/>
          <w:lang w:val="en-US" w:eastAsia="zh-CN"/>
        </w:rPr>
        <w:t>866,475万</w:t>
      </w:r>
      <w:r>
        <w:rPr>
          <w:rFonts w:hint="eastAsia" w:ascii="仿宋_GB2312" w:hAnsi="仿宋_GB2312" w:eastAsia="仿宋_GB2312" w:cs="仿宋_GB2312"/>
          <w:sz w:val="32"/>
          <w:szCs w:val="32"/>
          <w:highlight w:val="none"/>
        </w:rPr>
        <w:t>元，区级政府性基金总收入</w:t>
      </w:r>
      <w:r>
        <w:rPr>
          <w:rFonts w:hint="eastAsia" w:ascii="仿宋_GB2312" w:hAnsi="仿宋_GB2312" w:eastAsia="仿宋_GB2312" w:cs="仿宋_GB2312"/>
          <w:sz w:val="32"/>
          <w:szCs w:val="32"/>
          <w:highlight w:val="none"/>
          <w:lang w:val="en-US" w:eastAsia="zh-CN"/>
        </w:rPr>
        <w:t>1,474,462</w:t>
      </w:r>
      <w:r>
        <w:rPr>
          <w:rFonts w:hint="eastAsia" w:ascii="仿宋_GB2312" w:hAnsi="仿宋_GB2312" w:eastAsia="仿宋_GB2312" w:cs="仿宋_GB2312"/>
          <w:sz w:val="32"/>
          <w:szCs w:val="32"/>
          <w:highlight w:val="none"/>
        </w:rPr>
        <w:t>万元。</w:t>
      </w:r>
    </w:p>
    <w:p w14:paraId="69C6D069">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年，区级政府性基金支出</w:t>
      </w:r>
      <w:r>
        <w:rPr>
          <w:rFonts w:hint="eastAsia" w:ascii="仿宋_GB2312" w:hAnsi="仿宋_GB2312" w:eastAsia="仿宋_GB2312" w:cs="仿宋_GB2312"/>
          <w:sz w:val="32"/>
          <w:szCs w:val="32"/>
          <w:highlight w:val="none"/>
          <w:lang w:val="en-US" w:eastAsia="zh-CN"/>
        </w:rPr>
        <w:t>1,017,261</w:t>
      </w:r>
      <w:r>
        <w:rPr>
          <w:rFonts w:hint="eastAsia" w:ascii="仿宋_GB2312" w:hAnsi="仿宋_GB2312" w:eastAsia="仿宋_GB2312" w:cs="仿宋_GB2312"/>
          <w:sz w:val="32"/>
          <w:szCs w:val="32"/>
          <w:highlight w:val="none"/>
        </w:rPr>
        <w:t>万元，上解市级</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2,262</w:t>
      </w:r>
      <w:r>
        <w:rPr>
          <w:rFonts w:hint="eastAsia" w:ascii="仿宋_GB2312" w:hAnsi="仿宋_GB2312" w:eastAsia="仿宋_GB2312" w:cs="仿宋_GB2312"/>
          <w:sz w:val="32"/>
          <w:szCs w:val="32"/>
          <w:highlight w:val="none"/>
        </w:rPr>
        <w:t>万元，调出资金</w:t>
      </w:r>
      <w:r>
        <w:rPr>
          <w:rFonts w:hint="eastAsia" w:ascii="仿宋_GB2312" w:hAnsi="仿宋_GB2312" w:eastAsia="仿宋_GB2312" w:cs="仿宋_GB2312"/>
          <w:sz w:val="32"/>
          <w:szCs w:val="32"/>
          <w:highlight w:val="none"/>
          <w:lang w:val="en-US" w:eastAsia="zh-CN"/>
        </w:rPr>
        <w:t>105,290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债务还本支出</w:t>
      </w:r>
      <w:r>
        <w:rPr>
          <w:rFonts w:hint="eastAsia" w:ascii="仿宋_GB2312" w:hAnsi="仿宋_GB2312" w:eastAsia="仿宋_GB2312" w:cs="仿宋_GB2312"/>
          <w:sz w:val="32"/>
          <w:szCs w:val="32"/>
          <w:highlight w:val="none"/>
          <w:lang w:val="en-US" w:eastAsia="zh-CN"/>
        </w:rPr>
        <w:t>341,281万元，</w:t>
      </w:r>
      <w:r>
        <w:rPr>
          <w:rFonts w:hint="eastAsia" w:ascii="仿宋_GB2312" w:hAnsi="仿宋_GB2312" w:eastAsia="仿宋_GB2312" w:cs="仿宋_GB2312"/>
          <w:sz w:val="32"/>
          <w:szCs w:val="32"/>
          <w:highlight w:val="none"/>
        </w:rPr>
        <w:t>区级政府性基金总支出</w:t>
      </w:r>
      <w:r>
        <w:rPr>
          <w:rFonts w:hint="eastAsia" w:ascii="仿宋_GB2312" w:hAnsi="仿宋_GB2312" w:eastAsia="仿宋_GB2312" w:cs="仿宋_GB2312"/>
          <w:sz w:val="32"/>
          <w:szCs w:val="32"/>
          <w:highlight w:val="none"/>
          <w:lang w:val="en-US" w:eastAsia="zh-CN"/>
        </w:rPr>
        <w:t>1,466,094</w:t>
      </w:r>
      <w:r>
        <w:rPr>
          <w:rFonts w:hint="eastAsia" w:ascii="仿宋_GB2312" w:hAnsi="仿宋_GB2312" w:eastAsia="仿宋_GB2312" w:cs="仿宋_GB2312"/>
          <w:sz w:val="32"/>
          <w:szCs w:val="32"/>
          <w:highlight w:val="none"/>
        </w:rPr>
        <w:t>万元。</w:t>
      </w:r>
    </w:p>
    <w:p w14:paraId="67E71302">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收支相抵</w:t>
      </w:r>
      <w:r>
        <w:rPr>
          <w:rFonts w:hint="eastAsia" w:ascii="仿宋_GB2312" w:hAnsi="仿宋_GB2312" w:eastAsia="仿宋_GB2312" w:cs="仿宋_GB2312"/>
          <w:sz w:val="32"/>
          <w:szCs w:val="32"/>
          <w:highlight w:val="none"/>
          <w:lang w:eastAsia="zh-CN"/>
        </w:rPr>
        <w:t>后</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年区级政府性基金年终结余</w:t>
      </w:r>
      <w:r>
        <w:rPr>
          <w:rFonts w:hint="eastAsia" w:ascii="仿宋_GB2312" w:hAnsi="仿宋_GB2312" w:eastAsia="仿宋_GB2312" w:cs="仿宋_GB2312"/>
          <w:sz w:val="32"/>
          <w:szCs w:val="32"/>
          <w:highlight w:val="none"/>
          <w:lang w:val="en-US" w:eastAsia="zh-CN"/>
        </w:rPr>
        <w:t>8,368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FF"/>
          <w:sz w:val="32"/>
          <w:szCs w:val="32"/>
          <w:highlight w:val="none"/>
        </w:rPr>
        <w:t>。</w:t>
      </w:r>
    </w:p>
    <w:p w14:paraId="0EC40C16">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（一）主要收入项目决算情况</w:t>
      </w:r>
    </w:p>
    <w:p w14:paraId="26898529">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区级政府性基金</w:t>
      </w:r>
      <w:r>
        <w:rPr>
          <w:rFonts w:hint="eastAsia" w:ascii="仿宋_GB2312" w:hAnsi="仿宋_GB2312" w:eastAsia="仿宋_GB2312" w:cs="仿宋_GB2312"/>
          <w:sz w:val="32"/>
          <w:szCs w:val="32"/>
          <w:highlight w:val="none"/>
          <w:lang w:eastAsia="zh-CN"/>
        </w:rPr>
        <w:t>预算</w:t>
      </w:r>
      <w:r>
        <w:rPr>
          <w:rFonts w:hint="eastAsia" w:ascii="仿宋_GB2312" w:hAnsi="仿宋_GB2312" w:eastAsia="仿宋_GB2312" w:cs="仿宋_GB2312"/>
          <w:sz w:val="32"/>
          <w:szCs w:val="32"/>
          <w:highlight w:val="none"/>
        </w:rPr>
        <w:t>收入</w:t>
      </w:r>
      <w:r>
        <w:rPr>
          <w:rFonts w:hint="eastAsia" w:ascii="仿宋_GB2312" w:hAnsi="仿宋_GB2312" w:eastAsia="仿宋_GB2312" w:cs="仿宋_GB2312"/>
          <w:sz w:val="32"/>
          <w:szCs w:val="32"/>
          <w:highlight w:val="none"/>
          <w:lang w:val="en-US" w:eastAsia="zh-CN"/>
        </w:rPr>
        <w:t>464,277</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48.51</w:t>
      </w:r>
      <w:r>
        <w:rPr>
          <w:rFonts w:hint="eastAsia" w:ascii="仿宋_GB2312" w:hAnsi="仿宋_GB2312" w:eastAsia="仿宋_GB2312" w:cs="仿宋_GB2312"/>
          <w:sz w:val="32"/>
          <w:szCs w:val="32"/>
          <w:highlight w:val="none"/>
        </w:rPr>
        <w:t>%，完成年度预算的</w:t>
      </w:r>
      <w:r>
        <w:rPr>
          <w:rFonts w:hint="eastAsia" w:ascii="仿宋_GB2312" w:hAnsi="仿宋_GB2312" w:eastAsia="仿宋_GB2312" w:cs="仿宋_GB2312"/>
          <w:sz w:val="32"/>
          <w:szCs w:val="32"/>
          <w:highlight w:val="none"/>
          <w:lang w:val="en-US" w:eastAsia="zh-CN"/>
        </w:rPr>
        <w:t>100.57</w:t>
      </w:r>
      <w:r>
        <w:rPr>
          <w:rFonts w:hint="eastAsia" w:ascii="仿宋_GB2312" w:hAnsi="仿宋_GB2312" w:eastAsia="仿宋_GB2312" w:cs="仿宋_GB2312"/>
          <w:sz w:val="32"/>
          <w:szCs w:val="32"/>
          <w:highlight w:val="none"/>
        </w:rPr>
        <w:t>%。其中：国有土地使用权出让收入</w:t>
      </w:r>
      <w:r>
        <w:rPr>
          <w:rFonts w:hint="eastAsia" w:ascii="仿宋_GB2312" w:hAnsi="仿宋_GB2312" w:eastAsia="仿宋_GB2312" w:cs="仿宋_GB2312"/>
          <w:sz w:val="32"/>
          <w:szCs w:val="32"/>
          <w:highlight w:val="none"/>
          <w:lang w:val="en-US" w:eastAsia="zh-CN"/>
        </w:rPr>
        <w:t>361,302</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49.30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主要是土地出让收入情况不理想。</w:t>
      </w:r>
      <w:r>
        <w:rPr>
          <w:rFonts w:hint="eastAsia" w:ascii="仿宋_GB2312" w:hAnsi="仿宋_GB2312" w:eastAsia="仿宋_GB2312" w:cs="仿宋_GB2312"/>
          <w:sz w:val="32"/>
          <w:szCs w:val="32"/>
          <w:highlight w:val="none"/>
        </w:rPr>
        <w:t>其他政府性基金收入还包括：彩票公益金收入</w:t>
      </w:r>
      <w:r>
        <w:rPr>
          <w:rFonts w:hint="eastAsia" w:ascii="仿宋_GB2312" w:hAnsi="仿宋_GB2312" w:eastAsia="仿宋_GB2312" w:cs="仿宋_GB2312"/>
          <w:sz w:val="32"/>
          <w:szCs w:val="32"/>
          <w:highlight w:val="none"/>
          <w:lang w:val="en-US" w:eastAsia="zh-CN"/>
        </w:rPr>
        <w:t>4,438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w:t>
      </w:r>
      <w:r>
        <w:rPr>
          <w:rFonts w:hint="eastAsia" w:ascii="仿宋_GB2312" w:hAnsi="仿宋_GB2312" w:eastAsia="仿宋_GB2312" w:cs="仿宋_GB2312"/>
          <w:sz w:val="32"/>
          <w:szCs w:val="32"/>
          <w:highlight w:val="none"/>
          <w:lang w:val="en-US" w:eastAsia="zh-CN"/>
        </w:rPr>
        <w:t>增长34.45%</w:t>
      </w:r>
      <w:r>
        <w:rPr>
          <w:rFonts w:hint="eastAsia" w:ascii="仿宋_GB2312" w:hAnsi="仿宋_GB2312" w:eastAsia="仿宋_GB2312" w:cs="仿宋_GB2312"/>
          <w:sz w:val="32"/>
          <w:szCs w:val="32"/>
          <w:highlight w:val="none"/>
        </w:rPr>
        <w:t>；城市基础设施配套费收入</w:t>
      </w:r>
      <w:r>
        <w:rPr>
          <w:rFonts w:hint="eastAsia" w:ascii="仿宋_GB2312" w:hAnsi="仿宋_GB2312" w:eastAsia="仿宋_GB2312" w:cs="仿宋_GB2312"/>
          <w:sz w:val="32"/>
          <w:szCs w:val="32"/>
          <w:highlight w:val="none"/>
          <w:lang w:val="en-US" w:eastAsia="zh-CN"/>
        </w:rPr>
        <w:t>62,152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w:t>
      </w:r>
      <w:r>
        <w:rPr>
          <w:rFonts w:hint="eastAsia" w:ascii="仿宋_GB2312" w:hAnsi="仿宋_GB2312" w:eastAsia="仿宋_GB2312" w:cs="仿宋_GB2312"/>
          <w:sz w:val="32"/>
          <w:szCs w:val="32"/>
          <w:highlight w:val="none"/>
          <w:lang w:val="en-US" w:eastAsia="zh-CN"/>
        </w:rPr>
        <w:t>下降37.16%</w:t>
      </w:r>
      <w:r>
        <w:rPr>
          <w:rFonts w:hint="eastAsia" w:ascii="仿宋_GB2312" w:hAnsi="仿宋_GB2312" w:eastAsia="仿宋_GB2312" w:cs="仿宋_GB2312"/>
          <w:sz w:val="32"/>
          <w:szCs w:val="32"/>
          <w:highlight w:val="none"/>
        </w:rPr>
        <w:t>；污水处理费收入</w:t>
      </w:r>
      <w:r>
        <w:rPr>
          <w:rFonts w:hint="eastAsia" w:ascii="仿宋_GB2312" w:hAnsi="仿宋_GB2312" w:eastAsia="仿宋_GB2312" w:cs="仿宋_GB2312"/>
          <w:sz w:val="32"/>
          <w:szCs w:val="32"/>
          <w:highlight w:val="none"/>
          <w:lang w:val="en-US" w:eastAsia="zh-CN"/>
        </w:rPr>
        <w:t>33,434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，同比</w:t>
      </w:r>
      <w:r>
        <w:rPr>
          <w:rFonts w:hint="eastAsia" w:ascii="仿宋_GB2312" w:hAnsi="仿宋_GB2312" w:eastAsia="仿宋_GB2312" w:cs="仿宋_GB2312"/>
          <w:color w:val="auto"/>
          <w:sz w:val="32"/>
          <w:szCs w:val="32"/>
          <w:highlight w:val="none"/>
          <w:lang w:val="en-US" w:eastAsia="zh-CN"/>
        </w:rPr>
        <w:t>下降1.36%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国有土地收益基金</w:t>
      </w:r>
      <w:r>
        <w:rPr>
          <w:rFonts w:hint="eastAsia" w:ascii="仿宋_GB2312" w:hAnsi="仿宋_GB2312" w:eastAsia="仿宋_GB2312" w:cs="仿宋_GB2312"/>
          <w:color w:val="auto"/>
          <w:sz w:val="32"/>
          <w:szCs w:val="32"/>
          <w:highlight w:val="none"/>
        </w:rPr>
        <w:t>收入</w:t>
      </w:r>
      <w:r>
        <w:rPr>
          <w:rFonts w:hint="eastAsia" w:ascii="仿宋_GB2312" w:hAnsi="仿宋_GB2312" w:eastAsia="仿宋_GB2312" w:cs="仿宋_GB2312"/>
          <w:color w:val="auto"/>
          <w:sz w:val="32"/>
          <w:szCs w:val="32"/>
          <w:highlight w:val="none"/>
          <w:lang w:val="en-US" w:eastAsia="zh-CN"/>
        </w:rPr>
        <w:t>2,951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，同比</w:t>
      </w:r>
      <w:r>
        <w:rPr>
          <w:rFonts w:hint="eastAsia" w:ascii="仿宋_GB2312" w:hAnsi="仿宋_GB2312" w:eastAsia="仿宋_GB2312" w:cs="仿宋_GB2312"/>
          <w:color w:val="auto"/>
          <w:sz w:val="32"/>
          <w:szCs w:val="32"/>
          <w:highlight w:val="none"/>
          <w:lang w:val="en-US" w:eastAsia="zh-CN"/>
        </w:rPr>
        <w:t>下降57.46%</w:t>
      </w:r>
      <w:r>
        <w:rPr>
          <w:rFonts w:hint="eastAsia" w:ascii="仿宋_GB2312" w:hAnsi="仿宋_GB2312" w:eastAsia="仿宋_GB2312" w:cs="仿宋_GB2312"/>
          <w:color w:val="auto"/>
          <w:sz w:val="32"/>
          <w:szCs w:val="32"/>
          <w:highlight w:val="none"/>
        </w:rPr>
        <w:t>。</w:t>
      </w:r>
    </w:p>
    <w:p w14:paraId="67254AFC">
      <w:pPr>
        <w:pStyle w:val="2"/>
        <w:spacing w:line="54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sz w:val="32"/>
          <w:szCs w:val="32"/>
          <w:highlight w:val="none"/>
        </w:rPr>
        <w:t>上年结余收入</w:t>
      </w:r>
      <w:r>
        <w:rPr>
          <w:rFonts w:hint="eastAsia" w:ascii="仿宋_GB2312" w:hAnsi="仿宋_GB2312" w:eastAsia="仿宋_GB2312" w:cs="仿宋_GB2312"/>
          <w:sz w:val="32"/>
          <w:szCs w:val="32"/>
          <w:highlight w:val="none"/>
          <w:lang w:val="en-US" w:eastAsia="zh-CN"/>
        </w:rPr>
        <w:t>13,545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同比下降22.24%。</w:t>
      </w:r>
    </w:p>
    <w:p w14:paraId="55FB7FC5">
      <w:pPr>
        <w:pStyle w:val="2"/>
        <w:spacing w:line="54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上级补助收入</w:t>
      </w:r>
      <w:r>
        <w:rPr>
          <w:rFonts w:hint="eastAsia" w:ascii="仿宋_GB2312" w:hAnsi="仿宋_GB2312" w:eastAsia="仿宋_GB2312" w:cs="仿宋_GB2312"/>
          <w:sz w:val="32"/>
          <w:szCs w:val="32"/>
          <w:highlight w:val="none"/>
          <w:lang w:val="en-US" w:eastAsia="zh-CN"/>
        </w:rPr>
        <w:t>130,165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同比增长166.25%，主要是2024年新增番禺区水环境治理三年攻坚行动计划市级补助资金30,000万元，新增超长期特别国债转移支付17,675万元等。</w:t>
      </w:r>
    </w:p>
    <w:p w14:paraId="7A88D641">
      <w:pPr>
        <w:pStyle w:val="2"/>
        <w:spacing w:line="54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债券转贷收入</w:t>
      </w:r>
      <w:r>
        <w:rPr>
          <w:rFonts w:hint="eastAsia" w:ascii="仿宋_GB2312" w:hAnsi="仿宋_GB2312" w:eastAsia="仿宋_GB2312" w:cs="仿宋_GB2312"/>
          <w:sz w:val="32"/>
          <w:szCs w:val="32"/>
          <w:highlight w:val="none"/>
          <w:lang w:val="en-US" w:eastAsia="zh-CN"/>
        </w:rPr>
        <w:t>866,475万</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同比增长10.41%。</w:t>
      </w:r>
    </w:p>
    <w:p w14:paraId="259B1E68">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（二）主要支出项目决算情况</w:t>
      </w:r>
    </w:p>
    <w:p w14:paraId="05E817D7">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区级政府性基金支出</w:t>
      </w:r>
      <w:r>
        <w:rPr>
          <w:rFonts w:hint="eastAsia" w:ascii="仿宋_GB2312" w:hAnsi="仿宋_GB2312" w:eastAsia="仿宋_GB2312" w:cs="仿宋_GB2312"/>
          <w:sz w:val="32"/>
          <w:szCs w:val="32"/>
          <w:highlight w:val="none"/>
          <w:lang w:val="en-US" w:eastAsia="zh-CN"/>
        </w:rPr>
        <w:t>1,017,261</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9.24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完成年度预算的</w:t>
      </w:r>
      <w:r>
        <w:rPr>
          <w:rFonts w:hint="eastAsia" w:ascii="仿宋_GB2312" w:hAnsi="仿宋_GB2312" w:eastAsia="仿宋_GB2312" w:cs="仿宋_GB2312"/>
          <w:sz w:val="32"/>
          <w:szCs w:val="32"/>
          <w:highlight w:val="none"/>
          <w:lang w:val="en-US" w:eastAsia="zh-CN"/>
        </w:rPr>
        <w:t>99.18</w:t>
      </w:r>
      <w:r>
        <w:rPr>
          <w:rFonts w:hint="eastAsia" w:ascii="仿宋_GB2312" w:hAnsi="仿宋_GB2312" w:eastAsia="仿宋_GB2312" w:cs="仿宋_GB2312"/>
          <w:sz w:val="32"/>
          <w:szCs w:val="32"/>
          <w:highlight w:val="none"/>
        </w:rPr>
        <w:t>%。其中：国家电影事业发展专项资金安排的支出</w:t>
      </w:r>
      <w:r>
        <w:rPr>
          <w:rFonts w:hint="eastAsia" w:ascii="仿宋_GB2312" w:hAnsi="仿宋_GB2312" w:eastAsia="仿宋_GB2312" w:cs="仿宋_GB2312"/>
          <w:sz w:val="32"/>
          <w:szCs w:val="32"/>
          <w:highlight w:val="none"/>
          <w:lang w:val="en-US" w:eastAsia="zh-CN"/>
        </w:rPr>
        <w:t>90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，同比增长</w:t>
      </w:r>
      <w:r>
        <w:rPr>
          <w:rFonts w:hint="eastAsia" w:ascii="仿宋_GB2312" w:hAnsi="仿宋_GB2312" w:eastAsia="仿宋_GB2312" w:cs="仿宋_GB2312"/>
          <w:sz w:val="32"/>
          <w:szCs w:val="32"/>
          <w:highlight w:val="none"/>
          <w:lang w:val="en-US" w:eastAsia="zh-CN"/>
        </w:rPr>
        <w:t>109.60%</w:t>
      </w:r>
      <w:r>
        <w:rPr>
          <w:rFonts w:hint="eastAsia" w:ascii="仿宋_GB2312" w:hAnsi="仿宋_GB2312" w:eastAsia="仿宋_GB2312" w:cs="仿宋_GB2312"/>
          <w:sz w:val="32"/>
          <w:szCs w:val="32"/>
          <w:highlight w:val="none"/>
        </w:rPr>
        <w:t>；国有土地使用权出让金支出</w:t>
      </w:r>
      <w:r>
        <w:rPr>
          <w:rFonts w:hint="eastAsia" w:ascii="仿宋_GB2312" w:hAnsi="仿宋_GB2312" w:eastAsia="仿宋_GB2312" w:cs="仿宋_GB2312"/>
          <w:sz w:val="32"/>
          <w:szCs w:val="32"/>
          <w:highlight w:val="none"/>
          <w:lang w:val="en-US" w:eastAsia="zh-CN"/>
        </w:rPr>
        <w:t>264,811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，同比下降</w:t>
      </w:r>
      <w:r>
        <w:rPr>
          <w:rFonts w:hint="eastAsia" w:ascii="仿宋_GB2312" w:hAnsi="仿宋_GB2312" w:eastAsia="仿宋_GB2312" w:cs="仿宋_GB2312"/>
          <w:sz w:val="32"/>
          <w:szCs w:val="32"/>
          <w:highlight w:val="none"/>
          <w:lang w:val="en-US" w:eastAsia="zh-CN"/>
        </w:rPr>
        <w:t>47.11%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国有土地收益基金安排的支出</w:t>
      </w:r>
      <w:r>
        <w:rPr>
          <w:rFonts w:hint="eastAsia" w:ascii="仿宋_GB2312" w:hAnsi="仿宋_GB2312" w:eastAsia="仿宋_GB2312" w:cs="仿宋_GB2312"/>
          <w:sz w:val="32"/>
          <w:szCs w:val="32"/>
          <w:highlight w:val="none"/>
          <w:lang w:val="en-US" w:eastAsia="zh-CN"/>
        </w:rPr>
        <w:t>2,951万元，同比下降57.46%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农业土地开发资金安排的支出</w:t>
      </w:r>
      <w:r>
        <w:rPr>
          <w:rFonts w:hint="eastAsia" w:ascii="仿宋_GB2312" w:hAnsi="仿宋_GB2312" w:eastAsia="仿宋_GB2312" w:cs="仿宋_GB2312"/>
          <w:sz w:val="32"/>
          <w:szCs w:val="32"/>
          <w:highlight w:val="none"/>
          <w:lang w:val="en-US" w:eastAsia="zh-CN"/>
        </w:rPr>
        <w:t>212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w:t>
      </w:r>
      <w:r>
        <w:rPr>
          <w:rFonts w:hint="eastAsia" w:ascii="仿宋_GB2312" w:hAnsi="仿宋_GB2312" w:eastAsia="仿宋_GB2312" w:cs="仿宋_GB2312"/>
          <w:sz w:val="32"/>
          <w:szCs w:val="32"/>
          <w:highlight w:val="none"/>
          <w:lang w:val="en-US" w:eastAsia="zh-CN"/>
        </w:rPr>
        <w:t>增长3893.13%；</w:t>
      </w:r>
      <w:r>
        <w:rPr>
          <w:rFonts w:hint="eastAsia" w:ascii="仿宋_GB2312" w:hAnsi="仿宋_GB2312" w:eastAsia="仿宋_GB2312" w:cs="仿宋_GB2312"/>
          <w:color w:val="auto"/>
          <w:sz w:val="32"/>
          <w:szCs w:val="32"/>
          <w:highlight w:val="none"/>
          <w:lang w:val="en-US" w:eastAsia="zh-CN"/>
        </w:rPr>
        <w:t>城市基础设施配套费安排的支出44,551万元，同比增加145.65%；超长期特别国债安排的制造业相关支出9,750万元，同比净增；</w:t>
      </w:r>
      <w:r>
        <w:rPr>
          <w:rFonts w:hint="eastAsia" w:ascii="仿宋_GB2312" w:hAnsi="仿宋_GB2312" w:eastAsia="仿宋_GB2312" w:cs="仿宋_GB2312"/>
          <w:sz w:val="32"/>
          <w:szCs w:val="32"/>
          <w:highlight w:val="none"/>
        </w:rPr>
        <w:t>其他政府性基金及对应专项债务收入安排的支出</w:t>
      </w:r>
      <w:r>
        <w:rPr>
          <w:rFonts w:hint="eastAsia" w:ascii="仿宋_GB2312" w:hAnsi="仿宋_GB2312" w:eastAsia="仿宋_GB2312" w:cs="仿宋_GB2312"/>
          <w:sz w:val="32"/>
          <w:szCs w:val="32"/>
          <w:highlight w:val="none"/>
          <w:lang w:val="en-US" w:eastAsia="zh-CN"/>
        </w:rPr>
        <w:t>等591,912万元，同比增长15.40%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彩票发行销售机构业务费安排的支出</w:t>
      </w:r>
      <w:r>
        <w:rPr>
          <w:rFonts w:hint="eastAsia" w:ascii="仿宋_GB2312" w:hAnsi="仿宋_GB2312" w:eastAsia="仿宋_GB2312" w:cs="仿宋_GB2312"/>
          <w:sz w:val="32"/>
          <w:szCs w:val="32"/>
          <w:highlight w:val="none"/>
          <w:lang w:val="en-US" w:eastAsia="zh-CN"/>
        </w:rPr>
        <w:t>248万元，同比增长27.83%</w:t>
      </w:r>
      <w:r>
        <w:rPr>
          <w:rFonts w:hint="eastAsia" w:ascii="仿宋_GB2312" w:hAnsi="仿宋_GB2312" w:eastAsia="仿宋_GB2312" w:cs="仿宋_GB2312"/>
          <w:sz w:val="32"/>
          <w:szCs w:val="32"/>
          <w:highlight w:val="none"/>
          <w:lang w:eastAsia="zh-CN"/>
        </w:rPr>
        <w:t>；彩票公益金安排的支出</w:t>
      </w:r>
      <w:r>
        <w:rPr>
          <w:rFonts w:hint="eastAsia" w:ascii="仿宋_GB2312" w:hAnsi="仿宋_GB2312" w:eastAsia="仿宋_GB2312" w:cs="仿宋_GB2312"/>
          <w:sz w:val="32"/>
          <w:szCs w:val="32"/>
          <w:highlight w:val="none"/>
          <w:lang w:val="en-US" w:eastAsia="zh-CN"/>
        </w:rPr>
        <w:t>2,767万元，同比增长3.87%；超长期特别国债安排的其他支出7,846万元，同比净增；</w:t>
      </w:r>
      <w:r>
        <w:rPr>
          <w:rFonts w:hint="eastAsia" w:ascii="仿宋_GB2312" w:hAnsi="仿宋_GB2312" w:eastAsia="仿宋_GB2312" w:cs="仿宋_GB2312"/>
          <w:sz w:val="32"/>
          <w:szCs w:val="32"/>
          <w:highlight w:val="none"/>
        </w:rPr>
        <w:t>地方政府专项债务付息支出</w:t>
      </w:r>
      <w:r>
        <w:rPr>
          <w:rFonts w:hint="eastAsia" w:ascii="仿宋_GB2312" w:hAnsi="仿宋_GB2312" w:eastAsia="仿宋_GB2312" w:cs="仿宋_GB2312"/>
          <w:sz w:val="32"/>
          <w:szCs w:val="32"/>
          <w:highlight w:val="none"/>
          <w:lang w:val="en-US" w:eastAsia="zh-CN"/>
        </w:rPr>
        <w:t>91,400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，同比增长</w:t>
      </w:r>
      <w:r>
        <w:rPr>
          <w:rFonts w:hint="eastAsia" w:ascii="仿宋_GB2312" w:hAnsi="仿宋_GB2312" w:eastAsia="仿宋_GB2312" w:cs="仿宋_GB2312"/>
          <w:sz w:val="32"/>
          <w:szCs w:val="32"/>
          <w:highlight w:val="none"/>
          <w:lang w:val="en-US" w:eastAsia="zh-CN"/>
        </w:rPr>
        <w:t>16.48%；债务发行费用支出723万元，同比增长1.54%</w:t>
      </w:r>
      <w:r>
        <w:rPr>
          <w:rFonts w:hint="eastAsia" w:ascii="仿宋_GB2312" w:hAnsi="仿宋_GB2312" w:eastAsia="仿宋_GB2312" w:cs="仿宋_GB2312"/>
          <w:sz w:val="32"/>
          <w:szCs w:val="32"/>
          <w:highlight w:val="none"/>
        </w:rPr>
        <w:t>。</w:t>
      </w:r>
    </w:p>
    <w:p w14:paraId="2267B7B5">
      <w:pPr>
        <w:pStyle w:val="2"/>
        <w:spacing w:line="54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上解市级</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2,262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同比增长819.51%，主要是按上级上解要求安排支出。</w:t>
      </w:r>
    </w:p>
    <w:p w14:paraId="6380BA9B">
      <w:pPr>
        <w:pStyle w:val="2"/>
        <w:spacing w:line="54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调出资金</w:t>
      </w:r>
      <w:r>
        <w:rPr>
          <w:rFonts w:hint="eastAsia" w:ascii="仿宋_GB2312" w:hAnsi="仿宋_GB2312" w:eastAsia="仿宋_GB2312" w:cs="仿宋_GB2312"/>
          <w:sz w:val="32"/>
          <w:szCs w:val="32"/>
          <w:highlight w:val="none"/>
          <w:lang w:val="en-US" w:eastAsia="zh-CN"/>
        </w:rPr>
        <w:t>105,290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同比下降69.59%，主要是2024年土地出让收入减少，可调出资金相应减少。</w:t>
      </w:r>
    </w:p>
    <w:p w14:paraId="06BE93D2">
      <w:pPr>
        <w:pStyle w:val="2"/>
        <w:spacing w:line="54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债务还本支出</w:t>
      </w:r>
      <w:r>
        <w:rPr>
          <w:rFonts w:hint="eastAsia" w:ascii="仿宋_GB2312" w:hAnsi="仿宋_GB2312" w:eastAsia="仿宋_GB2312" w:cs="仿宋_GB2312"/>
          <w:sz w:val="32"/>
          <w:szCs w:val="32"/>
          <w:highlight w:val="none"/>
          <w:lang w:val="en-US" w:eastAsia="zh-CN"/>
        </w:rPr>
        <w:t>341,281万元，同比增长25.52%。</w:t>
      </w:r>
    </w:p>
    <w:p w14:paraId="71BD4A2D">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三、区级国有资本经营预算收支决算情况</w:t>
      </w:r>
    </w:p>
    <w:p w14:paraId="69584EE8">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我区区属国有企业以年度合并财务报表反映的归属于母公司所有者的净利润为基础，</w:t>
      </w:r>
      <w:r>
        <w:rPr>
          <w:rFonts w:hint="eastAsia" w:ascii="仿宋_GB2312" w:hAnsi="仿宋_GB2312" w:eastAsia="仿宋_GB2312" w:cs="仿宋_GB2312"/>
          <w:sz w:val="32"/>
          <w:szCs w:val="32"/>
          <w:highlight w:val="none"/>
          <w:lang w:val="en-US" w:eastAsia="zh-CN"/>
        </w:rPr>
        <w:t>在抵扣以前年度亏损和计提法定公积金及其他国家规定允许扣除的项目后，</w:t>
      </w:r>
      <w:r>
        <w:rPr>
          <w:rFonts w:hint="eastAsia" w:ascii="仿宋_GB2312" w:hAnsi="仿宋_GB2312" w:eastAsia="仿宋_GB2312" w:cs="仿宋_GB2312"/>
          <w:sz w:val="32"/>
          <w:szCs w:val="32"/>
          <w:highlight w:val="none"/>
        </w:rPr>
        <w:t>按</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%的比例上缴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一级企业股利股息收入、产权转让收入等则按100%上缴</w:t>
      </w:r>
      <w:r>
        <w:rPr>
          <w:rFonts w:hint="eastAsia" w:ascii="仿宋_GB2312" w:hAnsi="仿宋_GB2312" w:eastAsia="仿宋_GB2312" w:cs="仿宋_GB2312"/>
          <w:sz w:val="32"/>
          <w:szCs w:val="32"/>
          <w:highlight w:val="none"/>
          <w:lang w:eastAsia="zh-CN"/>
        </w:rPr>
        <w:t>，区政府有特殊上缴要求的除外</w:t>
      </w:r>
      <w:r>
        <w:rPr>
          <w:rFonts w:hint="eastAsia" w:ascii="仿宋_GB2312" w:hAnsi="仿宋_GB2312" w:eastAsia="仿宋_GB2312" w:cs="仿宋_GB2312"/>
          <w:sz w:val="32"/>
          <w:szCs w:val="32"/>
          <w:highlight w:val="none"/>
        </w:rPr>
        <w:t>。</w:t>
      </w:r>
    </w:p>
    <w:p w14:paraId="231508C5">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366091"/>
          <w:sz w:val="32"/>
          <w:szCs w:val="32"/>
          <w:highlight w:val="none"/>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年，区级国有资本经营预算收入</w:t>
      </w:r>
      <w:r>
        <w:rPr>
          <w:rFonts w:hint="eastAsia" w:ascii="仿宋_GB2312" w:hAnsi="仿宋_GB2312" w:eastAsia="仿宋_GB2312" w:cs="仿宋_GB2312"/>
          <w:color w:val="auto"/>
          <w:sz w:val="32"/>
          <w:szCs w:val="32"/>
          <w:highlight w:val="none"/>
          <w:lang w:val="en-US" w:eastAsia="zh-CN"/>
        </w:rPr>
        <w:t>25,172</w:t>
      </w:r>
      <w:r>
        <w:rPr>
          <w:rFonts w:hint="eastAsia" w:ascii="仿宋_GB2312" w:hAnsi="仿宋_GB2312" w:eastAsia="仿宋_GB2312" w:cs="仿宋_GB2312"/>
          <w:color w:val="auto"/>
          <w:sz w:val="32"/>
          <w:szCs w:val="32"/>
          <w:highlight w:val="none"/>
        </w:rPr>
        <w:t>万元，同比</w:t>
      </w:r>
      <w:r>
        <w:rPr>
          <w:rFonts w:hint="eastAsia" w:ascii="仿宋_GB2312" w:hAnsi="仿宋_GB2312" w:eastAsia="仿宋_GB2312" w:cs="仿宋_GB2312"/>
          <w:color w:val="auto"/>
          <w:sz w:val="32"/>
          <w:szCs w:val="32"/>
          <w:highlight w:val="none"/>
          <w:lang w:eastAsia="zh-CN"/>
        </w:rPr>
        <w:t>增长</w:t>
      </w:r>
      <w:r>
        <w:rPr>
          <w:rFonts w:hint="eastAsia" w:ascii="仿宋_GB2312" w:hAnsi="仿宋_GB2312" w:eastAsia="仿宋_GB2312" w:cs="仿宋_GB2312"/>
          <w:color w:val="auto"/>
          <w:sz w:val="32"/>
          <w:szCs w:val="32"/>
          <w:highlight w:val="none"/>
          <w:lang w:val="en-US" w:eastAsia="zh-CN"/>
        </w:rPr>
        <w:t>75.75</w:t>
      </w:r>
      <w:r>
        <w:rPr>
          <w:rFonts w:hint="eastAsia" w:ascii="仿宋_GB2312" w:hAnsi="仿宋_GB2312" w:eastAsia="仿宋_GB2312" w:cs="仿宋_GB2312"/>
          <w:color w:val="auto"/>
          <w:sz w:val="32"/>
          <w:szCs w:val="32"/>
          <w:highlight w:val="none"/>
        </w:rPr>
        <w:t>%，完成年度预算</w:t>
      </w:r>
      <w:r>
        <w:rPr>
          <w:rFonts w:hint="eastAsia" w:ascii="仿宋_GB2312" w:hAnsi="仿宋_GB2312" w:eastAsia="仿宋_GB2312" w:cs="仿宋_GB2312"/>
          <w:color w:val="auto"/>
          <w:sz w:val="32"/>
          <w:szCs w:val="32"/>
          <w:highlight w:val="none"/>
          <w:lang w:val="en-US" w:eastAsia="zh-CN"/>
        </w:rPr>
        <w:t>101.50</w:t>
      </w:r>
      <w:r>
        <w:rPr>
          <w:rFonts w:hint="eastAsia" w:ascii="仿宋_GB2312" w:hAnsi="仿宋_GB2312" w:eastAsia="仿宋_GB2312" w:cs="仿宋_GB2312"/>
          <w:color w:val="auto"/>
          <w:sz w:val="32"/>
          <w:szCs w:val="32"/>
          <w:highlight w:val="none"/>
        </w:rPr>
        <w:t>%。其中：利润收入</w:t>
      </w:r>
      <w:r>
        <w:rPr>
          <w:rFonts w:hint="eastAsia" w:ascii="仿宋_GB2312" w:hAnsi="仿宋_GB2312" w:eastAsia="仿宋_GB2312" w:cs="仿宋_GB2312"/>
          <w:color w:val="auto"/>
          <w:sz w:val="32"/>
          <w:szCs w:val="32"/>
          <w:highlight w:val="none"/>
          <w:lang w:val="en-US" w:eastAsia="zh-CN"/>
        </w:rPr>
        <w:t>22,172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，同比增长</w:t>
      </w:r>
      <w:r>
        <w:rPr>
          <w:rFonts w:hint="eastAsia" w:ascii="仿宋_GB2312" w:hAnsi="仿宋_GB2312" w:eastAsia="仿宋_GB2312" w:cs="仿宋_GB2312"/>
          <w:color w:val="auto"/>
          <w:sz w:val="32"/>
          <w:szCs w:val="32"/>
          <w:highlight w:val="none"/>
          <w:lang w:val="en-US" w:eastAsia="zh-CN"/>
        </w:rPr>
        <w:t>54.81%；产权转让收入3,000万元，同比净增</w:t>
      </w:r>
      <w:r>
        <w:rPr>
          <w:rFonts w:hint="eastAsia" w:ascii="仿宋_GB2312" w:hAnsi="仿宋_GB2312" w:eastAsia="仿宋_GB2312" w:cs="仿宋_GB2312"/>
          <w:color w:val="auto"/>
          <w:sz w:val="32"/>
          <w:szCs w:val="32"/>
          <w:highlight w:val="none"/>
        </w:rPr>
        <w:t>。加上</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color w:val="auto"/>
          <w:sz w:val="32"/>
          <w:szCs w:val="32"/>
          <w:highlight w:val="none"/>
          <w:lang w:val="en-US" w:eastAsia="zh-CN"/>
        </w:rPr>
        <w:t>54万元，</w:t>
      </w:r>
      <w:r>
        <w:rPr>
          <w:rFonts w:hint="eastAsia" w:ascii="仿宋_GB2312" w:hAnsi="仿宋_GB2312" w:eastAsia="仿宋_GB2312" w:cs="仿宋_GB2312"/>
          <w:color w:val="auto"/>
          <w:sz w:val="32"/>
          <w:szCs w:val="32"/>
          <w:highlight w:val="none"/>
        </w:rPr>
        <w:t>上年结余</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w:t>
      </w:r>
      <w:r>
        <w:rPr>
          <w:rFonts w:hint="eastAsia" w:ascii="仿宋_GB2312" w:hAnsi="仿宋_GB2312" w:eastAsia="仿宋_GB2312" w:cs="仿宋_GB2312"/>
          <w:color w:val="auto"/>
          <w:sz w:val="32"/>
          <w:szCs w:val="32"/>
          <w:highlight w:val="none"/>
          <w:lang w:eastAsia="zh-CN"/>
        </w:rPr>
        <w:t>元</w:t>
      </w:r>
      <w:r>
        <w:rPr>
          <w:rFonts w:hint="eastAsia" w:ascii="仿宋_GB2312" w:hAnsi="仿宋_GB2312" w:eastAsia="仿宋_GB2312" w:cs="仿宋_GB2312"/>
          <w:color w:val="auto"/>
          <w:sz w:val="32"/>
          <w:szCs w:val="32"/>
          <w:highlight w:val="none"/>
        </w:rPr>
        <w:t>后，区级国有资本经营预算总收入</w:t>
      </w:r>
      <w:r>
        <w:rPr>
          <w:rFonts w:hint="eastAsia" w:ascii="仿宋_GB2312" w:hAnsi="仿宋_GB2312" w:eastAsia="仿宋_GB2312" w:cs="仿宋_GB2312"/>
          <w:color w:val="auto"/>
          <w:sz w:val="32"/>
          <w:szCs w:val="32"/>
          <w:highlight w:val="none"/>
          <w:lang w:val="en-US" w:eastAsia="zh-CN"/>
        </w:rPr>
        <w:t>25,226</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增收</w:t>
      </w:r>
      <w:r>
        <w:rPr>
          <w:rFonts w:hint="eastAsia" w:ascii="仿宋_GB2312" w:hAnsi="仿宋_GB2312" w:eastAsia="仿宋_GB2312" w:cs="仿宋_GB2312"/>
          <w:color w:val="auto"/>
          <w:sz w:val="32"/>
          <w:szCs w:val="32"/>
          <w:highlight w:val="none"/>
        </w:rPr>
        <w:t>原因主要</w:t>
      </w:r>
      <w:r>
        <w:rPr>
          <w:rFonts w:hint="eastAsia" w:ascii="仿宋_GB2312" w:hAnsi="仿宋_GB2312" w:eastAsia="仿宋_GB2312" w:cs="仿宋_GB2312"/>
          <w:color w:val="auto"/>
          <w:sz w:val="32"/>
          <w:szCs w:val="32"/>
          <w:highlight w:val="none"/>
          <w:lang w:val="en-US" w:eastAsia="zh-CN"/>
        </w:rPr>
        <w:t>是企业同期盈利能力提升，企业净利润增长，上缴利润增加。</w:t>
      </w:r>
    </w:p>
    <w:p w14:paraId="7AF33499">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年，区级国有资本经营预算支出</w:t>
      </w:r>
      <w:r>
        <w:rPr>
          <w:rFonts w:hint="eastAsia" w:ascii="仿宋_GB2312" w:hAnsi="仿宋_GB2312" w:eastAsia="仿宋_GB2312" w:cs="仿宋_GB2312"/>
          <w:sz w:val="32"/>
          <w:szCs w:val="32"/>
          <w:highlight w:val="none"/>
          <w:lang w:val="en-US" w:eastAsia="zh-CN"/>
        </w:rPr>
        <w:t>173</w:t>
      </w:r>
      <w:r>
        <w:rPr>
          <w:rFonts w:hint="eastAsia" w:ascii="仿宋_GB2312" w:hAnsi="仿宋_GB2312" w:eastAsia="仿宋_GB2312" w:cs="仿宋_GB2312"/>
          <w:sz w:val="32"/>
          <w:szCs w:val="32"/>
          <w:highlight w:val="none"/>
        </w:rPr>
        <w:t>万元，同比</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18.60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，完成年度预算的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%，支出主要用于</w:t>
      </w:r>
      <w:r>
        <w:rPr>
          <w:rFonts w:hint="eastAsia" w:ascii="仿宋_GB2312" w:hAnsi="仿宋_GB2312" w:eastAsia="仿宋_GB2312" w:cs="仿宋_GB2312"/>
          <w:sz w:val="32"/>
          <w:szCs w:val="32"/>
          <w:highlight w:val="none"/>
          <w:lang w:eastAsia="zh-CN"/>
        </w:rPr>
        <w:t>引导基金管理费等</w:t>
      </w:r>
      <w:r>
        <w:rPr>
          <w:rFonts w:hint="eastAsia" w:ascii="仿宋_GB2312" w:hAnsi="仿宋_GB2312" w:eastAsia="仿宋_GB2312" w:cs="仿宋_GB2312"/>
          <w:sz w:val="32"/>
          <w:szCs w:val="32"/>
          <w:highlight w:val="none"/>
        </w:rPr>
        <w:t>。加上调出资金</w:t>
      </w:r>
      <w:r>
        <w:rPr>
          <w:rFonts w:hint="eastAsia" w:ascii="仿宋_GB2312" w:hAnsi="仿宋_GB2312" w:eastAsia="仿宋_GB2312" w:cs="仿宋_GB2312"/>
          <w:sz w:val="32"/>
          <w:szCs w:val="32"/>
          <w:highlight w:val="none"/>
          <w:lang w:val="en-US" w:eastAsia="zh-CN"/>
        </w:rPr>
        <w:t>25,053</w:t>
      </w:r>
      <w:r>
        <w:rPr>
          <w:rFonts w:hint="eastAsia" w:ascii="仿宋_GB2312" w:hAnsi="仿宋_GB2312" w:eastAsia="仿宋_GB2312" w:cs="仿宋_GB2312"/>
          <w:sz w:val="32"/>
          <w:szCs w:val="32"/>
          <w:highlight w:val="none"/>
        </w:rPr>
        <w:t>万元后，区级国有资本经营预算总支出</w:t>
      </w:r>
      <w:r>
        <w:rPr>
          <w:rFonts w:hint="eastAsia" w:ascii="仿宋_GB2312" w:hAnsi="仿宋_GB2312" w:eastAsia="仿宋_GB2312" w:cs="仿宋_GB2312"/>
          <w:sz w:val="32"/>
          <w:szCs w:val="32"/>
          <w:highlight w:val="none"/>
          <w:lang w:val="en-US" w:eastAsia="zh-CN"/>
        </w:rPr>
        <w:t>25,226</w:t>
      </w:r>
      <w:r>
        <w:rPr>
          <w:rFonts w:hint="eastAsia" w:ascii="仿宋_GB2312" w:hAnsi="仿宋_GB2312" w:eastAsia="仿宋_GB2312" w:cs="仿宋_GB2312"/>
          <w:sz w:val="32"/>
          <w:szCs w:val="32"/>
          <w:highlight w:val="none"/>
        </w:rPr>
        <w:t>万元。</w:t>
      </w:r>
    </w:p>
    <w:p w14:paraId="6475AF39">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收支相抵，20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年区级国有资本经营预算年终结余</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与去年同期持平。</w:t>
      </w:r>
    </w:p>
    <w:p w14:paraId="54A2ADCE">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、财政专户管理资金情况</w:t>
      </w:r>
    </w:p>
    <w:p w14:paraId="6DDB795E">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kern w:val="2"/>
          <w:sz w:val="32"/>
          <w:szCs w:val="32"/>
          <w:highlight w:val="none"/>
          <w:shd w:val="clear" w:color="auto" w:fill="auto"/>
          <w:lang w:eastAsia="zh-CN"/>
        </w:rPr>
      </w:pPr>
      <w:r>
        <w:rPr>
          <w:rFonts w:hint="eastAsia" w:ascii="仿宋_GB2312" w:hAnsi="仿宋_GB2312" w:eastAsia="仿宋_GB2312" w:cs="仿宋_GB2312"/>
          <w:color w:val="auto"/>
          <w:kern w:val="2"/>
          <w:sz w:val="32"/>
          <w:szCs w:val="32"/>
          <w:highlight w:val="none"/>
          <w:shd w:val="clear" w:color="auto" w:fill="auto"/>
          <w:lang w:eastAsia="zh-CN"/>
        </w:rPr>
        <w:t>20</w:t>
      </w:r>
      <w:r>
        <w:rPr>
          <w:rFonts w:hint="eastAsia" w:ascii="仿宋_GB2312" w:hAnsi="仿宋_GB2312" w:eastAsia="仿宋_GB2312" w:cs="仿宋_GB2312"/>
          <w:color w:val="auto"/>
          <w:kern w:val="2"/>
          <w:sz w:val="32"/>
          <w:szCs w:val="32"/>
          <w:highlight w:val="none"/>
          <w:shd w:val="clear" w:color="auto" w:fill="auto"/>
          <w:lang w:val="en-US" w:eastAsia="zh-CN"/>
        </w:rPr>
        <w:t>24</w:t>
      </w:r>
      <w:r>
        <w:rPr>
          <w:rFonts w:hint="eastAsia" w:ascii="仿宋_GB2312" w:hAnsi="仿宋_GB2312" w:eastAsia="仿宋_GB2312" w:cs="仿宋_GB2312"/>
          <w:color w:val="auto"/>
          <w:kern w:val="2"/>
          <w:sz w:val="32"/>
          <w:szCs w:val="32"/>
          <w:highlight w:val="none"/>
          <w:shd w:val="clear" w:color="auto" w:fill="auto"/>
          <w:lang w:eastAsia="zh-CN"/>
        </w:rPr>
        <w:t>年区本级财政专户管理资金收入</w:t>
      </w:r>
      <w:r>
        <w:rPr>
          <w:rFonts w:hint="eastAsia" w:ascii="仿宋_GB2312" w:hAnsi="仿宋_GB2312" w:eastAsia="仿宋_GB2312" w:cs="仿宋_GB2312"/>
          <w:color w:val="auto"/>
          <w:kern w:val="2"/>
          <w:sz w:val="32"/>
          <w:szCs w:val="32"/>
          <w:highlight w:val="none"/>
          <w:shd w:val="clear" w:color="auto" w:fill="auto"/>
          <w:lang w:val="en-US" w:eastAsia="zh-CN"/>
        </w:rPr>
        <w:t>9,344</w:t>
      </w:r>
      <w:r>
        <w:rPr>
          <w:rFonts w:hint="eastAsia" w:ascii="仿宋_GB2312" w:hAnsi="仿宋_GB2312" w:eastAsia="仿宋_GB2312" w:cs="仿宋_GB2312"/>
          <w:color w:val="auto"/>
          <w:kern w:val="2"/>
          <w:sz w:val="32"/>
          <w:szCs w:val="32"/>
          <w:highlight w:val="none"/>
          <w:shd w:val="clear" w:color="auto" w:fill="auto"/>
          <w:lang w:eastAsia="zh-CN"/>
        </w:rPr>
        <w:t>万元，同比</w:t>
      </w:r>
      <w:r>
        <w:rPr>
          <w:rFonts w:hint="eastAsia" w:ascii="仿宋_GB2312" w:hAnsi="仿宋_GB2312" w:eastAsia="仿宋_GB2312" w:cs="仿宋_GB2312"/>
          <w:color w:val="auto"/>
          <w:kern w:val="2"/>
          <w:sz w:val="32"/>
          <w:szCs w:val="32"/>
          <w:highlight w:val="none"/>
          <w:shd w:val="clear" w:color="auto" w:fill="auto"/>
          <w:lang w:val="en-US" w:eastAsia="zh-CN"/>
        </w:rPr>
        <w:t>增</w:t>
      </w:r>
      <w:r>
        <w:rPr>
          <w:rFonts w:hint="eastAsia" w:ascii="仿宋_GB2312" w:hAnsi="仿宋_GB2312" w:eastAsia="仿宋_GB2312" w:cs="仿宋_GB2312"/>
          <w:color w:val="auto"/>
          <w:kern w:val="2"/>
          <w:sz w:val="32"/>
          <w:szCs w:val="32"/>
          <w:highlight w:val="none"/>
          <w:shd w:val="clear" w:color="auto" w:fill="auto"/>
          <w:lang w:eastAsia="zh-CN"/>
        </w:rPr>
        <w:t>收</w:t>
      </w:r>
      <w:r>
        <w:rPr>
          <w:rFonts w:hint="eastAsia" w:ascii="仿宋_GB2312" w:hAnsi="仿宋_GB2312" w:eastAsia="仿宋_GB2312" w:cs="仿宋_GB2312"/>
          <w:color w:val="auto"/>
          <w:kern w:val="2"/>
          <w:sz w:val="32"/>
          <w:szCs w:val="32"/>
          <w:highlight w:val="none"/>
          <w:shd w:val="clear" w:color="auto" w:fill="auto"/>
          <w:lang w:val="en-US" w:eastAsia="zh-CN"/>
        </w:rPr>
        <w:t>309</w:t>
      </w:r>
      <w:r>
        <w:rPr>
          <w:rFonts w:hint="eastAsia" w:ascii="仿宋_GB2312" w:hAnsi="仿宋_GB2312" w:eastAsia="仿宋_GB2312" w:cs="仿宋_GB2312"/>
          <w:color w:val="auto"/>
          <w:kern w:val="2"/>
          <w:sz w:val="32"/>
          <w:szCs w:val="32"/>
          <w:highlight w:val="none"/>
          <w:shd w:val="clear" w:color="auto" w:fill="auto"/>
          <w:lang w:eastAsia="zh-CN"/>
        </w:rPr>
        <w:t>万元，</w:t>
      </w:r>
      <w:r>
        <w:rPr>
          <w:rFonts w:hint="eastAsia" w:ascii="仿宋_GB2312" w:hAnsi="仿宋_GB2312" w:eastAsia="仿宋_GB2312" w:cs="仿宋_GB2312"/>
          <w:color w:val="auto"/>
          <w:kern w:val="2"/>
          <w:sz w:val="32"/>
          <w:szCs w:val="32"/>
          <w:highlight w:val="none"/>
          <w:shd w:val="clear" w:color="auto" w:fill="auto"/>
          <w:lang w:val="en-US" w:eastAsia="zh-CN"/>
        </w:rPr>
        <w:t>增长3.42</w:t>
      </w:r>
      <w:r>
        <w:rPr>
          <w:rFonts w:hint="eastAsia" w:ascii="仿宋_GB2312" w:hAnsi="仿宋_GB2312" w:eastAsia="仿宋_GB2312" w:cs="仿宋_GB2312"/>
          <w:color w:val="auto"/>
          <w:kern w:val="2"/>
          <w:sz w:val="32"/>
          <w:szCs w:val="32"/>
          <w:highlight w:val="none"/>
          <w:shd w:val="clear" w:color="auto" w:fill="auto"/>
          <w:lang w:eastAsia="zh-CN"/>
        </w:rPr>
        <w:t>%；加上上年结余</w:t>
      </w:r>
      <w:r>
        <w:rPr>
          <w:rFonts w:hint="eastAsia" w:ascii="仿宋_GB2312" w:hAnsi="仿宋_GB2312" w:eastAsia="仿宋_GB2312" w:cs="仿宋_GB2312"/>
          <w:color w:val="auto"/>
          <w:kern w:val="2"/>
          <w:sz w:val="32"/>
          <w:szCs w:val="32"/>
          <w:highlight w:val="none"/>
          <w:shd w:val="clear" w:color="auto" w:fill="auto"/>
          <w:lang w:val="en-US" w:eastAsia="zh-CN"/>
        </w:rPr>
        <w:t>3,403</w:t>
      </w:r>
      <w:r>
        <w:rPr>
          <w:rFonts w:hint="eastAsia" w:ascii="仿宋_GB2312" w:hAnsi="仿宋_GB2312" w:eastAsia="仿宋_GB2312" w:cs="仿宋_GB2312"/>
          <w:color w:val="auto"/>
          <w:kern w:val="2"/>
          <w:sz w:val="32"/>
          <w:szCs w:val="32"/>
          <w:highlight w:val="none"/>
          <w:shd w:val="clear" w:color="auto" w:fill="auto"/>
          <w:lang w:eastAsia="zh-CN"/>
        </w:rPr>
        <w:t>万元后，区本级财政专户管理资金总收入</w:t>
      </w:r>
      <w:r>
        <w:rPr>
          <w:rFonts w:hint="eastAsia" w:ascii="仿宋_GB2312" w:hAnsi="仿宋_GB2312" w:eastAsia="仿宋_GB2312" w:cs="仿宋_GB2312"/>
          <w:color w:val="auto"/>
          <w:kern w:val="2"/>
          <w:sz w:val="32"/>
          <w:szCs w:val="32"/>
          <w:highlight w:val="none"/>
          <w:shd w:val="clear" w:color="auto" w:fill="auto"/>
          <w:lang w:val="en-US" w:eastAsia="zh-CN"/>
        </w:rPr>
        <w:t>12,747</w:t>
      </w:r>
      <w:r>
        <w:rPr>
          <w:rFonts w:hint="eastAsia" w:ascii="仿宋_GB2312" w:hAnsi="仿宋_GB2312" w:eastAsia="仿宋_GB2312" w:cs="仿宋_GB2312"/>
          <w:color w:val="auto"/>
          <w:kern w:val="2"/>
          <w:sz w:val="32"/>
          <w:szCs w:val="32"/>
          <w:highlight w:val="none"/>
          <w:shd w:val="clear" w:color="auto" w:fill="auto"/>
          <w:lang w:eastAsia="zh-CN"/>
        </w:rPr>
        <w:t>万元。</w:t>
      </w:r>
    </w:p>
    <w:p w14:paraId="3D46518A">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kern w:val="2"/>
          <w:sz w:val="32"/>
          <w:szCs w:val="32"/>
          <w:highlight w:val="none"/>
          <w:shd w:val="clear" w:color="auto" w:fill="auto"/>
          <w:lang w:eastAsia="zh-CN"/>
        </w:rPr>
      </w:pPr>
      <w:r>
        <w:rPr>
          <w:rFonts w:hint="eastAsia" w:ascii="仿宋_GB2312" w:hAnsi="仿宋_GB2312" w:eastAsia="仿宋_GB2312" w:cs="仿宋_GB2312"/>
          <w:color w:val="auto"/>
          <w:kern w:val="2"/>
          <w:sz w:val="32"/>
          <w:szCs w:val="32"/>
          <w:highlight w:val="none"/>
          <w:shd w:val="clear" w:color="auto" w:fill="auto"/>
          <w:lang w:eastAsia="zh-CN"/>
        </w:rPr>
        <w:t>20</w:t>
      </w:r>
      <w:r>
        <w:rPr>
          <w:rFonts w:hint="eastAsia" w:ascii="仿宋_GB2312" w:hAnsi="仿宋_GB2312" w:eastAsia="仿宋_GB2312" w:cs="仿宋_GB2312"/>
          <w:color w:val="auto"/>
          <w:kern w:val="2"/>
          <w:sz w:val="32"/>
          <w:szCs w:val="32"/>
          <w:highlight w:val="none"/>
          <w:shd w:val="clear" w:color="auto" w:fill="auto"/>
          <w:lang w:val="en-US" w:eastAsia="zh-CN"/>
        </w:rPr>
        <w:t>24</w:t>
      </w:r>
      <w:r>
        <w:rPr>
          <w:rFonts w:hint="eastAsia" w:ascii="仿宋_GB2312" w:hAnsi="仿宋_GB2312" w:eastAsia="仿宋_GB2312" w:cs="仿宋_GB2312"/>
          <w:color w:val="auto"/>
          <w:kern w:val="2"/>
          <w:sz w:val="32"/>
          <w:szCs w:val="32"/>
          <w:highlight w:val="none"/>
          <w:shd w:val="clear" w:color="auto" w:fill="auto"/>
          <w:lang w:eastAsia="zh-CN"/>
        </w:rPr>
        <w:t>年区本级财政专户管理资金支出</w:t>
      </w:r>
      <w:r>
        <w:rPr>
          <w:rFonts w:hint="eastAsia" w:ascii="仿宋_GB2312" w:hAnsi="仿宋_GB2312" w:eastAsia="仿宋_GB2312" w:cs="仿宋_GB2312"/>
          <w:color w:val="auto"/>
          <w:kern w:val="2"/>
          <w:sz w:val="32"/>
          <w:szCs w:val="32"/>
          <w:highlight w:val="none"/>
          <w:shd w:val="clear" w:color="auto" w:fill="auto"/>
          <w:lang w:val="en-US" w:eastAsia="zh-CN"/>
        </w:rPr>
        <w:t>9,507</w:t>
      </w:r>
      <w:r>
        <w:rPr>
          <w:rFonts w:hint="eastAsia" w:ascii="仿宋_GB2312" w:hAnsi="仿宋_GB2312" w:eastAsia="仿宋_GB2312" w:cs="仿宋_GB2312"/>
          <w:color w:val="auto"/>
          <w:kern w:val="2"/>
          <w:sz w:val="32"/>
          <w:szCs w:val="32"/>
          <w:highlight w:val="none"/>
          <w:shd w:val="clear" w:color="auto" w:fill="auto"/>
          <w:lang w:eastAsia="zh-CN"/>
        </w:rPr>
        <w:t>万元，同比减支</w:t>
      </w:r>
      <w:r>
        <w:rPr>
          <w:rFonts w:hint="eastAsia" w:ascii="仿宋_GB2312" w:hAnsi="仿宋_GB2312" w:eastAsia="仿宋_GB2312" w:cs="仿宋_GB2312"/>
          <w:color w:val="auto"/>
          <w:kern w:val="2"/>
          <w:sz w:val="32"/>
          <w:szCs w:val="32"/>
          <w:highlight w:val="none"/>
          <w:shd w:val="clear" w:color="auto" w:fill="auto"/>
          <w:lang w:val="en-US" w:eastAsia="zh-CN"/>
        </w:rPr>
        <w:t>2,220</w:t>
      </w:r>
      <w:r>
        <w:rPr>
          <w:rFonts w:hint="eastAsia" w:ascii="仿宋_GB2312" w:hAnsi="仿宋_GB2312" w:eastAsia="仿宋_GB2312" w:cs="仿宋_GB2312"/>
          <w:color w:val="auto"/>
          <w:kern w:val="2"/>
          <w:sz w:val="32"/>
          <w:szCs w:val="32"/>
          <w:highlight w:val="none"/>
          <w:shd w:val="clear" w:color="auto" w:fill="auto"/>
          <w:lang w:eastAsia="zh-CN"/>
        </w:rPr>
        <w:t>万元，下降</w:t>
      </w:r>
      <w:r>
        <w:rPr>
          <w:rFonts w:hint="eastAsia" w:ascii="仿宋_GB2312" w:hAnsi="仿宋_GB2312" w:eastAsia="仿宋_GB2312" w:cs="仿宋_GB2312"/>
          <w:color w:val="auto"/>
          <w:kern w:val="2"/>
          <w:sz w:val="32"/>
          <w:szCs w:val="32"/>
          <w:highlight w:val="none"/>
          <w:shd w:val="clear" w:color="auto" w:fill="auto"/>
          <w:lang w:val="en-US" w:eastAsia="zh-CN"/>
        </w:rPr>
        <w:t>18.93</w:t>
      </w:r>
      <w:r>
        <w:rPr>
          <w:rFonts w:hint="eastAsia" w:ascii="仿宋_GB2312" w:hAnsi="仿宋_GB2312" w:eastAsia="仿宋_GB2312" w:cs="仿宋_GB2312"/>
          <w:color w:val="auto"/>
          <w:kern w:val="2"/>
          <w:sz w:val="32"/>
          <w:szCs w:val="32"/>
          <w:highlight w:val="none"/>
          <w:shd w:val="clear" w:color="auto" w:fill="auto"/>
          <w:lang w:eastAsia="zh-CN"/>
        </w:rPr>
        <w:t>%。年终结余</w:t>
      </w:r>
      <w:r>
        <w:rPr>
          <w:rFonts w:hint="eastAsia" w:ascii="仿宋_GB2312" w:hAnsi="仿宋_GB2312" w:eastAsia="仿宋_GB2312" w:cs="仿宋_GB2312"/>
          <w:color w:val="auto"/>
          <w:kern w:val="2"/>
          <w:sz w:val="32"/>
          <w:szCs w:val="32"/>
          <w:highlight w:val="none"/>
          <w:shd w:val="clear" w:color="auto" w:fill="auto"/>
          <w:lang w:val="en-US" w:eastAsia="zh-CN"/>
        </w:rPr>
        <w:t>3,240</w:t>
      </w:r>
      <w:r>
        <w:rPr>
          <w:rFonts w:hint="eastAsia" w:ascii="仿宋_GB2312" w:hAnsi="仿宋_GB2312" w:eastAsia="仿宋_GB2312" w:cs="仿宋_GB2312"/>
          <w:color w:val="auto"/>
          <w:kern w:val="2"/>
          <w:sz w:val="32"/>
          <w:szCs w:val="32"/>
          <w:highlight w:val="none"/>
          <w:shd w:val="clear" w:color="auto" w:fill="auto"/>
          <w:lang w:eastAsia="zh-CN"/>
        </w:rPr>
        <w:t>万元。</w:t>
      </w:r>
    </w:p>
    <w:p w14:paraId="49310249">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、财</w:t>
      </w:r>
      <w:r>
        <w:rPr>
          <w:rFonts w:hint="eastAsia" w:ascii="黑体" w:hAnsi="黑体" w:eastAsia="黑体" w:cs="黑体"/>
          <w:sz w:val="32"/>
          <w:szCs w:val="32"/>
          <w:highlight w:val="none"/>
          <w:lang w:eastAsia="zh-CN"/>
        </w:rPr>
        <w:t>政转移支付决算情况</w:t>
      </w:r>
    </w:p>
    <w:p w14:paraId="5821EF54">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2024年对下级财政转移支付决算数</w:t>
      </w:r>
      <w:r>
        <w:rPr>
          <w:rFonts w:hint="eastAsia" w:ascii="仿宋_GB2312" w:hAnsi="仿宋_GB2312" w:eastAsia="仿宋_GB2312" w:cs="仿宋_GB2312"/>
          <w:sz w:val="32"/>
          <w:szCs w:val="32"/>
          <w:highlight w:val="none"/>
          <w:lang w:val="en-US" w:eastAsia="zh-CN"/>
        </w:rPr>
        <w:t>341,028</w:t>
      </w:r>
      <w:r>
        <w:rPr>
          <w:rFonts w:hint="eastAsia" w:ascii="仿宋_GB2312" w:hAnsi="仿宋_GB2312" w:eastAsia="仿宋_GB2312" w:cs="仿宋_GB2312"/>
          <w:sz w:val="32"/>
          <w:szCs w:val="32"/>
          <w:highlight w:val="none"/>
          <w:lang w:eastAsia="zh-CN"/>
        </w:rPr>
        <w:t>万元，比上年减少</w:t>
      </w:r>
      <w:r>
        <w:rPr>
          <w:rFonts w:hint="eastAsia" w:ascii="仿宋_GB2312" w:hAnsi="仿宋_GB2312" w:eastAsia="仿宋_GB2312" w:cs="仿宋_GB2312"/>
          <w:sz w:val="32"/>
          <w:szCs w:val="32"/>
          <w:highlight w:val="none"/>
          <w:lang w:val="en-US" w:eastAsia="zh-CN"/>
        </w:rPr>
        <w:t>23,493</w:t>
      </w:r>
      <w:r>
        <w:rPr>
          <w:rFonts w:hint="eastAsia" w:ascii="仿宋_GB2312" w:hAnsi="仿宋_GB2312" w:eastAsia="仿宋_GB2312" w:cs="仿宋_GB2312"/>
          <w:sz w:val="32"/>
          <w:szCs w:val="32"/>
          <w:highlight w:val="none"/>
          <w:lang w:eastAsia="zh-CN"/>
        </w:rPr>
        <w:t>万元，下降</w:t>
      </w:r>
      <w:r>
        <w:rPr>
          <w:rFonts w:hint="eastAsia" w:ascii="仿宋_GB2312" w:hAnsi="仿宋_GB2312" w:eastAsia="仿宋_GB2312" w:cs="仿宋_GB2312"/>
          <w:sz w:val="32"/>
          <w:szCs w:val="32"/>
          <w:highlight w:val="none"/>
          <w:lang w:val="en-US" w:eastAsia="zh-CN"/>
        </w:rPr>
        <w:t>6.44</w:t>
      </w:r>
      <w:r>
        <w:rPr>
          <w:rFonts w:hint="eastAsia" w:ascii="仿宋_GB2312" w:hAnsi="仿宋_GB2312" w:eastAsia="仿宋_GB2312" w:cs="仿宋_GB2312"/>
          <w:sz w:val="32"/>
          <w:szCs w:val="32"/>
          <w:highlight w:val="none"/>
          <w:lang w:eastAsia="zh-CN"/>
        </w:rPr>
        <w:t>%。其中：</w:t>
      </w:r>
    </w:p>
    <w:p w14:paraId="2BEA83F5">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（一）一般公共预算补助支出</w:t>
      </w:r>
    </w:p>
    <w:p w14:paraId="2CA245A3">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2024年一般公共预算补助支出决算数270,673万元，比上年减少29,204万元，下降9.74%。其中：</w:t>
      </w:r>
    </w:p>
    <w:p w14:paraId="515BDAB4">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返还性支出</w:t>
      </w:r>
    </w:p>
    <w:p w14:paraId="4742BEC3">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2024年对下级返还性支出决算数</w:t>
      </w:r>
      <w:r>
        <w:rPr>
          <w:rFonts w:hint="eastAsia" w:ascii="仿宋_GB2312" w:hAnsi="仿宋_GB2312" w:eastAsia="仿宋_GB2312" w:cs="仿宋_GB2312"/>
          <w:sz w:val="32"/>
          <w:szCs w:val="32"/>
          <w:highlight w:val="none"/>
          <w:lang w:val="en-US" w:eastAsia="zh-CN"/>
        </w:rPr>
        <w:t>153,110</w:t>
      </w:r>
      <w:r>
        <w:rPr>
          <w:rFonts w:hint="eastAsia" w:ascii="仿宋_GB2312" w:hAnsi="仿宋_GB2312" w:eastAsia="仿宋_GB2312" w:cs="仿宋_GB2312"/>
          <w:sz w:val="32"/>
          <w:szCs w:val="32"/>
          <w:highlight w:val="none"/>
          <w:lang w:eastAsia="zh-CN"/>
        </w:rPr>
        <w:t>万元，比上年减少3,671万元，下降2.34%。全部都是其他返还性支出。</w:t>
      </w:r>
    </w:p>
    <w:p w14:paraId="0166AD69">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一般性转移支付</w:t>
      </w:r>
    </w:p>
    <w:p w14:paraId="7704EFD4">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2024年对下级一般性转移支付决算数70,934万元，比上年减少948万元，下降1.32%。其中主要是：</w:t>
      </w:r>
    </w:p>
    <w:p w14:paraId="26ED50FA">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教育共同财政事权转移支付支出决算数70,714万元，比上年减少1,115万元，下降1.55%。</w:t>
      </w:r>
    </w:p>
    <w:p w14:paraId="6936DDBC">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农林水共同财政事权转移支付支出决算</w:t>
      </w:r>
      <w:r>
        <w:rPr>
          <w:rFonts w:hint="eastAsia" w:ascii="仿宋_GB2312" w:hAnsi="仿宋_GB2312" w:eastAsia="仿宋_GB2312" w:cs="仿宋_GB2312"/>
          <w:sz w:val="32"/>
          <w:szCs w:val="32"/>
          <w:highlight w:val="none"/>
        </w:rPr>
        <w:t>数220万元，比上年净增220万元。</w:t>
      </w:r>
    </w:p>
    <w:p w14:paraId="6C7B2978">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专项转移支付</w:t>
      </w:r>
    </w:p>
    <w:p w14:paraId="05B16BEE">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2024年对下级专项转移支付决算数46,629万元，比上年减少24,585万元，下降34.52%。其中</w:t>
      </w:r>
      <w:r>
        <w:rPr>
          <w:rFonts w:hint="eastAsia" w:ascii="仿宋_GB2312" w:hAnsi="仿宋_GB2312" w:eastAsia="仿宋_GB2312" w:cs="仿宋_GB2312"/>
          <w:sz w:val="32"/>
          <w:szCs w:val="32"/>
          <w:highlight w:val="none"/>
          <w:lang w:eastAsia="zh-CN"/>
        </w:rPr>
        <w:t>主要是</w:t>
      </w:r>
      <w:r>
        <w:rPr>
          <w:rFonts w:hint="eastAsia" w:ascii="仿宋_GB2312" w:hAnsi="仿宋_GB2312" w:eastAsia="仿宋_GB2312" w:cs="仿宋_GB2312"/>
          <w:sz w:val="32"/>
          <w:szCs w:val="32"/>
          <w:highlight w:val="none"/>
        </w:rPr>
        <w:t>：</w:t>
      </w:r>
    </w:p>
    <w:p w14:paraId="6F5F1FA3">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教育决算数27,741万元，比上年减少14,722万元，下降34.67%。</w:t>
      </w:r>
    </w:p>
    <w:p w14:paraId="70E54F3E">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农林水决算数10,782万元，比上年减少5,781万元，下降34.90%。</w:t>
      </w:r>
    </w:p>
    <w:p w14:paraId="486DDCDC">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社会保障和就业决算数2,591万元，比上年减少753万元，下降22.49%。</w:t>
      </w:r>
    </w:p>
    <w:p w14:paraId="242435FF">
      <w:pPr>
        <w:pStyle w:val="2"/>
        <w:spacing w:line="540" w:lineRule="exac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（二）政府性基金预算补助支出</w:t>
      </w:r>
    </w:p>
    <w:p w14:paraId="69784B98">
      <w:pPr>
        <w:pStyle w:val="2"/>
        <w:spacing w:line="540" w:lineRule="exac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2024年政府性基金转移支付决算数</w:t>
      </w:r>
      <w:r>
        <w:rPr>
          <w:rFonts w:hint="eastAsia" w:ascii="仿宋_GB2312" w:hAnsi="仿宋_GB2312" w:eastAsia="仿宋_GB2312" w:cs="仿宋_GB2312"/>
          <w:sz w:val="32"/>
          <w:szCs w:val="32"/>
          <w:highlight w:val="none"/>
          <w:lang w:val="en-US" w:eastAsia="zh-CN"/>
        </w:rPr>
        <w:t>70,355</w:t>
      </w:r>
      <w:r>
        <w:rPr>
          <w:rFonts w:hint="eastAsia" w:ascii="仿宋_GB2312" w:hAnsi="仿宋_GB2312" w:eastAsia="仿宋_GB2312" w:cs="仿宋_GB2312"/>
          <w:sz w:val="32"/>
          <w:szCs w:val="32"/>
          <w:highlight w:val="none"/>
          <w:lang w:eastAsia="zh-CN"/>
        </w:rPr>
        <w:t>万元，比上年增加</w:t>
      </w:r>
      <w:r>
        <w:rPr>
          <w:rFonts w:hint="eastAsia" w:ascii="仿宋_GB2312" w:hAnsi="仿宋_GB2312" w:eastAsia="仿宋_GB2312" w:cs="仿宋_GB2312"/>
          <w:sz w:val="32"/>
          <w:szCs w:val="32"/>
          <w:highlight w:val="none"/>
          <w:lang w:val="en-US" w:eastAsia="zh-CN"/>
        </w:rPr>
        <w:t>5,711</w:t>
      </w:r>
      <w:r>
        <w:rPr>
          <w:rFonts w:hint="eastAsia" w:ascii="仿宋_GB2312" w:hAnsi="仿宋_GB2312" w:eastAsia="仿宋_GB2312" w:cs="仿宋_GB2312"/>
          <w:sz w:val="32"/>
          <w:szCs w:val="32"/>
          <w:highlight w:val="none"/>
          <w:lang w:eastAsia="zh-CN"/>
        </w:rPr>
        <w:t>万元，增长</w:t>
      </w:r>
      <w:r>
        <w:rPr>
          <w:rFonts w:hint="eastAsia" w:ascii="仿宋_GB2312" w:hAnsi="仿宋_GB2312" w:eastAsia="仿宋_GB2312" w:cs="仿宋_GB2312"/>
          <w:sz w:val="32"/>
          <w:szCs w:val="32"/>
          <w:highlight w:val="none"/>
          <w:lang w:val="en-US" w:eastAsia="zh-CN"/>
        </w:rPr>
        <w:t>8.83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其中</w:t>
      </w:r>
      <w:r>
        <w:rPr>
          <w:rFonts w:hint="eastAsia" w:ascii="仿宋_GB2312" w:hAnsi="仿宋_GB2312" w:eastAsia="仿宋_GB2312" w:cs="仿宋_GB2312"/>
          <w:sz w:val="32"/>
          <w:szCs w:val="32"/>
          <w:highlight w:val="none"/>
          <w:lang w:eastAsia="zh-CN"/>
        </w:rPr>
        <w:t>主要是</w:t>
      </w:r>
      <w:r>
        <w:rPr>
          <w:rFonts w:hint="eastAsia" w:ascii="仿宋_GB2312" w:hAnsi="仿宋_GB2312" w:eastAsia="仿宋_GB2312" w:cs="仿宋_GB2312"/>
          <w:sz w:val="32"/>
          <w:szCs w:val="32"/>
          <w:highlight w:val="none"/>
        </w:rPr>
        <w:t>：</w:t>
      </w:r>
    </w:p>
    <w:p w14:paraId="032DFA1F">
      <w:pPr>
        <w:pStyle w:val="2"/>
        <w:keepNext w:val="0"/>
        <w:keepLines w:val="0"/>
        <w:pageBreakBefore w:val="0"/>
        <w:widowControl/>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城乡社区决算数23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742万元，</w:t>
      </w:r>
      <w:r>
        <w:rPr>
          <w:rFonts w:hint="eastAsia" w:ascii="仿宋_GB2312" w:hAnsi="仿宋_GB2312" w:eastAsia="仿宋_GB2312" w:cs="仿宋_GB2312"/>
          <w:sz w:val="32"/>
          <w:szCs w:val="32"/>
          <w:highlight w:val="none"/>
        </w:rPr>
        <w:t>比上年</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3,543万元，增长17.54%。</w:t>
      </w:r>
    </w:p>
    <w:p w14:paraId="327F6B07">
      <w:pPr>
        <w:pStyle w:val="2"/>
        <w:keepNext w:val="0"/>
        <w:keepLines w:val="0"/>
        <w:pageBreakBefore w:val="0"/>
        <w:widowControl/>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2.其他支出</w:t>
      </w:r>
      <w:r>
        <w:rPr>
          <w:rFonts w:hint="eastAsia" w:ascii="仿宋_GB2312" w:hAnsi="仿宋_GB2312" w:eastAsia="仿宋_GB2312" w:cs="仿宋_GB2312"/>
          <w:sz w:val="32"/>
          <w:szCs w:val="32"/>
          <w:highlight w:val="none"/>
          <w:lang w:eastAsia="zh-CN"/>
        </w:rPr>
        <w:t>决算数</w:t>
      </w:r>
      <w:r>
        <w:rPr>
          <w:rFonts w:hint="eastAsia" w:ascii="仿宋_GB2312" w:hAnsi="仿宋_GB2312" w:eastAsia="仿宋_GB2312" w:cs="仿宋_GB2312"/>
          <w:sz w:val="32"/>
          <w:szCs w:val="32"/>
          <w:highlight w:val="none"/>
          <w:lang w:val="en-US" w:eastAsia="zh-CN"/>
        </w:rPr>
        <w:t>46,499万元，</w:t>
      </w:r>
      <w:r>
        <w:rPr>
          <w:rFonts w:hint="eastAsia" w:ascii="仿宋_GB2312" w:hAnsi="仿宋_GB2312" w:eastAsia="仿宋_GB2312" w:cs="仿宋_GB2312"/>
          <w:sz w:val="32"/>
          <w:szCs w:val="32"/>
          <w:highlight w:val="none"/>
        </w:rPr>
        <w:t>比上年</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2,093万元，增长4.71%。</w:t>
      </w:r>
    </w:p>
    <w:p w14:paraId="7652FDF7">
      <w:pPr>
        <w:keepNext w:val="0"/>
        <w:keepLines w:val="0"/>
        <w:pageBreakBefore w:val="0"/>
        <w:widowControl w:val="0"/>
        <w:numPr>
          <w:ilvl w:val="0"/>
          <w:numId w:val="0"/>
        </w:numPr>
        <w:kinsoku/>
        <w:wordWrap/>
        <w:overflowPunct/>
        <w:topLinePunct w:val="0"/>
        <w:autoSpaceDE/>
        <w:autoSpaceDN/>
        <w:bidi w:val="0"/>
        <w:snapToGrid/>
        <w:spacing w:line="540" w:lineRule="exact"/>
        <w:ind w:leftChars="200" w:right="0" w:rightChars="0" w:firstLine="320" w:firstLineChars="1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区级预算调整及执行情况</w:t>
      </w:r>
    </w:p>
    <w:p w14:paraId="609EF36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根据区第十八届人大常委会第三十三次、第十八届人大常委会第三十七次会议审议通过的预算调整方案，2024</w:t>
      </w:r>
      <w:r>
        <w:rPr>
          <w:rFonts w:hint="eastAsia" w:ascii="仿宋_GB2312" w:hAnsi="仿宋_GB2312" w:eastAsia="仿宋_GB2312" w:cs="仿宋_GB2312"/>
          <w:sz w:val="32"/>
          <w:szCs w:val="32"/>
          <w:highlight w:val="none"/>
          <w:lang w:eastAsia="zh-CN"/>
        </w:rPr>
        <w:t>年全年支出预算合计调减</w:t>
      </w:r>
      <w:r>
        <w:rPr>
          <w:rFonts w:hint="eastAsia" w:ascii="仿宋_GB2312" w:hAnsi="仿宋_GB2312" w:eastAsia="仿宋_GB2312" w:cs="仿宋_GB2312"/>
          <w:sz w:val="32"/>
          <w:szCs w:val="32"/>
          <w:highlight w:val="none"/>
          <w:lang w:val="en-US" w:eastAsia="zh-CN"/>
        </w:rPr>
        <w:t>373,044万元</w:t>
      </w:r>
      <w:r>
        <w:rPr>
          <w:rFonts w:hint="eastAsia" w:ascii="仿宋_GB2312" w:hAnsi="仿宋_GB2312" w:eastAsia="仿宋_GB2312" w:cs="仿宋_GB2312"/>
          <w:sz w:val="32"/>
          <w:szCs w:val="32"/>
          <w:highlight w:val="none"/>
          <w:lang w:eastAsia="zh-CN"/>
        </w:rPr>
        <w:t>（其中：一般公共预算支出调减</w:t>
      </w:r>
      <w:r>
        <w:rPr>
          <w:rFonts w:hint="eastAsia" w:ascii="仿宋_GB2312" w:hAnsi="仿宋_GB2312" w:eastAsia="仿宋_GB2312" w:cs="仿宋_GB2312"/>
          <w:sz w:val="32"/>
          <w:szCs w:val="32"/>
          <w:highlight w:val="none"/>
          <w:lang w:val="en-US" w:eastAsia="zh-CN"/>
        </w:rPr>
        <w:t>298,572万元、政府性基金</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调减66,984万元、国有资本经营预算</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调减6,994万元、财政专户管理资金</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调减494万元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主要</w:t>
      </w:r>
      <w:r>
        <w:rPr>
          <w:rFonts w:hint="eastAsia" w:ascii="仿宋_GB2312" w:hAnsi="仿宋_GB2312" w:eastAsia="仿宋_GB2312" w:cs="仿宋_GB2312"/>
          <w:sz w:val="32"/>
          <w:szCs w:val="32"/>
          <w:highlight w:val="none"/>
          <w:lang w:val="en-US" w:eastAsia="zh-CN"/>
        </w:rPr>
        <w:t>调减</w:t>
      </w:r>
      <w:r>
        <w:rPr>
          <w:rFonts w:hint="eastAsia" w:ascii="仿宋_GB2312" w:hAnsi="仿宋_GB2312" w:eastAsia="仿宋_GB2312" w:cs="仿宋_GB2312"/>
          <w:sz w:val="32"/>
          <w:szCs w:val="32"/>
          <w:highlight w:val="none"/>
          <w:lang w:eastAsia="zh-CN"/>
        </w:rPr>
        <w:t>根据实际执行情况无法如期开展或可暂缓支出的项目预算，如土地储备专项资金、预留清理挂账资金、耕地储备指标经费、污水处理运营服务费等支出预算。</w:t>
      </w:r>
    </w:p>
    <w:p w14:paraId="3225C1B3">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仿宋_GB2312" w:hAnsi="仿宋_GB2312" w:eastAsia="黑体" w:cs="仿宋_GB2312"/>
          <w:sz w:val="32"/>
          <w:szCs w:val="32"/>
          <w:highlight w:val="none"/>
          <w:lang w:val="en-US" w:eastAsia="zh-CN"/>
        </w:rPr>
      </w:pP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highlight w:val="none"/>
        </w:rPr>
        <w:t>、经批准举借债务情况</w:t>
      </w:r>
    </w:p>
    <w:p w14:paraId="15AF2FCA">
      <w:pPr>
        <w:pStyle w:val="3"/>
        <w:keepNext w:val="0"/>
        <w:keepLines w:val="0"/>
        <w:pageBreakBefore w:val="0"/>
        <w:widowControl w:val="0"/>
        <w:tabs>
          <w:tab w:val="left" w:pos="7350"/>
        </w:tabs>
        <w:kinsoku/>
        <w:wordWrap/>
        <w:overflowPunct/>
        <w:topLinePunct w:val="0"/>
        <w:autoSpaceDE/>
        <w:autoSpaceDN/>
        <w:bidi w:val="0"/>
        <w:snapToGrid/>
        <w:spacing w:before="0" w:line="54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highlight w:val="yellow"/>
          <w:lang w:eastAsia="zh-CN"/>
        </w:rPr>
      </w:pPr>
      <w:r>
        <w:rPr>
          <w:rFonts w:hint="eastAsia" w:ascii="仿宋_GB2312" w:hAnsi="仿宋_GB2312" w:eastAsia="仿宋_GB2312" w:cs="仿宋_GB2312"/>
          <w:sz w:val="32"/>
          <w:szCs w:val="32"/>
          <w:highlight w:val="none"/>
          <w:lang w:val="en-US" w:eastAsia="zh-CN"/>
        </w:rPr>
        <w:t>我区严格贯彻落实关于加强政府债务管理和防范化解地方政府债务风险的决策部署，强化全区政府债务管理“一盘棋”工作格局，积极做好地方政府新增债券申报与支出工作，债券作用得到有效发挥，隐性债务实现零新增，稳妥统筹高质量发展和高水平安全。</w:t>
      </w:r>
    </w:p>
    <w:p w14:paraId="7F1DD378">
      <w:pPr>
        <w:keepNext w:val="0"/>
        <w:keepLines w:val="0"/>
        <w:pageBreakBefore w:val="0"/>
        <w:widowControl w:val="0"/>
        <w:numPr>
          <w:ilvl w:val="0"/>
          <w:numId w:val="1"/>
        </w:numPr>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地方政府债务限额余额情况</w:t>
      </w:r>
    </w:p>
    <w:p w14:paraId="04B5F7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right="0" w:rightChars="0" w:firstLine="640" w:firstLineChars="200"/>
        <w:jc w:val="both"/>
        <w:textAlignment w:val="auto"/>
        <w:outlineLvl w:val="9"/>
        <w:rPr>
          <w:rFonts w:hint="eastAsia" w:ascii="仿宋_GB2312" w:hAnsi="仿宋_GB2312" w:eastAsia="仿宋_GB2312" w:cs="仿宋_GB2312"/>
          <w:kern w:val="2"/>
          <w:sz w:val="32"/>
          <w:szCs w:val="32"/>
          <w:highlight w:val="yellow"/>
          <w:lang w:eastAsia="zh-CN"/>
        </w:rPr>
      </w:pPr>
      <w:r>
        <w:rPr>
          <w:rFonts w:hint="eastAsia" w:ascii="仿宋_GB2312" w:hAnsi="仿宋_GB2312" w:eastAsia="仿宋_GB2312" w:cs="仿宋_GB2312"/>
          <w:kern w:val="2"/>
          <w:sz w:val="32"/>
          <w:szCs w:val="32"/>
          <w:highlight w:val="none"/>
          <w:lang w:eastAsia="zh-CN"/>
        </w:rPr>
        <w:t>202</w:t>
      </w:r>
      <w:r>
        <w:rPr>
          <w:rFonts w:hint="eastAsia" w:ascii="仿宋_GB2312" w:hAnsi="仿宋_GB2312" w:eastAsia="仿宋_GB2312" w:cs="仿宋_GB2312"/>
          <w:kern w:val="2"/>
          <w:sz w:val="32"/>
          <w:szCs w:val="32"/>
          <w:highlight w:val="none"/>
          <w:lang w:val="en-US" w:eastAsia="zh-CN"/>
        </w:rPr>
        <w:t>4</w:t>
      </w:r>
      <w:r>
        <w:rPr>
          <w:rFonts w:hint="eastAsia" w:ascii="仿宋_GB2312" w:hAnsi="仿宋_GB2312" w:eastAsia="仿宋_GB2312" w:cs="仿宋_GB2312"/>
          <w:kern w:val="2"/>
          <w:sz w:val="32"/>
          <w:szCs w:val="32"/>
          <w:highlight w:val="none"/>
          <w:lang w:eastAsia="zh-CN"/>
        </w:rPr>
        <w:t>年全区地方政府债务限额3,651,222万元</w:t>
      </w:r>
      <w:r>
        <w:rPr>
          <w:rFonts w:hint="eastAsia" w:ascii="仿宋_GB2312" w:hAnsi="仿宋_GB2312" w:eastAsia="仿宋_GB2312" w:cs="仿宋_GB2312"/>
          <w:kern w:val="2"/>
          <w:sz w:val="32"/>
          <w:szCs w:val="32"/>
          <w:highlight w:val="none"/>
          <w:lang w:val="en-US" w:eastAsia="zh-CN"/>
        </w:rPr>
        <w:t>,</w:t>
      </w:r>
      <w:r>
        <w:rPr>
          <w:rFonts w:hint="eastAsia" w:ascii="仿宋_GB2312" w:hAnsi="仿宋_GB2312" w:eastAsia="仿宋_GB2312" w:cs="仿宋_GB2312"/>
          <w:kern w:val="2"/>
          <w:sz w:val="32"/>
          <w:szCs w:val="32"/>
          <w:highlight w:val="none"/>
          <w:lang w:eastAsia="zh-CN"/>
        </w:rPr>
        <w:t>其中：一般债务限额453,513万元、专项债务限额3,197,70</w:t>
      </w:r>
      <w:r>
        <w:rPr>
          <w:rFonts w:hint="eastAsia" w:ascii="仿宋_GB2312" w:hAnsi="仿宋_GB2312" w:eastAsia="仿宋_GB2312" w:cs="仿宋_GB2312"/>
          <w:kern w:val="2"/>
          <w:sz w:val="32"/>
          <w:szCs w:val="32"/>
          <w:highlight w:val="none"/>
          <w:lang w:val="en-US" w:eastAsia="zh-CN"/>
        </w:rPr>
        <w:t>9</w:t>
      </w:r>
      <w:r>
        <w:rPr>
          <w:rFonts w:hint="eastAsia" w:ascii="仿宋_GB2312" w:hAnsi="仿宋_GB2312" w:eastAsia="仿宋_GB2312" w:cs="仿宋_GB2312"/>
          <w:kern w:val="2"/>
          <w:sz w:val="32"/>
          <w:szCs w:val="32"/>
          <w:highlight w:val="none"/>
          <w:lang w:eastAsia="zh-CN"/>
        </w:rPr>
        <w:t>万元。全区地方政府债务余额3,624,309万元，其中：一般债务453,458万元、专项债务3,170,851万元。</w:t>
      </w:r>
    </w:p>
    <w:p w14:paraId="02B143FD">
      <w:pPr>
        <w:keepNext w:val="0"/>
        <w:keepLines w:val="0"/>
        <w:pageBreakBefore w:val="0"/>
        <w:widowControl w:val="0"/>
        <w:numPr>
          <w:ilvl w:val="0"/>
          <w:numId w:val="1"/>
        </w:numPr>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地方政府债券发行情况</w:t>
      </w:r>
    </w:p>
    <w:p w14:paraId="69C44DF1">
      <w:pPr>
        <w:pStyle w:val="3"/>
        <w:keepNext w:val="0"/>
        <w:keepLines w:val="0"/>
        <w:pageBreakBefore w:val="0"/>
        <w:widowControl w:val="0"/>
        <w:numPr>
          <w:ilvl w:val="0"/>
          <w:numId w:val="0"/>
        </w:numPr>
        <w:kinsoku/>
        <w:wordWrap/>
        <w:overflowPunct/>
        <w:topLinePunct w:val="0"/>
        <w:autoSpaceDE/>
        <w:autoSpaceDN/>
        <w:bidi w:val="0"/>
        <w:snapToGrid/>
        <w:spacing w:before="0" w:line="54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2024年发行并支出地方政府债券899,231万元，其中：一般债券32,756万元、专项债券866,475万元，主要包括：</w:t>
      </w:r>
    </w:p>
    <w:p w14:paraId="41A550A7">
      <w:pPr>
        <w:pStyle w:val="3"/>
        <w:keepNext w:val="0"/>
        <w:keepLines w:val="0"/>
        <w:pageBreakBefore w:val="0"/>
        <w:widowControl w:val="0"/>
        <w:numPr>
          <w:ilvl w:val="0"/>
          <w:numId w:val="0"/>
        </w:numPr>
        <w:kinsoku/>
        <w:wordWrap/>
        <w:overflowPunct/>
        <w:topLinePunct w:val="0"/>
        <w:autoSpaceDE/>
        <w:autoSpaceDN/>
        <w:bidi w:val="0"/>
        <w:snapToGrid/>
        <w:spacing w:before="0" w:line="54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1.地方政府新增债券562,600万元，均为专项债券，具体安排项目为：轨道交通三号线东延段工程（番禺区）32,000万元、轨道交通二十二号线工程（番禺区）28,000万元、轨道交通十二号线工程（番禺区）12,000万元、广州市城市轨道交通十八号线工程（番禺区）6,000万元、轨道交通七号线二期工程（番禺区）5,000万元、番禺区区域水环境综合治理工程195,717万元、广州市番禺中心城区综合交通换乘枢纽公共停车及配套设施综合利用建设项目48,300万元、广州市番禺总部经济集聚区基础设施及周边配套建设项目31,517万元、广州番禺国家级沿海渔港经济区建设及配套项目22,900万元、广州番禺经济技术开发区广汽基地园区配套设施工程（二期）21,830万元、番禺区中心医院医联体医疗基础设施建设项目20,000万元、广州番禺上市企业工业扩产产业园配套设施工程18,800万元、广州市番禺区新型智慧城市基础设施建设项目18,100万元、粤港澳大湾区广州国际科技创新城智慧园区配套设施品质提升工程17,309万元、广州市番禺智能制造产业园基础设施及周边配套建设项目15,159万元、广州人工智能与数字经济试验区核心区（广州大学城）基础设施及配套建设项目15,109万元、番禺备用水源及配套供水水网设施改造一体化工程13,300万元、番禺区现代教育基础设施提升工程10,000万元、广州番禺经济技术开发区上市企业工业扩产产业园配套设施工程（二期）8,589万元、番禺区工人文化宫（地下部分）工程项目6,500万元、番禺区公共卫生服务中心建设项目5,000万元、番禺区何贤医院医联体医疗基础设施改扩建项目3,400万元、番禺区中医院医联体医疗基础设施改扩建项目3,070万元、广州市番禺区“十四五”期间老旧小区改造项目3,000万元、广州番禺经济技术开发区广州新中轴（番禺段）产城融合建设项目1,100万元、广州番禺经济技术开发区城市创新走廊建设项目700万元、番禺区周边镇街核心区域人居环境整治升级工程200万元，切实形成有效实物工作量，拉动经济健康平稳发展。</w:t>
      </w:r>
    </w:p>
    <w:p w14:paraId="007C1818">
      <w:pPr>
        <w:pStyle w:val="3"/>
        <w:keepNext w:val="0"/>
        <w:keepLines w:val="0"/>
        <w:pageBreakBefore w:val="0"/>
        <w:widowControl w:val="0"/>
        <w:numPr>
          <w:ilvl w:val="0"/>
          <w:numId w:val="0"/>
        </w:numPr>
        <w:kinsoku/>
        <w:wordWrap/>
        <w:overflowPunct/>
        <w:topLinePunct w:val="0"/>
        <w:autoSpaceDE/>
        <w:autoSpaceDN/>
        <w:bidi w:val="0"/>
        <w:snapToGrid/>
        <w:spacing w:before="0" w:line="54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highlight w:val="yellow"/>
          <w:lang w:val="en-US" w:eastAsia="zh-CN"/>
        </w:rPr>
      </w:pPr>
      <w:r>
        <w:rPr>
          <w:rFonts w:hint="eastAsia" w:ascii="仿宋_GB2312" w:hAnsi="仿宋_GB2312" w:eastAsia="仿宋_GB2312" w:cs="仿宋_GB2312"/>
          <w:kern w:val="2"/>
          <w:sz w:val="32"/>
          <w:szCs w:val="32"/>
          <w:highlight w:val="none"/>
          <w:lang w:val="en-US" w:eastAsia="zh-CN"/>
        </w:rPr>
        <w:t>2.地方政府再融资债券336,631万元（包括一般债券32,756万元、专项债券303,875万元），用于按期偿还2024年到期地方政府债券本金。</w:t>
      </w:r>
    </w:p>
    <w:p w14:paraId="2141D7B0">
      <w:pPr>
        <w:pStyle w:val="3"/>
        <w:keepNext w:val="0"/>
        <w:keepLines w:val="0"/>
        <w:pageBreakBefore w:val="0"/>
        <w:widowControl w:val="0"/>
        <w:numPr>
          <w:ilvl w:val="0"/>
          <w:numId w:val="0"/>
        </w:numPr>
        <w:kinsoku/>
        <w:wordWrap/>
        <w:overflowPunct/>
        <w:topLinePunct w:val="0"/>
        <w:autoSpaceDE/>
        <w:autoSpaceDN/>
        <w:bidi w:val="0"/>
        <w:snapToGrid/>
        <w:spacing w:before="0" w:line="540" w:lineRule="exact"/>
        <w:ind w:left="0" w:leftChars="0" w:right="0" w:rightChars="0" w:firstLine="640" w:firstLineChars="200"/>
        <w:jc w:val="both"/>
        <w:textAlignment w:val="auto"/>
        <w:outlineLvl w:val="9"/>
        <w:rPr>
          <w:rFonts w:hint="eastAsia" w:ascii="楷体_GB2312" w:hAnsi="楷体_GB2312" w:eastAsia="楷体_GB2312" w:cs="楷体_GB2312"/>
          <w:kern w:val="2"/>
          <w:sz w:val="32"/>
          <w:szCs w:val="32"/>
          <w:highlight w:val="none"/>
          <w:lang w:val="en-US" w:eastAsia="zh-CN"/>
        </w:rPr>
      </w:pPr>
      <w:r>
        <w:rPr>
          <w:rFonts w:hint="eastAsia" w:ascii="楷体_GB2312" w:hAnsi="楷体_GB2312" w:eastAsia="楷体_GB2312" w:cs="楷体_GB2312"/>
          <w:kern w:val="2"/>
          <w:sz w:val="32"/>
          <w:szCs w:val="32"/>
          <w:highlight w:val="none"/>
          <w:lang w:val="en-US" w:eastAsia="zh-CN"/>
        </w:rPr>
        <w:t>（三）地方政府债券还本付息情况</w:t>
      </w:r>
    </w:p>
    <w:p w14:paraId="388F926E">
      <w:pPr>
        <w:pStyle w:val="3"/>
        <w:keepNext w:val="0"/>
        <w:keepLines w:val="0"/>
        <w:pageBreakBefore w:val="0"/>
        <w:widowControl w:val="0"/>
        <w:numPr>
          <w:ilvl w:val="0"/>
          <w:numId w:val="0"/>
        </w:numPr>
        <w:kinsoku/>
        <w:wordWrap/>
        <w:overflowPunct/>
        <w:topLinePunct w:val="0"/>
        <w:autoSpaceDE/>
        <w:autoSpaceDN/>
        <w:bidi w:val="0"/>
        <w:snapToGrid/>
        <w:spacing w:before="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2024年区本级财政共统筹安排地方政府债券还本付息480,432万元，其中：还本支出374,037万元、付息支出106,395万元。资金来源包括：一般公共预算支出14,995万元、政府性基金支出128,806万元、再融资债券336,631万元</w:t>
      </w:r>
      <w:r>
        <w:rPr>
          <w:rFonts w:hint="eastAsia" w:ascii="仿宋_GB2312" w:hAnsi="仿宋_GB2312" w:eastAsia="仿宋_GB2312" w:cs="仿宋_GB2312"/>
          <w:sz w:val="32"/>
          <w:szCs w:val="32"/>
          <w:highlight w:val="none"/>
          <w:lang w:val="en-US" w:eastAsia="zh-CN"/>
        </w:rPr>
        <w:t>。</w:t>
      </w:r>
    </w:p>
    <w:p w14:paraId="5CFA6AED">
      <w:pPr>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leftChars="200" w:right="0" w:rightChars="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 xml:space="preserve"> 八、超长期特别国债情况</w:t>
      </w:r>
    </w:p>
    <w:p w14:paraId="66137E15">
      <w:pPr>
        <w:pStyle w:val="2"/>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highlight w:val="none"/>
          <w:lang w:val="en-US" w:eastAsia="zh-CN"/>
        </w:rPr>
        <w:t>2024年，全区收到上级下达超长期特别国债资金共计17,675万元，具体项目及金额为：番禺区第六人民医院医疗环境升级改造项目2,400万元、番禺区第八人民医院改造项目1,230万元、番禺区大龙中学新教学楼建设工程400万元、广州长隆旅游度假区设备更新项目400万元、住宅老旧电梯更新项目75万元、推动大规模设备更新和消费品以旧换新领域项目3,420万元、广汽埃安智造中心智能化改造项目9,750万元。全年支出17,596万元，年终结余79万元。</w:t>
      </w:r>
    </w:p>
    <w:p w14:paraId="2AF52A66">
      <w:pPr>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leftChars="200" w:right="0" w:rightChars="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重大政策和重点项目支出成效</w:t>
      </w:r>
    </w:p>
    <w:p w14:paraId="4AB27EEF">
      <w:pPr>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leftChars="0" w:right="0" w:rightChars="0" w:firstLine="640" w:firstLineChars="200"/>
        <w:jc w:val="both"/>
        <w:textAlignment w:val="auto"/>
        <w:outlineLvl w:val="9"/>
        <w:rPr>
          <w:rFonts w:hint="eastAsia" w:ascii="仿宋_GB2312" w:hAnsi="仿宋_GB2312" w:eastAsia="仿宋_GB2312" w:cs="仿宋_GB2312"/>
          <w:color w:val="000000"/>
          <w:kern w:val="2"/>
          <w:sz w:val="32"/>
          <w:szCs w:val="32"/>
          <w:highlight w:val="yellow"/>
          <w:lang w:val="en-US" w:eastAsia="zh-CN"/>
        </w:rPr>
      </w:pP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kern w:val="2"/>
          <w:sz w:val="32"/>
          <w:szCs w:val="32"/>
          <w:highlight w:val="none"/>
          <w:lang w:eastAsia="zh-CN"/>
        </w:rPr>
        <w:t>我区坚持统筹好发展和安全，认真开展支出政策评估梳理，不断优化支出结构，加强对重大战略任务的财力保障，推动现代化建设取得新进展。</w:t>
      </w:r>
    </w:p>
    <w:p w14:paraId="0E223F7D">
      <w:pPr>
        <w:keepNext w:val="0"/>
        <w:keepLines w:val="0"/>
        <w:pageBreakBefore w:val="0"/>
        <w:widowControl w:val="0"/>
        <w:numPr>
          <w:ilvl w:val="0"/>
          <w:numId w:val="2"/>
        </w:numPr>
        <w:kinsoku/>
        <w:wordWrap/>
        <w:overflowPunct/>
        <w:topLinePunct w:val="0"/>
        <w:autoSpaceDE/>
        <w:autoSpaceDN/>
        <w:bidi w:val="0"/>
        <w:adjustRightInd w:val="0"/>
        <w:snapToGrid/>
        <w:spacing w:line="540" w:lineRule="exact"/>
        <w:ind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空间规划布局优化提升，</w:t>
      </w:r>
      <w:r>
        <w:rPr>
          <w:rFonts w:hint="eastAsia" w:ascii="楷体_GB2312" w:hAnsi="楷体_GB2312" w:eastAsia="楷体_GB2312" w:cs="楷体_GB2312"/>
          <w:sz w:val="32"/>
          <w:szCs w:val="32"/>
          <w:highlight w:val="none"/>
          <w:lang w:val="en-US" w:eastAsia="zh-CN"/>
        </w:rPr>
        <w:t>重大功能平台建设提速增效</w:t>
      </w:r>
    </w:p>
    <w:p w14:paraId="278037F9">
      <w:pPr>
        <w:keepNext w:val="0"/>
        <w:keepLines w:val="0"/>
        <w:pageBreakBefore w:val="0"/>
        <w:widowControl w:val="0"/>
        <w:numPr>
          <w:ilvl w:val="-1"/>
          <w:numId w:val="0"/>
        </w:numPr>
        <w:kinsoku/>
        <w:wordWrap/>
        <w:overflowPunct/>
        <w:topLinePunct w:val="0"/>
        <w:autoSpaceDE/>
        <w:autoSpaceDN/>
        <w:bidi w:val="0"/>
        <w:adjustRightInd w:val="0"/>
        <w:snapToGrid/>
        <w:spacing w:line="540" w:lineRule="exact"/>
        <w:ind w:leftChars="0" w:right="0" w:rightChars="0" w:firstLine="640" w:firstLineChars="200"/>
        <w:jc w:val="both"/>
        <w:textAlignment w:val="auto"/>
        <w:outlineLvl w:val="9"/>
        <w:rPr>
          <w:rFonts w:hint="default"/>
          <w:sz w:val="32"/>
          <w:szCs w:val="32"/>
          <w:highlight w:val="yellow"/>
          <w:lang w:val="en-US" w:eastAsia="zh-CN"/>
        </w:rPr>
      </w:pPr>
      <w:r>
        <w:rPr>
          <w:rFonts w:hint="eastAsia" w:ascii="仿宋_GB2312" w:hAnsi="仿宋_GB2312" w:eastAsia="仿宋_GB2312" w:cs="仿宋_GB2312"/>
          <w:sz w:val="32"/>
          <w:szCs w:val="32"/>
          <w:highlight w:val="none"/>
          <w:lang w:val="en-US" w:eastAsia="zh-CN"/>
        </w:rPr>
        <w:t>2024年</w:t>
      </w:r>
      <w:r>
        <w:rPr>
          <w:rFonts w:hint="eastAsia" w:ascii="仿宋_GB2312" w:hAnsi="仿宋_GB2312" w:eastAsia="仿宋_GB2312" w:cs="仿宋_GB2312"/>
          <w:b w:val="0"/>
          <w:bCs w:val="0"/>
          <w:color w:val="auto"/>
          <w:kern w:val="0"/>
          <w:sz w:val="32"/>
          <w:szCs w:val="32"/>
          <w:highlight w:val="none"/>
          <w:lang w:val="en-US" w:eastAsia="zh-CN" w:bidi="ar-SA"/>
        </w:rPr>
        <w:t>共投入376,583万元主要用于稳步推进广州新中轴番禺段建设</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color w:val="auto"/>
          <w:kern w:val="0"/>
          <w:sz w:val="32"/>
          <w:szCs w:val="32"/>
          <w:highlight w:val="none"/>
          <w:lang w:val="en-US" w:eastAsia="zh-CN" w:bidi="ar-SA"/>
        </w:rPr>
        <w:t>主要包括安排轨道交通三号线东延段、二十二号线和十二号线等轨道交通工程83,000万元，完善轨道交通网络。安排</w:t>
      </w:r>
      <w:r>
        <w:rPr>
          <w:rFonts w:hint="eastAsia" w:ascii="仿宋_GB2312" w:hAnsi="仿宋_GB2312" w:eastAsia="仿宋_GB2312" w:cs="仿宋_GB2312"/>
          <w:b w:val="0"/>
          <w:bCs w:val="0"/>
          <w:color w:val="auto"/>
          <w:sz w:val="32"/>
          <w:szCs w:val="32"/>
          <w:u w:val="none" w:color="auto"/>
          <w:lang w:val="en-US" w:eastAsia="zh-CN"/>
        </w:rPr>
        <w:t>南大干线土地整治相关项目82,373万元，</w:t>
      </w:r>
      <w:r>
        <w:rPr>
          <w:rFonts w:hint="eastAsia" w:ascii="仿宋_GB2312" w:hAnsi="仿宋_GB2312" w:eastAsia="仿宋_GB2312" w:cs="仿宋_GB2312"/>
          <w:b w:val="0"/>
          <w:bCs w:val="0"/>
          <w:color w:val="auto"/>
          <w:kern w:val="0"/>
          <w:sz w:val="32"/>
          <w:szCs w:val="32"/>
          <w:highlight w:val="none"/>
          <w:lang w:val="en-US" w:eastAsia="zh-CN" w:bidi="ar-SA"/>
        </w:rPr>
        <w:t>全力促进南大干线经济带能级提升。安排广州市番禺中心城区综合交通换乘枢纽公共停车及配套设施综合利用建设项目38,300万元，提升番禺广场地块基础设施综合服务能力</w:t>
      </w:r>
      <w:r>
        <w:rPr>
          <w:rFonts w:hint="eastAsia" w:ascii="仿宋_GB2312" w:hAnsi="仿宋_GB2312" w:eastAsia="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kern w:val="0"/>
          <w:sz w:val="32"/>
          <w:szCs w:val="32"/>
          <w:highlight w:val="none"/>
          <w:lang w:val="en-US" w:eastAsia="zh-CN" w:bidi="ar-SA"/>
        </w:rPr>
        <w:t>安排莲花大道(番禺大道至城区大道）工程19,849万元，S296（海鸥公路）扩建工程11,157万元，建设海灏生物科技总部科学园周边道路5,336万元，景观大道（莲花大道-S362线）工程8,263万元，优化提升空间规划布局。安排总部经济集聚区基础设施及周边配套建设项目31,517万元，广州人工智能与数字经济试验区核心区（广州大学城）基础设施及配套建设项目15,109万元，推动重大功能平台建设提速增效。</w:t>
      </w:r>
    </w:p>
    <w:p w14:paraId="383CDB37">
      <w:pPr>
        <w:pStyle w:val="2"/>
        <w:keepNext w:val="0"/>
        <w:keepLines w:val="0"/>
        <w:pageBreakBefore w:val="0"/>
        <w:widowControl w:val="0"/>
        <w:kinsoku/>
        <w:wordWrap/>
        <w:overflowPunct/>
        <w:topLinePunct w:val="0"/>
        <w:autoSpaceDE/>
        <w:autoSpaceDN/>
        <w:bidi w:val="0"/>
        <w:adjustRightInd/>
        <w:snapToGrid/>
        <w:spacing w:line="540" w:lineRule="exact"/>
        <w:ind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（二）持续提升创新动能，科技引领经济高质量发展</w:t>
      </w:r>
    </w:p>
    <w:p w14:paraId="74D8A085">
      <w:pPr>
        <w:pStyle w:val="2"/>
        <w:keepNext w:val="0"/>
        <w:keepLines w:val="0"/>
        <w:pageBreakBefore w:val="0"/>
        <w:widowControl w:val="0"/>
        <w:kinsoku/>
        <w:wordWrap/>
        <w:overflowPunct/>
        <w:topLinePunct w:val="0"/>
        <w:autoSpaceDE/>
        <w:autoSpaceDN/>
        <w:bidi w:val="0"/>
        <w:adjustRightInd/>
        <w:snapToGrid/>
        <w:spacing w:line="540" w:lineRule="exact"/>
        <w:ind w:leftChars="0" w:right="0" w:rightChars="0" w:firstLine="640" w:firstLineChars="200"/>
        <w:jc w:val="both"/>
        <w:textAlignment w:val="auto"/>
        <w:outlineLvl w:val="9"/>
        <w:rPr>
          <w:rFonts w:hint="default"/>
          <w:b w:val="0"/>
          <w:bCs w:val="0"/>
          <w:sz w:val="32"/>
          <w:szCs w:val="32"/>
          <w:highlight w:val="yellow"/>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2024年共投入144,852万元主要用于加快发展壮大优势产业，加快形成新的经济增长点。主要包括</w:t>
      </w:r>
      <w:r>
        <w:rPr>
          <w:rFonts w:hint="eastAsia" w:ascii="仿宋_GB2312" w:hAnsi="仿宋_GB2312" w:eastAsia="仿宋_GB2312" w:cs="仿宋_GB2312"/>
          <w:color w:val="auto"/>
          <w:sz w:val="32"/>
          <w:szCs w:val="32"/>
          <w:highlight w:val="none"/>
          <w:lang w:val="en-US" w:eastAsia="zh-CN"/>
        </w:rPr>
        <w:t>安排广汽埃安电池和电驱等</w:t>
      </w:r>
      <w:r>
        <w:rPr>
          <w:rFonts w:hint="eastAsia" w:ascii="仿宋_GB2312" w:hAnsi="仿宋_GB2312" w:eastAsia="仿宋_GB2312" w:cs="仿宋_GB2312"/>
          <w:b w:val="0"/>
          <w:bCs w:val="0"/>
          <w:color w:val="auto"/>
          <w:kern w:val="0"/>
          <w:sz w:val="32"/>
          <w:szCs w:val="32"/>
          <w:highlight w:val="none"/>
          <w:lang w:val="en-US" w:eastAsia="zh-CN" w:bidi="ar-SA"/>
        </w:rPr>
        <w:t>汽车产业项目扶持资金76,858万元</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kern w:val="0"/>
          <w:sz w:val="32"/>
          <w:szCs w:val="32"/>
          <w:highlight w:val="none"/>
          <w:lang w:val="en-US" w:eastAsia="zh-CN" w:bidi="ar-SA"/>
        </w:rPr>
        <w:t>进一步巩固我区汽车产业综合优势，抢抓发展机遇，加快推动产业转型和结构调整，强化产业链供应链安全，提升产业能级和核心竞争力。</w:t>
      </w:r>
      <w:r>
        <w:rPr>
          <w:rFonts w:hint="eastAsia" w:ascii="仿宋_GB2312" w:hAnsi="仿宋_GB2312" w:eastAsia="仿宋_GB2312" w:cs="仿宋_GB2312"/>
          <w:color w:val="auto"/>
          <w:sz w:val="32"/>
          <w:szCs w:val="32"/>
          <w:highlight w:val="none"/>
          <w:lang w:val="en-US" w:eastAsia="zh-CN"/>
        </w:rPr>
        <w:t>安排复甦新村（一期）安置区ABC区项目14,340万元，</w:t>
      </w:r>
      <w:r>
        <w:rPr>
          <w:rFonts w:hint="eastAsia" w:ascii="仿宋_GB2312" w:hAnsi="仿宋_GB2312" w:eastAsia="仿宋_GB2312" w:cs="仿宋_GB2312"/>
          <w:b w:val="0"/>
          <w:bCs w:val="0"/>
          <w:color w:val="auto"/>
          <w:kern w:val="0"/>
          <w:sz w:val="32"/>
          <w:szCs w:val="32"/>
          <w:highlight w:val="none"/>
          <w:lang w:val="en-US" w:eastAsia="zh-CN" w:bidi="ar-SA"/>
        </w:rPr>
        <w:t>支持建设番禺经济技术开发区广汽基地园区配套设施工程</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kern w:val="0"/>
          <w:sz w:val="32"/>
          <w:szCs w:val="32"/>
          <w:highlight w:val="none"/>
          <w:lang w:val="en-US" w:eastAsia="zh-CN" w:bidi="ar-SA"/>
        </w:rPr>
        <w:t>安排新型智慧城市基础设施建设项目8,999万元，促进城市品质逐步提升。</w:t>
      </w:r>
      <w:r>
        <w:rPr>
          <w:rFonts w:hint="eastAsia" w:ascii="仿宋_GB2312" w:hAnsi="仿宋_GB2312" w:eastAsia="仿宋_GB2312" w:cs="仿宋_GB2312"/>
          <w:color w:val="auto"/>
          <w:sz w:val="32"/>
          <w:szCs w:val="32"/>
          <w:highlight w:val="none"/>
          <w:lang w:val="en-US" w:eastAsia="zh-CN"/>
        </w:rPr>
        <w:t>安排支持汽车扩生产促消费、新能源汽车购置</w:t>
      </w:r>
      <w:r>
        <w:rPr>
          <w:rFonts w:hint="eastAsia" w:ascii="仿宋_GB2312" w:hAnsi="仿宋_GB2312" w:eastAsia="仿宋_GB2312" w:cs="仿宋_GB2312"/>
          <w:b w:val="0"/>
          <w:bCs w:val="0"/>
          <w:color w:val="auto"/>
          <w:kern w:val="0"/>
          <w:sz w:val="32"/>
          <w:szCs w:val="32"/>
          <w:highlight w:val="none"/>
          <w:lang w:val="en-US" w:eastAsia="zh-CN" w:bidi="ar-SA"/>
        </w:rPr>
        <w:t>等项目补贴资金11,424万元，推动大规模设备更新和消费品以旧换新13,170万元，推动全区产业升级改造、释放投资消费潜力，加快发展新质生产力。</w:t>
      </w:r>
      <w:r>
        <w:rPr>
          <w:rFonts w:hint="eastAsia" w:ascii="仿宋_GB2312" w:hAnsi="仿宋_GB2312" w:eastAsia="仿宋_GB2312" w:cs="仿宋_GB2312"/>
          <w:color w:val="auto"/>
          <w:sz w:val="32"/>
          <w:szCs w:val="32"/>
          <w:highlight w:val="none"/>
          <w:lang w:val="en-US" w:eastAsia="zh-CN"/>
        </w:rPr>
        <w:t>安排广州人工智能与数字经济试验区核心区（广州大学城）基础设施及配套建设项目经费15,109万元，助力打造粤港澳大湾区数字经济创新引擎。</w:t>
      </w:r>
    </w:p>
    <w:p w14:paraId="79F6A6F8">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b w:val="0"/>
          <w:bCs w:val="0"/>
          <w:sz w:val="32"/>
          <w:szCs w:val="32"/>
          <w:highlight w:val="yellow"/>
          <w:lang w:val="en-US" w:eastAsia="zh-CN"/>
        </w:rPr>
      </w:pPr>
      <w:r>
        <w:rPr>
          <w:rFonts w:hint="eastAsia" w:ascii="楷体_GB2312" w:hAnsi="楷体_GB2312" w:eastAsia="楷体_GB2312" w:cs="楷体_GB2312"/>
          <w:b w:val="0"/>
          <w:bCs w:val="0"/>
          <w:sz w:val="32"/>
          <w:szCs w:val="32"/>
          <w:highlight w:val="none"/>
          <w:lang w:val="en-US" w:eastAsia="zh-CN"/>
        </w:rPr>
        <w:t>（三）</w:t>
      </w:r>
      <w:r>
        <w:rPr>
          <w:rFonts w:hint="eastAsia" w:ascii="楷体_GB2312" w:hAnsi="楷体_GB2312" w:eastAsia="楷体_GB2312" w:cs="楷体_GB2312"/>
          <w:b w:val="0"/>
          <w:bCs w:val="0"/>
          <w:color w:val="000000"/>
          <w:sz w:val="32"/>
          <w:szCs w:val="32"/>
          <w:highlight w:val="none"/>
          <w:lang w:val="en-US" w:eastAsia="zh-CN"/>
        </w:rPr>
        <w:t>生态环境质量日益改善</w:t>
      </w:r>
      <w:r>
        <w:rPr>
          <w:rFonts w:hint="eastAsia" w:ascii="楷体_GB2312" w:hAnsi="楷体_GB2312" w:eastAsia="楷体_GB2312" w:cs="楷体_GB2312"/>
          <w:b w:val="0"/>
          <w:bCs w:val="0"/>
          <w:sz w:val="32"/>
          <w:szCs w:val="32"/>
          <w:highlight w:val="none"/>
          <w:lang w:val="en-US" w:eastAsia="zh-CN"/>
        </w:rPr>
        <w:t>，</w:t>
      </w:r>
      <w:r>
        <w:rPr>
          <w:rFonts w:hint="eastAsia" w:ascii="楷体_GB2312" w:hAnsi="楷体_GB2312" w:eastAsia="楷体_GB2312" w:cs="楷体_GB2312"/>
          <w:b w:val="0"/>
          <w:bCs w:val="0"/>
          <w:color w:val="000000"/>
          <w:sz w:val="32"/>
          <w:szCs w:val="32"/>
          <w:highlight w:val="none"/>
          <w:lang w:val="en-US" w:eastAsia="zh-CN"/>
        </w:rPr>
        <w:t>“百千万工程”扎实推进</w:t>
      </w:r>
    </w:p>
    <w:p w14:paraId="34FBE36F">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2024年，我区聚焦城乡融合、区域协调发展，紧盯水环境治理三年攻坚行动目标，水环境治理工程取得阶段性成效，“百千万工程”推进工作走深走实，推动城乡区域协调发展向着更高水平和更高质量迈进。</w:t>
      </w:r>
    </w:p>
    <w:p w14:paraId="32C5F4E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Chars="0" w:right="0" w:rightChars="0" w:firstLine="640" w:firstLineChars="200"/>
        <w:jc w:val="both"/>
        <w:textAlignment w:val="auto"/>
        <w:outlineLvl w:val="9"/>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1.水环境治理取得实效，生态环境质量日益改善</w:t>
      </w:r>
    </w:p>
    <w:p w14:paraId="74DE2227">
      <w:pPr>
        <w:pStyle w:val="2"/>
        <w:keepNext w:val="0"/>
        <w:keepLines w:val="0"/>
        <w:pageBreakBefore w:val="0"/>
        <w:widowControl w:val="0"/>
        <w:numPr>
          <w:ilvl w:val="0"/>
          <w:numId w:val="0"/>
        </w:numPr>
        <w:kinsoku/>
        <w:wordWrap/>
        <w:overflowPunct/>
        <w:topLinePunct w:val="0"/>
        <w:autoSpaceDE/>
        <w:autoSpaceDN/>
        <w:bidi w:val="0"/>
        <w:spacing w:line="540" w:lineRule="exact"/>
        <w:ind w:firstLine="640" w:firstLineChars="200"/>
        <w:jc w:val="both"/>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2024年共投入</w:t>
      </w:r>
      <w:r>
        <w:rPr>
          <w:rFonts w:hint="eastAsia" w:ascii="仿宋_GB2312" w:hAnsi="仿宋_GB2312" w:eastAsia="仿宋_GB2312" w:cs="仿宋_GB2312"/>
          <w:b w:val="0"/>
          <w:bCs w:val="0"/>
          <w:color w:val="auto"/>
          <w:kern w:val="0"/>
          <w:sz w:val="32"/>
          <w:szCs w:val="32"/>
          <w:highlight w:val="none"/>
          <w:lang w:val="en-US" w:eastAsia="zh-CN" w:bidi="ar-SA"/>
        </w:rPr>
        <w:t>329,904万元主要用于水环境治理、市政保洁和绿化养护等项目</w:t>
      </w:r>
      <w:r>
        <w:rPr>
          <w:rFonts w:hint="eastAsia" w:ascii="仿宋_GB2312" w:hAnsi="仿宋_GB2312" w:eastAsia="仿宋_GB2312" w:cs="仿宋_GB2312"/>
          <w:color w:val="auto"/>
          <w:sz w:val="32"/>
          <w:szCs w:val="32"/>
          <w:highlight w:val="none"/>
          <w:lang w:val="en-US" w:eastAsia="zh-CN"/>
        </w:rPr>
        <w:t>。主要包括</w:t>
      </w:r>
      <w:r>
        <w:rPr>
          <w:rFonts w:hint="eastAsia" w:ascii="仿宋_GB2312" w:hAnsi="仿宋_GB2312" w:eastAsia="仿宋_GB2312" w:cs="仿宋_GB2312"/>
          <w:color w:val="000000"/>
          <w:sz w:val="32"/>
          <w:szCs w:val="32"/>
          <w:highlight w:val="none"/>
          <w:lang w:val="en-US" w:eastAsia="zh-CN"/>
        </w:rPr>
        <w:t>安排</w:t>
      </w:r>
      <w:r>
        <w:rPr>
          <w:rFonts w:hint="eastAsia" w:ascii="仿宋_GB2312" w:hAnsi="仿宋_GB2312" w:eastAsia="仿宋_GB2312" w:cs="仿宋_GB2312"/>
          <w:b w:val="0"/>
          <w:bCs w:val="0"/>
          <w:color w:val="auto"/>
          <w:kern w:val="0"/>
          <w:sz w:val="32"/>
          <w:szCs w:val="32"/>
          <w:highlight w:val="none"/>
          <w:lang w:val="en-US" w:eastAsia="zh-CN" w:bidi="ar-SA"/>
        </w:rPr>
        <w:t>区域水环境综合治理工程195,717万元，污水处理运营服务费32,594万元，番禺应急备用水源工程10,928万元，排水设施运行维修养护经费28,857万元，排水防涝能力提升工程20,000万元，</w:t>
      </w:r>
      <w:r>
        <w:rPr>
          <w:rFonts w:hint="eastAsia" w:ascii="仿宋_GB2312" w:hAnsi="仿宋_GB2312" w:eastAsia="仿宋_GB2312" w:cs="仿宋_GB2312"/>
          <w:b w:val="0"/>
          <w:bCs w:val="0"/>
          <w:color w:val="auto"/>
          <w:kern w:val="0"/>
          <w:sz w:val="32"/>
          <w:szCs w:val="32"/>
          <w:highlight w:val="none"/>
          <w:u w:val="none" w:color="auto"/>
          <w:lang w:val="en-US" w:eastAsia="zh-CN"/>
        </w:rPr>
        <w:t>治水攻坚三年行动基本完成，</w:t>
      </w:r>
      <w:r>
        <w:rPr>
          <w:rFonts w:hint="eastAsia" w:ascii="仿宋_GB2312" w:hAnsi="仿宋_GB2312" w:eastAsia="仿宋_GB2312" w:cs="仿宋_GB2312"/>
          <w:b w:val="0"/>
          <w:bCs w:val="0"/>
          <w:color w:val="auto"/>
          <w:sz w:val="32"/>
          <w:szCs w:val="32"/>
          <w:highlight w:val="none"/>
          <w:u w:val="none" w:color="auto"/>
          <w:lang w:val="en-US" w:eastAsia="zh-CN"/>
        </w:rPr>
        <w:t>全区污水处理能力提升，排水管网里程和密度大幅提高、水环境质量明显改善</w:t>
      </w:r>
      <w:r>
        <w:rPr>
          <w:rFonts w:hint="eastAsia" w:ascii="仿宋_GB2312" w:hAnsi="仿宋_GB2312" w:eastAsia="仿宋_GB2312" w:cs="仿宋_GB2312"/>
          <w:b w:val="0"/>
          <w:bCs w:val="0"/>
          <w:color w:val="auto"/>
          <w:kern w:val="0"/>
          <w:sz w:val="32"/>
          <w:szCs w:val="32"/>
          <w:highlight w:val="none"/>
          <w:lang w:val="en-US" w:eastAsia="zh-CN" w:bidi="ar-SA"/>
        </w:rPr>
        <w:t>。安排市政环卫保洁、绿化养护管理费18,307万元，提升番禺城市形象。</w:t>
      </w:r>
    </w:p>
    <w:p w14:paraId="320778C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Chars="0" w:right="0" w:rightChars="0" w:firstLine="640" w:firstLineChars="200"/>
        <w:jc w:val="both"/>
        <w:textAlignment w:val="auto"/>
        <w:outlineLvl w:val="9"/>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auto"/>
          <w:kern w:val="0"/>
          <w:sz w:val="32"/>
          <w:szCs w:val="32"/>
          <w:highlight w:val="none"/>
          <w:lang w:val="en-US" w:eastAsia="zh-CN" w:bidi="ar-SA"/>
        </w:rPr>
        <w:t>聚焦“百千万工程”，促进城乡融合发展</w:t>
      </w:r>
    </w:p>
    <w:p w14:paraId="194AC8F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Chars="0" w:right="0" w:rightChars="0" w:firstLine="640" w:firstLineChars="200"/>
        <w:jc w:val="both"/>
        <w:textAlignment w:val="auto"/>
        <w:outlineLvl w:val="9"/>
        <w:rPr>
          <w:rFonts w:hint="default" w:ascii="仿宋_GB2312" w:hAnsi="仿宋_GB2312" w:eastAsia="仿宋_GB2312" w:cs="仿宋_GB2312"/>
          <w:color w:val="000000"/>
          <w:sz w:val="32"/>
          <w:szCs w:val="32"/>
          <w:highlight w:val="yellow"/>
          <w:lang w:val="en-US" w:eastAsia="zh-CN"/>
        </w:rPr>
      </w:pPr>
      <w:r>
        <w:rPr>
          <w:rFonts w:hint="eastAsia" w:ascii="仿宋_GB2312" w:hAnsi="仿宋_GB2312" w:eastAsia="仿宋_GB2312" w:cs="仿宋_GB2312"/>
          <w:color w:val="000000"/>
          <w:sz w:val="32"/>
          <w:szCs w:val="32"/>
          <w:highlight w:val="none"/>
          <w:lang w:val="en-US" w:eastAsia="zh-CN"/>
        </w:rPr>
        <w:t>2024年共</w:t>
      </w:r>
      <w:r>
        <w:rPr>
          <w:rFonts w:hint="eastAsia" w:ascii="仿宋_GB2312" w:hAnsi="仿宋_GB2312" w:eastAsia="仿宋_GB2312" w:cs="仿宋_GB2312"/>
          <w:b w:val="0"/>
          <w:bCs w:val="0"/>
          <w:color w:val="auto"/>
          <w:kern w:val="0"/>
          <w:sz w:val="32"/>
          <w:szCs w:val="32"/>
          <w:highlight w:val="none"/>
          <w:lang w:val="en-US" w:eastAsia="zh-CN" w:bidi="ar-SA"/>
        </w:rPr>
        <w:t>投入80,363万元主要</w:t>
      </w:r>
      <w:r>
        <w:rPr>
          <w:rFonts w:hint="eastAsia" w:ascii="仿宋_GB2312" w:hAnsi="仿宋_GB2312" w:eastAsia="仿宋_GB2312" w:cs="仿宋_GB2312"/>
          <w:color w:val="000000"/>
          <w:sz w:val="32"/>
          <w:szCs w:val="32"/>
          <w:highlight w:val="none"/>
          <w:lang w:val="en-US" w:eastAsia="zh-CN"/>
        </w:rPr>
        <w:t>用于优化发展农业农村建设等方面，促进城乡协调发展。</w:t>
      </w:r>
      <w:r>
        <w:rPr>
          <w:rFonts w:hint="eastAsia" w:ascii="仿宋_GB2312" w:hAnsi="仿宋_GB2312" w:eastAsia="仿宋_GB2312" w:cs="仿宋_GB2312"/>
          <w:b w:val="0"/>
          <w:bCs w:val="0"/>
          <w:color w:val="auto"/>
          <w:kern w:val="0"/>
          <w:sz w:val="32"/>
          <w:szCs w:val="32"/>
          <w:highlight w:val="none"/>
          <w:lang w:val="en-US" w:eastAsia="zh-CN" w:bidi="ar-SA"/>
        </w:rPr>
        <w:t>主要包括安排高标准农田和基本农田保护资金1,510万元，成品油价格补贴4,328万元，保障农业生产及农产品稳产保供。安排沿海渔港经济区建设及配套项目资金23,000万元，推进现代化渔业生产转变。安排美丽乡村建设、“五好两宜”和美乡村建设资金10,821万元，农村基层组织经费5,254万元，推动农村改革创新。安排市桥街东郊村及周边成片更新改造项目2,960万元，各老旧小区改造资金5,513万元，安排农村公路维护管养经费1,403万元，通过城乡道路一体化发展，促进城乡共同繁荣发展。</w:t>
      </w:r>
    </w:p>
    <w:p w14:paraId="5266AAD1">
      <w:pPr>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left="0" w:leftChars="0" w:right="0" w:firstLine="640" w:firstLineChars="200"/>
        <w:jc w:val="both"/>
        <w:textAlignment w:val="auto"/>
        <w:outlineLvl w:val="9"/>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（四）狠抓落实民生实事，持续增进民生福祉</w:t>
      </w:r>
    </w:p>
    <w:p w14:paraId="1600056C">
      <w:pPr>
        <w:keepNext w:val="0"/>
        <w:keepLines w:val="0"/>
        <w:pageBreakBefore w:val="0"/>
        <w:widowControl w:val="0"/>
        <w:numPr>
          <w:ilvl w:val="-1"/>
          <w:numId w:val="0"/>
        </w:numPr>
        <w:kinsoku/>
        <w:wordWrap/>
        <w:overflowPunct/>
        <w:topLinePunct w:val="0"/>
        <w:autoSpaceDE/>
        <w:autoSpaceDN/>
        <w:bidi w:val="0"/>
        <w:adjustRightInd w:val="0"/>
        <w:snapToGrid/>
        <w:spacing w:line="540" w:lineRule="exact"/>
        <w:ind w:left="0" w:leftChars="0" w:right="0" w:firstLine="640" w:firstLineChars="200"/>
        <w:jc w:val="both"/>
        <w:textAlignment w:val="auto"/>
        <w:outlineLvl w:val="9"/>
        <w:rPr>
          <w:rFonts w:hint="default"/>
          <w:b w:val="0"/>
          <w:bCs w:val="0"/>
          <w:sz w:val="32"/>
          <w:szCs w:val="32"/>
          <w:highlight w:val="yellow"/>
          <w:lang w:val="en-US" w:eastAsia="zh-CN"/>
        </w:rPr>
      </w:pPr>
      <w:r>
        <w:rPr>
          <w:rFonts w:hint="eastAsia" w:ascii="仿宋_GB2312" w:hAnsi="仿宋_GB2312" w:eastAsia="仿宋_GB2312" w:cs="仿宋_GB2312"/>
          <w:color w:val="000000"/>
          <w:sz w:val="32"/>
          <w:szCs w:val="32"/>
          <w:highlight w:val="none"/>
          <w:lang w:val="en-US" w:eastAsia="zh-CN"/>
        </w:rPr>
        <w:t>2024年，我区民生底线兜牢兜实，医疗卫健事业加快进步，教育质量稳步提升，为我区经济发展提供有利环境和强大动力，不断满足番禺人民对美好生活向往的需要</w:t>
      </w:r>
      <w:r>
        <w:rPr>
          <w:rFonts w:hint="eastAsia" w:ascii="仿宋_GB2312" w:hAnsi="仿宋_GB2312" w:eastAsia="仿宋_GB2312" w:cs="仿宋_GB2312"/>
          <w:color w:val="000000"/>
          <w:sz w:val="32"/>
          <w:szCs w:val="32"/>
          <w:highlight w:val="none"/>
          <w:lang w:eastAsia="zh-CN"/>
        </w:rPr>
        <w:t>。</w:t>
      </w:r>
    </w:p>
    <w:p w14:paraId="12EFBEDB">
      <w:pPr>
        <w:pStyle w:val="2"/>
        <w:keepNext w:val="0"/>
        <w:keepLines w:val="0"/>
        <w:pageBreakBefore w:val="0"/>
        <w:widowControl w:val="0"/>
        <w:numPr>
          <w:ilvl w:val="-1"/>
          <w:numId w:val="0"/>
        </w:numPr>
        <w:kinsoku/>
        <w:wordWrap/>
        <w:overflowPunct/>
        <w:topLinePunct w:val="0"/>
        <w:autoSpaceDE/>
        <w:autoSpaceDN/>
        <w:bidi w:val="0"/>
        <w:spacing w:line="540" w:lineRule="exact"/>
        <w:ind w:left="640" w:leftChars="0" w:firstLine="0" w:firstLineChars="0"/>
        <w:jc w:val="both"/>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auto"/>
          <w:kern w:val="0"/>
          <w:sz w:val="32"/>
          <w:szCs w:val="32"/>
          <w:highlight w:val="none"/>
          <w:lang w:val="en-US" w:eastAsia="zh-CN" w:bidi="ar-SA"/>
        </w:rPr>
        <w:t>构建多层次社保体系，坚定不移保障基本民生</w:t>
      </w:r>
    </w:p>
    <w:p w14:paraId="1A95786B">
      <w:pPr>
        <w:pStyle w:val="2"/>
        <w:keepNext w:val="0"/>
        <w:keepLines w:val="0"/>
        <w:pageBreakBefore w:val="0"/>
        <w:widowControl w:val="0"/>
        <w:numPr>
          <w:ilvl w:val="0"/>
          <w:numId w:val="0"/>
        </w:numPr>
        <w:kinsoku/>
        <w:wordWrap/>
        <w:overflowPunct/>
        <w:topLinePunct w:val="0"/>
        <w:autoSpaceDE/>
        <w:autoSpaceDN/>
        <w:bidi w:val="0"/>
        <w:spacing w:line="540" w:lineRule="exact"/>
        <w:ind w:firstLine="640" w:firstLineChars="200"/>
        <w:jc w:val="both"/>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rPr>
        <w:t>2024年共</w:t>
      </w:r>
      <w:r>
        <w:rPr>
          <w:rFonts w:hint="eastAsia" w:ascii="仿宋_GB2312" w:hAnsi="仿宋_GB2312" w:eastAsia="仿宋_GB2312" w:cs="仿宋_GB2312"/>
          <w:b w:val="0"/>
          <w:bCs w:val="0"/>
          <w:color w:val="auto"/>
          <w:kern w:val="0"/>
          <w:sz w:val="32"/>
          <w:szCs w:val="32"/>
          <w:highlight w:val="none"/>
          <w:lang w:val="en-US" w:eastAsia="zh-CN" w:bidi="ar-SA"/>
        </w:rPr>
        <w:t>投入社会保障民生支出218,140万元，坚定不移保障就业基本民生，健全多层次的社会保障体系。主要包括安排民生微实事支出1,574万元。安排退役军人、军队转业干部等群体的安置、住房、医疗等工作支出7,832万元。安排长者长寿保健金、老年人配餐，居家养老设施提升等适老化服务和改造支出5,972万元，构建多层次养老体系。安排机关事业单位职业年金缴费28,099万元，养老保险缴费47,623万元。安排残疾人、优抚对象、特困人员、救助人员等群体的补贴和慰问经费16,471万元，兜牢民生底线。安排创业培训资助、高校毕业生基层岗位补贴、灵活就业社保补贴等方面的就业资金14,322万元，落实落细各项就业服务政策。安排保障性住房补贴、认定、回购等工作经费4,474万元，努力满足群众刚性住房需求。安排公交行业财政补贴资金27,113万元，满足人民群众基本出行需求。</w:t>
      </w:r>
    </w:p>
    <w:p w14:paraId="5F092B4B">
      <w:pPr>
        <w:pStyle w:val="2"/>
        <w:keepNext w:val="0"/>
        <w:keepLines w:val="0"/>
        <w:pageBreakBefore w:val="0"/>
        <w:widowControl w:val="0"/>
        <w:numPr>
          <w:ilvl w:val="-1"/>
          <w:numId w:val="0"/>
        </w:numPr>
        <w:kinsoku/>
        <w:wordWrap/>
        <w:overflowPunct/>
        <w:topLinePunct w:val="0"/>
        <w:autoSpaceDE/>
        <w:autoSpaceDN/>
        <w:bidi w:val="0"/>
        <w:spacing w:line="540" w:lineRule="exact"/>
        <w:ind w:left="640" w:leftChars="0" w:firstLine="0" w:firstLineChars="0"/>
        <w:jc w:val="both"/>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2.深化医疗体制改革，推动卫健事业发展</w:t>
      </w:r>
    </w:p>
    <w:p w14:paraId="77949449">
      <w:pPr>
        <w:pStyle w:val="2"/>
        <w:keepNext w:val="0"/>
        <w:keepLines w:val="0"/>
        <w:pageBreakBefore w:val="0"/>
        <w:widowControl w:val="0"/>
        <w:numPr>
          <w:ilvl w:val="0"/>
          <w:numId w:val="0"/>
        </w:numPr>
        <w:kinsoku/>
        <w:wordWrap/>
        <w:overflowPunct/>
        <w:topLinePunct w:val="0"/>
        <w:autoSpaceDE/>
        <w:autoSpaceDN/>
        <w:bidi w:val="0"/>
        <w:spacing w:line="540" w:lineRule="exact"/>
        <w:ind w:firstLine="640"/>
        <w:jc w:val="both"/>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2024年共投入卫生健康支出180,704万元，持续推进卫生健康工作。主要包括安排中心医院综合应急大楼建设、中医院医疗综合大楼扩建、第二人民医院和第五人民医院易地新建、各社区医疗卫生中心医疗环境提升等项目支出31,941万元，推进医疗基础设施建设，强化基础服务保障。安排专用设备、材料和药品卫生耗材采购8,768万元，医疗机构运行经费6,705万元，人员工资40,008万元等，用于维护医疗系统的正常运作。安排基本公共卫生服务支出27,588万元，疾病防控经费1,847万元，结算以前年度新型冠状病毒感染疫情防控经费10,980万元，行政事业单位医疗经费9,251万元，用于健全公卫服务体系，建设健康支持性环境。认真落实国家生育政策，安排各项政策资金11,897万元。</w:t>
      </w:r>
    </w:p>
    <w:p w14:paraId="1FE55310">
      <w:pPr>
        <w:pStyle w:val="2"/>
        <w:keepNext w:val="0"/>
        <w:keepLines w:val="0"/>
        <w:pageBreakBefore w:val="0"/>
        <w:widowControl w:val="0"/>
        <w:numPr>
          <w:ilvl w:val="-1"/>
          <w:numId w:val="0"/>
        </w:numPr>
        <w:kinsoku/>
        <w:wordWrap/>
        <w:overflowPunct/>
        <w:topLinePunct w:val="0"/>
        <w:autoSpaceDE/>
        <w:autoSpaceDN/>
        <w:bidi w:val="0"/>
        <w:spacing w:line="540" w:lineRule="exact"/>
        <w:ind w:left="640" w:leftChars="0" w:firstLine="0" w:firstLineChars="0"/>
        <w:jc w:val="both"/>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3.聚焦资源扩优提质，打造教育发展新体系</w:t>
      </w:r>
    </w:p>
    <w:p w14:paraId="53B77C03">
      <w:pPr>
        <w:pStyle w:val="2"/>
        <w:keepNext w:val="0"/>
        <w:keepLines w:val="0"/>
        <w:pageBreakBefore w:val="0"/>
        <w:widowControl w:val="0"/>
        <w:numPr>
          <w:ilvl w:val="0"/>
          <w:numId w:val="0"/>
        </w:numPr>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2024年共投入599,375万元落实区委关于“建设优质均衡发展的教育高地”的工作要求部署。主要包括支付教育方面人员工资302,033万元，各类学校公用经费38,998万元，后勤人员经费7,548万元，专任教师经费5,122万元，临聘教师经费82,771万元，营造风清气正的高质量育人环境。安排学前三年行动计划经费等25,643万元，城乡义务教育公用经费和课本费，学生生活费等12,537万元，各类职业学校资助资金4,198万元。安排新造职校扩建、仲元中学校区改造、番禺中学学校建设等学校基本建设和硬件设备采购资金共16,338万元，进城务工人员随迁子女学位补助</w:t>
      </w:r>
      <w:r>
        <w:rPr>
          <w:rFonts w:hint="eastAsia" w:ascii="仿宋_GB2312" w:hAnsi="仿宋_GB2312" w:cs="仿宋_GB2312"/>
          <w:b w:val="0"/>
          <w:bCs w:val="0"/>
          <w:color w:val="auto"/>
          <w:kern w:val="0"/>
          <w:sz w:val="32"/>
          <w:szCs w:val="32"/>
          <w:highlight w:val="none"/>
          <w:lang w:val="en-US" w:eastAsia="zh-CN" w:bidi="ar-SA"/>
        </w:rPr>
        <w:t>11,995</w:t>
      </w:r>
      <w:r>
        <w:rPr>
          <w:rFonts w:hint="eastAsia" w:ascii="仿宋_GB2312" w:hAnsi="仿宋_GB2312" w:eastAsia="仿宋_GB2312" w:cs="仿宋_GB2312"/>
          <w:b w:val="0"/>
          <w:bCs w:val="0"/>
          <w:color w:val="auto"/>
          <w:kern w:val="0"/>
          <w:sz w:val="32"/>
          <w:szCs w:val="32"/>
          <w:highlight w:val="none"/>
          <w:lang w:val="en-US" w:eastAsia="zh-CN" w:bidi="ar-SA"/>
        </w:rPr>
        <w:t>万元，推动教育资源优质公平，促进各类学校学生协同发展。</w:t>
      </w:r>
    </w:p>
    <w:p w14:paraId="63128BF7">
      <w:pPr>
        <w:keepNext w:val="0"/>
        <w:keepLines w:val="0"/>
        <w:pageBreakBefore w:val="0"/>
        <w:widowControl w:val="0"/>
        <w:numPr>
          <w:ilvl w:val="0"/>
          <w:numId w:val="0"/>
        </w:numPr>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eastAsia="zh-CN"/>
        </w:rPr>
        <w:t>十、</w:t>
      </w:r>
      <w:r>
        <w:rPr>
          <w:rFonts w:hint="eastAsia" w:ascii="黑体" w:hAnsi="黑体" w:eastAsia="黑体" w:cs="黑体"/>
          <w:b w:val="0"/>
          <w:bCs w:val="0"/>
          <w:sz w:val="32"/>
          <w:szCs w:val="32"/>
          <w:highlight w:val="none"/>
        </w:rPr>
        <w:t>区级部门决算情况</w:t>
      </w:r>
    </w:p>
    <w:p w14:paraId="430CE87A">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eastAsia" w:ascii="仿宋_GB2312" w:hAnsi="仿宋_GB2312" w:eastAsia="仿宋_GB2312" w:cs="仿宋_GB2312"/>
          <w:b w:val="0"/>
          <w:bCs w:val="0"/>
          <w:kern w:val="0"/>
          <w:sz w:val="32"/>
          <w:szCs w:val="32"/>
          <w:highlight w:val="none"/>
        </w:rPr>
      </w:pPr>
      <w:r>
        <w:rPr>
          <w:rFonts w:hint="eastAsia" w:ascii="仿宋_GB2312" w:hAnsi="仿宋_GB2312" w:eastAsia="仿宋_GB2312" w:cs="仿宋_GB2312"/>
          <w:b w:val="0"/>
          <w:bCs w:val="0"/>
          <w:kern w:val="0"/>
          <w:sz w:val="32"/>
          <w:szCs w:val="32"/>
          <w:highlight w:val="none"/>
        </w:rPr>
        <w:t>202</w:t>
      </w:r>
      <w:r>
        <w:rPr>
          <w:rFonts w:hint="eastAsia" w:ascii="仿宋_GB2312" w:hAnsi="仿宋_GB2312" w:eastAsia="仿宋_GB2312" w:cs="仿宋_GB2312"/>
          <w:b w:val="0"/>
          <w:bCs w:val="0"/>
          <w:kern w:val="0"/>
          <w:sz w:val="32"/>
          <w:szCs w:val="32"/>
          <w:highlight w:val="none"/>
          <w:lang w:val="en-US" w:eastAsia="zh-CN"/>
        </w:rPr>
        <w:t>4</w:t>
      </w:r>
      <w:r>
        <w:rPr>
          <w:rFonts w:hint="eastAsia" w:ascii="仿宋_GB2312" w:hAnsi="仿宋_GB2312" w:eastAsia="仿宋_GB2312" w:cs="仿宋_GB2312"/>
          <w:b w:val="0"/>
          <w:bCs w:val="0"/>
          <w:kern w:val="0"/>
          <w:sz w:val="32"/>
          <w:szCs w:val="32"/>
          <w:highlight w:val="none"/>
        </w:rPr>
        <w:t>年，全区部门决算收入3,330,518万元，比上年同期</w:t>
      </w:r>
      <w:r>
        <w:rPr>
          <w:rFonts w:hint="eastAsia" w:ascii="仿宋_GB2312" w:hAnsi="仿宋_GB2312" w:eastAsia="仿宋_GB2312" w:cs="仿宋_GB2312"/>
          <w:b w:val="0"/>
          <w:bCs w:val="0"/>
          <w:kern w:val="0"/>
          <w:sz w:val="32"/>
          <w:szCs w:val="32"/>
          <w:highlight w:val="none"/>
          <w:lang w:eastAsia="zh-CN"/>
        </w:rPr>
        <w:t>减少</w:t>
      </w:r>
      <w:r>
        <w:rPr>
          <w:rFonts w:hint="eastAsia" w:ascii="仿宋_GB2312" w:hAnsi="仿宋_GB2312" w:eastAsia="仿宋_GB2312" w:cs="仿宋_GB2312"/>
          <w:b w:val="0"/>
          <w:bCs w:val="0"/>
          <w:kern w:val="0"/>
          <w:sz w:val="32"/>
          <w:szCs w:val="32"/>
          <w:highlight w:val="none"/>
          <w:lang w:val="en-US" w:eastAsia="zh-CN"/>
        </w:rPr>
        <w:t>240,615</w:t>
      </w:r>
      <w:r>
        <w:rPr>
          <w:rFonts w:hint="eastAsia" w:ascii="仿宋_GB2312" w:hAnsi="仿宋_GB2312" w:eastAsia="仿宋_GB2312" w:cs="仿宋_GB2312"/>
          <w:b w:val="0"/>
          <w:bCs w:val="0"/>
          <w:kern w:val="0"/>
          <w:sz w:val="32"/>
          <w:szCs w:val="32"/>
          <w:highlight w:val="none"/>
        </w:rPr>
        <w:t>万元，</w:t>
      </w:r>
      <w:r>
        <w:rPr>
          <w:rFonts w:hint="eastAsia" w:ascii="仿宋_GB2312" w:hAnsi="仿宋_GB2312" w:eastAsia="仿宋_GB2312" w:cs="仿宋_GB2312"/>
          <w:b w:val="0"/>
          <w:bCs w:val="0"/>
          <w:kern w:val="0"/>
          <w:sz w:val="32"/>
          <w:szCs w:val="32"/>
          <w:highlight w:val="none"/>
          <w:lang w:val="en-US" w:eastAsia="zh-CN"/>
        </w:rPr>
        <w:t>下降6.74</w:t>
      </w:r>
      <w:r>
        <w:rPr>
          <w:rFonts w:hint="eastAsia" w:ascii="仿宋_GB2312" w:hAnsi="仿宋_GB2312" w:eastAsia="仿宋_GB2312" w:cs="仿宋_GB2312"/>
          <w:b w:val="0"/>
          <w:bCs w:val="0"/>
          <w:kern w:val="0"/>
          <w:sz w:val="32"/>
          <w:szCs w:val="32"/>
          <w:highlight w:val="none"/>
        </w:rPr>
        <w:t>%。其中，财政拨款收入2,</w:t>
      </w:r>
      <w:r>
        <w:rPr>
          <w:rFonts w:hint="eastAsia" w:ascii="仿宋_GB2312" w:hAnsi="仿宋_GB2312" w:eastAsia="仿宋_GB2312" w:cs="仿宋_GB2312"/>
          <w:b w:val="0"/>
          <w:bCs w:val="0"/>
          <w:kern w:val="0"/>
          <w:sz w:val="32"/>
          <w:szCs w:val="32"/>
          <w:highlight w:val="none"/>
          <w:lang w:val="en-US" w:eastAsia="zh-CN"/>
        </w:rPr>
        <w:t>669</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lang w:val="en-US" w:eastAsia="zh-CN"/>
        </w:rPr>
        <w:t>681</w:t>
      </w:r>
      <w:r>
        <w:rPr>
          <w:rFonts w:hint="eastAsia" w:ascii="仿宋_GB2312" w:hAnsi="仿宋_GB2312" w:eastAsia="仿宋_GB2312" w:cs="仿宋_GB2312"/>
          <w:b w:val="0"/>
          <w:bCs w:val="0"/>
          <w:kern w:val="0"/>
          <w:sz w:val="32"/>
          <w:szCs w:val="32"/>
          <w:highlight w:val="none"/>
        </w:rPr>
        <w:t>万元，比上年同期</w:t>
      </w:r>
      <w:r>
        <w:rPr>
          <w:rFonts w:hint="eastAsia" w:ascii="仿宋_GB2312" w:hAnsi="仿宋_GB2312" w:eastAsia="仿宋_GB2312" w:cs="仿宋_GB2312"/>
          <w:b w:val="0"/>
          <w:bCs w:val="0"/>
          <w:kern w:val="0"/>
          <w:sz w:val="32"/>
          <w:szCs w:val="32"/>
          <w:highlight w:val="none"/>
          <w:lang w:eastAsia="zh-CN"/>
        </w:rPr>
        <w:t>减少</w:t>
      </w:r>
      <w:r>
        <w:rPr>
          <w:rFonts w:hint="eastAsia" w:ascii="仿宋_GB2312" w:hAnsi="仿宋_GB2312" w:eastAsia="仿宋_GB2312" w:cs="仿宋_GB2312"/>
          <w:b w:val="0"/>
          <w:bCs w:val="0"/>
          <w:kern w:val="0"/>
          <w:sz w:val="32"/>
          <w:szCs w:val="32"/>
          <w:highlight w:val="none"/>
          <w:lang w:val="en-US" w:eastAsia="zh-CN"/>
        </w:rPr>
        <w:t>218,787</w:t>
      </w:r>
      <w:r>
        <w:rPr>
          <w:rFonts w:hint="eastAsia" w:ascii="仿宋_GB2312" w:hAnsi="仿宋_GB2312" w:eastAsia="仿宋_GB2312" w:cs="仿宋_GB2312"/>
          <w:b w:val="0"/>
          <w:bCs w:val="0"/>
          <w:kern w:val="0"/>
          <w:sz w:val="32"/>
          <w:szCs w:val="32"/>
          <w:highlight w:val="none"/>
        </w:rPr>
        <w:t>万元，</w:t>
      </w:r>
      <w:r>
        <w:rPr>
          <w:rFonts w:hint="eastAsia" w:ascii="仿宋_GB2312" w:hAnsi="仿宋_GB2312" w:eastAsia="仿宋_GB2312" w:cs="仿宋_GB2312"/>
          <w:b w:val="0"/>
          <w:bCs w:val="0"/>
          <w:kern w:val="0"/>
          <w:sz w:val="32"/>
          <w:szCs w:val="32"/>
          <w:highlight w:val="none"/>
          <w:lang w:val="en-US" w:eastAsia="zh-CN"/>
        </w:rPr>
        <w:t>下降7.57</w:t>
      </w:r>
      <w:r>
        <w:rPr>
          <w:rFonts w:hint="eastAsia" w:ascii="仿宋_GB2312" w:hAnsi="仿宋_GB2312" w:eastAsia="仿宋_GB2312" w:cs="仿宋_GB2312"/>
          <w:b w:val="0"/>
          <w:bCs w:val="0"/>
          <w:kern w:val="0"/>
          <w:sz w:val="32"/>
          <w:szCs w:val="32"/>
          <w:highlight w:val="none"/>
        </w:rPr>
        <w:t>%；上级补助收入0万元，</w:t>
      </w:r>
      <w:r>
        <w:rPr>
          <w:rFonts w:hint="eastAsia" w:ascii="仿宋_GB2312" w:hAnsi="仿宋_GB2312" w:eastAsia="仿宋_GB2312" w:cs="仿宋_GB2312"/>
          <w:b w:val="0"/>
          <w:bCs w:val="0"/>
          <w:kern w:val="0"/>
          <w:sz w:val="32"/>
          <w:szCs w:val="32"/>
          <w:highlight w:val="none"/>
          <w:lang w:eastAsia="zh-CN"/>
        </w:rPr>
        <w:t>与</w:t>
      </w:r>
      <w:r>
        <w:rPr>
          <w:rFonts w:hint="eastAsia" w:ascii="仿宋_GB2312" w:hAnsi="仿宋_GB2312" w:eastAsia="仿宋_GB2312" w:cs="仿宋_GB2312"/>
          <w:b w:val="0"/>
          <w:bCs w:val="0"/>
          <w:kern w:val="0"/>
          <w:sz w:val="32"/>
          <w:szCs w:val="32"/>
          <w:highlight w:val="none"/>
        </w:rPr>
        <w:t>上年同期</w:t>
      </w:r>
      <w:r>
        <w:rPr>
          <w:rFonts w:hint="eastAsia" w:ascii="仿宋_GB2312" w:hAnsi="仿宋_GB2312" w:eastAsia="仿宋_GB2312" w:cs="仿宋_GB2312"/>
          <w:b w:val="0"/>
          <w:bCs w:val="0"/>
          <w:kern w:val="0"/>
          <w:sz w:val="32"/>
          <w:szCs w:val="32"/>
          <w:highlight w:val="none"/>
          <w:lang w:eastAsia="zh-CN"/>
        </w:rPr>
        <w:t>持平</w:t>
      </w:r>
      <w:r>
        <w:rPr>
          <w:rFonts w:hint="eastAsia" w:ascii="仿宋_GB2312" w:hAnsi="仿宋_GB2312" w:eastAsia="仿宋_GB2312" w:cs="仿宋_GB2312"/>
          <w:b w:val="0"/>
          <w:bCs w:val="0"/>
          <w:kern w:val="0"/>
          <w:sz w:val="32"/>
          <w:szCs w:val="32"/>
          <w:highlight w:val="none"/>
        </w:rPr>
        <w:t>；事业收入</w:t>
      </w:r>
      <w:r>
        <w:rPr>
          <w:rFonts w:hint="eastAsia" w:ascii="仿宋_GB2312" w:hAnsi="仿宋_GB2312" w:eastAsia="仿宋_GB2312" w:cs="仿宋_GB2312"/>
          <w:b w:val="0"/>
          <w:bCs w:val="0"/>
          <w:kern w:val="0"/>
          <w:sz w:val="32"/>
          <w:szCs w:val="32"/>
          <w:highlight w:val="none"/>
          <w:lang w:val="en-US" w:eastAsia="zh-CN"/>
        </w:rPr>
        <w:t>608</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lang w:val="en-US" w:eastAsia="zh-CN"/>
        </w:rPr>
        <w:t>981</w:t>
      </w:r>
      <w:r>
        <w:rPr>
          <w:rFonts w:hint="eastAsia" w:ascii="仿宋_GB2312" w:hAnsi="仿宋_GB2312" w:eastAsia="仿宋_GB2312" w:cs="仿宋_GB2312"/>
          <w:b w:val="0"/>
          <w:bCs w:val="0"/>
          <w:kern w:val="0"/>
          <w:sz w:val="32"/>
          <w:szCs w:val="32"/>
          <w:highlight w:val="none"/>
        </w:rPr>
        <w:t>万元，比上年同期</w:t>
      </w:r>
      <w:r>
        <w:rPr>
          <w:rFonts w:hint="eastAsia" w:ascii="仿宋_GB2312" w:hAnsi="仿宋_GB2312" w:eastAsia="仿宋_GB2312" w:cs="仿宋_GB2312"/>
          <w:b w:val="0"/>
          <w:bCs w:val="0"/>
          <w:kern w:val="0"/>
          <w:sz w:val="32"/>
          <w:szCs w:val="32"/>
          <w:highlight w:val="none"/>
          <w:lang w:eastAsia="zh-CN"/>
        </w:rPr>
        <w:t>增加</w:t>
      </w:r>
      <w:r>
        <w:rPr>
          <w:rFonts w:hint="eastAsia" w:ascii="仿宋_GB2312" w:hAnsi="仿宋_GB2312" w:eastAsia="仿宋_GB2312" w:cs="仿宋_GB2312"/>
          <w:b w:val="0"/>
          <w:bCs w:val="0"/>
          <w:kern w:val="0"/>
          <w:sz w:val="32"/>
          <w:szCs w:val="32"/>
          <w:highlight w:val="none"/>
          <w:lang w:val="en-US" w:eastAsia="zh-CN"/>
        </w:rPr>
        <w:t>17</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lang w:val="en-US" w:eastAsia="zh-CN"/>
        </w:rPr>
        <w:t>446</w:t>
      </w:r>
      <w:r>
        <w:rPr>
          <w:rFonts w:hint="eastAsia" w:ascii="仿宋_GB2312" w:hAnsi="仿宋_GB2312" w:eastAsia="仿宋_GB2312" w:cs="仿宋_GB2312"/>
          <w:b w:val="0"/>
          <w:bCs w:val="0"/>
          <w:kern w:val="0"/>
          <w:sz w:val="32"/>
          <w:szCs w:val="32"/>
          <w:highlight w:val="none"/>
        </w:rPr>
        <w:t>万元，</w:t>
      </w:r>
      <w:r>
        <w:rPr>
          <w:rFonts w:hint="eastAsia" w:ascii="仿宋_GB2312" w:hAnsi="仿宋_GB2312" w:eastAsia="仿宋_GB2312" w:cs="仿宋_GB2312"/>
          <w:b w:val="0"/>
          <w:bCs w:val="0"/>
          <w:kern w:val="0"/>
          <w:sz w:val="32"/>
          <w:szCs w:val="32"/>
          <w:highlight w:val="none"/>
          <w:lang w:eastAsia="zh-CN"/>
        </w:rPr>
        <w:t>增长</w:t>
      </w:r>
      <w:r>
        <w:rPr>
          <w:rFonts w:hint="eastAsia" w:ascii="仿宋_GB2312" w:hAnsi="仿宋_GB2312" w:eastAsia="仿宋_GB2312" w:cs="仿宋_GB2312"/>
          <w:b w:val="0"/>
          <w:bCs w:val="0"/>
          <w:kern w:val="0"/>
          <w:sz w:val="32"/>
          <w:szCs w:val="32"/>
          <w:highlight w:val="none"/>
          <w:lang w:val="en-US" w:eastAsia="zh-CN"/>
        </w:rPr>
        <w:t>2.95</w:t>
      </w:r>
      <w:r>
        <w:rPr>
          <w:rFonts w:hint="eastAsia" w:ascii="仿宋_GB2312" w:hAnsi="仿宋_GB2312" w:eastAsia="仿宋_GB2312" w:cs="仿宋_GB2312"/>
          <w:b w:val="0"/>
          <w:bCs w:val="0"/>
          <w:kern w:val="0"/>
          <w:sz w:val="32"/>
          <w:szCs w:val="32"/>
          <w:highlight w:val="none"/>
        </w:rPr>
        <w:t>%；其他收入</w:t>
      </w:r>
      <w:r>
        <w:rPr>
          <w:rFonts w:hint="eastAsia" w:ascii="仿宋_GB2312" w:hAnsi="仿宋_GB2312" w:eastAsia="仿宋_GB2312" w:cs="仿宋_GB2312"/>
          <w:b w:val="0"/>
          <w:bCs w:val="0"/>
          <w:kern w:val="0"/>
          <w:sz w:val="32"/>
          <w:szCs w:val="32"/>
          <w:highlight w:val="none"/>
          <w:lang w:val="en-US" w:eastAsia="zh-CN"/>
        </w:rPr>
        <w:t>51</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lang w:val="en-US" w:eastAsia="zh-CN"/>
        </w:rPr>
        <w:t>856</w:t>
      </w:r>
      <w:r>
        <w:rPr>
          <w:rFonts w:hint="eastAsia" w:ascii="仿宋_GB2312" w:hAnsi="仿宋_GB2312" w:eastAsia="仿宋_GB2312" w:cs="仿宋_GB2312"/>
          <w:b w:val="0"/>
          <w:bCs w:val="0"/>
          <w:kern w:val="0"/>
          <w:sz w:val="32"/>
          <w:szCs w:val="32"/>
          <w:highlight w:val="none"/>
        </w:rPr>
        <w:t>万元，比上年同期</w:t>
      </w:r>
      <w:r>
        <w:rPr>
          <w:rFonts w:hint="eastAsia" w:ascii="仿宋_GB2312" w:hAnsi="仿宋_GB2312" w:eastAsia="仿宋_GB2312" w:cs="仿宋_GB2312"/>
          <w:b w:val="0"/>
          <w:bCs w:val="0"/>
          <w:kern w:val="0"/>
          <w:sz w:val="32"/>
          <w:szCs w:val="32"/>
          <w:highlight w:val="none"/>
          <w:lang w:val="en-US" w:eastAsia="zh-CN"/>
        </w:rPr>
        <w:t>减少39,274</w:t>
      </w:r>
      <w:r>
        <w:rPr>
          <w:rFonts w:hint="eastAsia" w:ascii="仿宋_GB2312" w:hAnsi="仿宋_GB2312" w:eastAsia="仿宋_GB2312" w:cs="仿宋_GB2312"/>
          <w:b w:val="0"/>
          <w:bCs w:val="0"/>
          <w:kern w:val="0"/>
          <w:sz w:val="32"/>
          <w:szCs w:val="32"/>
          <w:highlight w:val="none"/>
        </w:rPr>
        <w:t>万元，</w:t>
      </w:r>
      <w:r>
        <w:rPr>
          <w:rFonts w:hint="eastAsia" w:ascii="仿宋_GB2312" w:hAnsi="仿宋_GB2312" w:eastAsia="仿宋_GB2312" w:cs="仿宋_GB2312"/>
          <w:b w:val="0"/>
          <w:bCs w:val="0"/>
          <w:kern w:val="0"/>
          <w:sz w:val="32"/>
          <w:szCs w:val="32"/>
          <w:highlight w:val="none"/>
          <w:lang w:val="en-US" w:eastAsia="zh-CN"/>
        </w:rPr>
        <w:t>下降43.10</w:t>
      </w:r>
      <w:r>
        <w:rPr>
          <w:rFonts w:hint="eastAsia" w:ascii="仿宋_GB2312" w:hAnsi="仿宋_GB2312" w:eastAsia="仿宋_GB2312" w:cs="仿宋_GB2312"/>
          <w:b w:val="0"/>
          <w:bCs w:val="0"/>
          <w:kern w:val="0"/>
          <w:sz w:val="32"/>
          <w:szCs w:val="32"/>
          <w:highlight w:val="none"/>
        </w:rPr>
        <w:t>%。加上使用非财政拨款结余</w:t>
      </w:r>
      <w:r>
        <w:rPr>
          <w:rFonts w:hint="eastAsia" w:ascii="仿宋_GB2312" w:hAnsi="仿宋_GB2312" w:eastAsia="仿宋_GB2312" w:cs="仿宋_GB2312"/>
          <w:b w:val="0"/>
          <w:bCs w:val="0"/>
          <w:kern w:val="0"/>
          <w:sz w:val="32"/>
          <w:szCs w:val="32"/>
          <w:highlight w:val="none"/>
          <w:lang w:val="en-US" w:eastAsia="zh-CN"/>
        </w:rPr>
        <w:t>15</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lang w:val="en-US" w:eastAsia="zh-CN"/>
        </w:rPr>
        <w:t>151</w:t>
      </w:r>
      <w:r>
        <w:rPr>
          <w:rFonts w:hint="eastAsia" w:ascii="仿宋_GB2312" w:hAnsi="仿宋_GB2312" w:eastAsia="仿宋_GB2312" w:cs="仿宋_GB2312"/>
          <w:b w:val="0"/>
          <w:bCs w:val="0"/>
          <w:kern w:val="0"/>
          <w:sz w:val="32"/>
          <w:szCs w:val="32"/>
          <w:highlight w:val="none"/>
        </w:rPr>
        <w:t>万元，上年结转结余</w:t>
      </w:r>
      <w:r>
        <w:rPr>
          <w:rFonts w:hint="eastAsia" w:ascii="仿宋_GB2312" w:hAnsi="仿宋_GB2312" w:eastAsia="仿宋_GB2312" w:cs="仿宋_GB2312"/>
          <w:b w:val="0"/>
          <w:bCs w:val="0"/>
          <w:kern w:val="0"/>
          <w:sz w:val="32"/>
          <w:szCs w:val="32"/>
          <w:highlight w:val="none"/>
          <w:lang w:val="en-US" w:eastAsia="zh-CN"/>
        </w:rPr>
        <w:t>27,156</w:t>
      </w:r>
      <w:r>
        <w:rPr>
          <w:rFonts w:hint="eastAsia" w:ascii="仿宋_GB2312" w:hAnsi="仿宋_GB2312" w:eastAsia="仿宋_GB2312" w:cs="仿宋_GB2312"/>
          <w:b w:val="0"/>
          <w:bCs w:val="0"/>
          <w:kern w:val="0"/>
          <w:sz w:val="32"/>
          <w:szCs w:val="32"/>
          <w:highlight w:val="none"/>
        </w:rPr>
        <w:t>万元，202</w:t>
      </w:r>
      <w:r>
        <w:rPr>
          <w:rFonts w:hint="eastAsia" w:ascii="仿宋_GB2312" w:hAnsi="仿宋_GB2312" w:eastAsia="仿宋_GB2312" w:cs="仿宋_GB2312"/>
          <w:b w:val="0"/>
          <w:bCs w:val="0"/>
          <w:kern w:val="0"/>
          <w:sz w:val="32"/>
          <w:szCs w:val="32"/>
          <w:highlight w:val="none"/>
          <w:lang w:val="en-US" w:eastAsia="zh-CN"/>
        </w:rPr>
        <w:t>4</w:t>
      </w:r>
      <w:r>
        <w:rPr>
          <w:rFonts w:hint="eastAsia" w:ascii="仿宋_GB2312" w:hAnsi="仿宋_GB2312" w:eastAsia="仿宋_GB2312" w:cs="仿宋_GB2312"/>
          <w:b w:val="0"/>
          <w:bCs w:val="0"/>
          <w:kern w:val="0"/>
          <w:sz w:val="32"/>
          <w:szCs w:val="32"/>
          <w:highlight w:val="none"/>
        </w:rPr>
        <w:t>年部门总收入为</w:t>
      </w:r>
      <w:r>
        <w:rPr>
          <w:rFonts w:hint="eastAsia" w:ascii="仿宋_GB2312" w:hAnsi="仿宋_GB2312" w:eastAsia="仿宋_GB2312" w:cs="仿宋_GB2312"/>
          <w:b w:val="0"/>
          <w:bCs w:val="0"/>
          <w:kern w:val="0"/>
          <w:sz w:val="32"/>
          <w:szCs w:val="32"/>
          <w:highlight w:val="none"/>
          <w:lang w:val="en-US" w:eastAsia="zh-CN"/>
        </w:rPr>
        <w:t>3,372,825</w:t>
      </w:r>
      <w:r>
        <w:rPr>
          <w:rFonts w:hint="eastAsia" w:ascii="仿宋_GB2312" w:hAnsi="仿宋_GB2312" w:eastAsia="仿宋_GB2312" w:cs="仿宋_GB2312"/>
          <w:b w:val="0"/>
          <w:bCs w:val="0"/>
          <w:kern w:val="0"/>
          <w:sz w:val="32"/>
          <w:szCs w:val="32"/>
          <w:highlight w:val="none"/>
        </w:rPr>
        <w:t>万元。</w:t>
      </w:r>
    </w:p>
    <w:p w14:paraId="51299E61">
      <w:pPr>
        <w:spacing w:line="540" w:lineRule="exact"/>
        <w:ind w:firstLine="640" w:firstLineChars="200"/>
        <w:rPr>
          <w:rFonts w:hint="eastAsia"/>
          <w:b w:val="0"/>
          <w:bCs w:val="0"/>
          <w:sz w:val="32"/>
          <w:szCs w:val="32"/>
          <w:highlight w:val="yellow"/>
        </w:rPr>
      </w:pPr>
      <w:r>
        <w:rPr>
          <w:rFonts w:hint="eastAsia" w:ascii="仿宋_GB2312" w:hAnsi="仿宋_GB2312" w:eastAsia="仿宋_GB2312" w:cs="仿宋_GB2312"/>
          <w:b w:val="0"/>
          <w:bCs w:val="0"/>
          <w:kern w:val="0"/>
          <w:sz w:val="32"/>
          <w:szCs w:val="32"/>
          <w:highlight w:val="none"/>
        </w:rPr>
        <w:t>202</w:t>
      </w:r>
      <w:r>
        <w:rPr>
          <w:rFonts w:hint="eastAsia" w:ascii="仿宋_GB2312" w:hAnsi="仿宋_GB2312" w:eastAsia="仿宋_GB2312" w:cs="仿宋_GB2312"/>
          <w:b w:val="0"/>
          <w:bCs w:val="0"/>
          <w:kern w:val="0"/>
          <w:sz w:val="32"/>
          <w:szCs w:val="32"/>
          <w:highlight w:val="none"/>
          <w:lang w:val="en-US" w:eastAsia="zh-CN"/>
        </w:rPr>
        <w:t>4</w:t>
      </w:r>
      <w:r>
        <w:rPr>
          <w:rFonts w:hint="eastAsia" w:ascii="仿宋_GB2312" w:hAnsi="仿宋_GB2312" w:eastAsia="仿宋_GB2312" w:cs="仿宋_GB2312"/>
          <w:b w:val="0"/>
          <w:bCs w:val="0"/>
          <w:kern w:val="0"/>
          <w:sz w:val="32"/>
          <w:szCs w:val="32"/>
          <w:highlight w:val="none"/>
        </w:rPr>
        <w:t>年，全区部门决算支出3,</w:t>
      </w:r>
      <w:r>
        <w:rPr>
          <w:rFonts w:hint="eastAsia" w:ascii="仿宋_GB2312" w:hAnsi="仿宋_GB2312" w:eastAsia="仿宋_GB2312" w:cs="仿宋_GB2312"/>
          <w:b w:val="0"/>
          <w:bCs w:val="0"/>
          <w:kern w:val="0"/>
          <w:sz w:val="32"/>
          <w:szCs w:val="32"/>
          <w:highlight w:val="none"/>
          <w:lang w:val="en-US" w:eastAsia="zh-CN"/>
        </w:rPr>
        <w:t>336</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lang w:val="en-US" w:eastAsia="zh-CN"/>
        </w:rPr>
        <w:t>307</w:t>
      </w:r>
      <w:r>
        <w:rPr>
          <w:rFonts w:hint="eastAsia" w:ascii="仿宋_GB2312" w:hAnsi="仿宋_GB2312" w:eastAsia="仿宋_GB2312" w:cs="仿宋_GB2312"/>
          <w:b w:val="0"/>
          <w:bCs w:val="0"/>
          <w:kern w:val="0"/>
          <w:sz w:val="32"/>
          <w:szCs w:val="32"/>
          <w:highlight w:val="none"/>
        </w:rPr>
        <w:t>万元，比上年同期</w:t>
      </w:r>
      <w:r>
        <w:rPr>
          <w:rFonts w:hint="eastAsia" w:ascii="仿宋_GB2312" w:hAnsi="仿宋_GB2312" w:eastAsia="仿宋_GB2312" w:cs="仿宋_GB2312"/>
          <w:b w:val="0"/>
          <w:bCs w:val="0"/>
          <w:kern w:val="0"/>
          <w:sz w:val="32"/>
          <w:szCs w:val="32"/>
          <w:highlight w:val="none"/>
          <w:lang w:eastAsia="zh-CN"/>
        </w:rPr>
        <w:t>减少</w:t>
      </w:r>
      <w:r>
        <w:rPr>
          <w:rFonts w:hint="eastAsia" w:ascii="仿宋_GB2312" w:hAnsi="仿宋_GB2312" w:eastAsia="仿宋_GB2312" w:cs="仿宋_GB2312"/>
          <w:b w:val="0"/>
          <w:bCs w:val="0"/>
          <w:kern w:val="0"/>
          <w:sz w:val="32"/>
          <w:szCs w:val="32"/>
          <w:highlight w:val="none"/>
          <w:lang w:val="en-US" w:eastAsia="zh-CN"/>
        </w:rPr>
        <w:t>199,444</w:t>
      </w:r>
      <w:r>
        <w:rPr>
          <w:rFonts w:hint="eastAsia" w:ascii="仿宋_GB2312" w:hAnsi="仿宋_GB2312" w:eastAsia="仿宋_GB2312" w:cs="仿宋_GB2312"/>
          <w:b w:val="0"/>
          <w:bCs w:val="0"/>
          <w:kern w:val="0"/>
          <w:sz w:val="32"/>
          <w:szCs w:val="32"/>
          <w:highlight w:val="none"/>
        </w:rPr>
        <w:t>万元，</w:t>
      </w:r>
      <w:r>
        <w:rPr>
          <w:rFonts w:hint="eastAsia" w:ascii="仿宋_GB2312" w:hAnsi="仿宋_GB2312" w:eastAsia="仿宋_GB2312" w:cs="仿宋_GB2312"/>
          <w:b w:val="0"/>
          <w:bCs w:val="0"/>
          <w:kern w:val="0"/>
          <w:sz w:val="32"/>
          <w:szCs w:val="32"/>
          <w:highlight w:val="none"/>
          <w:lang w:val="en-US" w:eastAsia="zh-CN"/>
        </w:rPr>
        <w:t>下降5.64</w:t>
      </w:r>
      <w:r>
        <w:rPr>
          <w:rFonts w:hint="eastAsia" w:ascii="仿宋_GB2312" w:hAnsi="仿宋_GB2312" w:eastAsia="仿宋_GB2312" w:cs="仿宋_GB2312"/>
          <w:b w:val="0"/>
          <w:bCs w:val="0"/>
          <w:kern w:val="0"/>
          <w:sz w:val="32"/>
          <w:szCs w:val="32"/>
          <w:highlight w:val="none"/>
        </w:rPr>
        <w:t>%。加上结余分配</w:t>
      </w:r>
      <w:r>
        <w:rPr>
          <w:rFonts w:hint="eastAsia" w:ascii="仿宋_GB2312" w:hAnsi="仿宋_GB2312" w:eastAsia="仿宋_GB2312" w:cs="仿宋_GB2312"/>
          <w:b w:val="0"/>
          <w:bCs w:val="0"/>
          <w:kern w:val="0"/>
          <w:sz w:val="32"/>
          <w:szCs w:val="32"/>
          <w:highlight w:val="none"/>
          <w:lang w:val="en-US" w:eastAsia="zh-CN"/>
        </w:rPr>
        <w:t>14,376</w:t>
      </w:r>
      <w:r>
        <w:rPr>
          <w:rFonts w:hint="eastAsia" w:ascii="仿宋_GB2312" w:hAnsi="仿宋_GB2312" w:eastAsia="仿宋_GB2312" w:cs="仿宋_GB2312"/>
          <w:b w:val="0"/>
          <w:bCs w:val="0"/>
          <w:kern w:val="0"/>
          <w:sz w:val="32"/>
          <w:szCs w:val="32"/>
          <w:highlight w:val="none"/>
        </w:rPr>
        <w:t>万元，202</w:t>
      </w:r>
      <w:r>
        <w:rPr>
          <w:rFonts w:hint="eastAsia" w:ascii="仿宋_GB2312" w:hAnsi="仿宋_GB2312" w:eastAsia="仿宋_GB2312" w:cs="仿宋_GB2312"/>
          <w:b w:val="0"/>
          <w:bCs w:val="0"/>
          <w:kern w:val="0"/>
          <w:sz w:val="32"/>
          <w:szCs w:val="32"/>
          <w:highlight w:val="none"/>
          <w:lang w:val="en-US" w:eastAsia="zh-CN"/>
        </w:rPr>
        <w:t>4</w:t>
      </w:r>
      <w:r>
        <w:rPr>
          <w:rFonts w:hint="eastAsia" w:ascii="仿宋_GB2312" w:hAnsi="仿宋_GB2312" w:eastAsia="仿宋_GB2312" w:cs="仿宋_GB2312"/>
          <w:b w:val="0"/>
          <w:bCs w:val="0"/>
          <w:kern w:val="0"/>
          <w:sz w:val="32"/>
          <w:szCs w:val="32"/>
          <w:highlight w:val="none"/>
        </w:rPr>
        <w:t>年部门决算总支出</w:t>
      </w:r>
      <w:r>
        <w:rPr>
          <w:rFonts w:hint="eastAsia" w:ascii="仿宋_GB2312" w:hAnsi="仿宋_GB2312" w:eastAsia="仿宋_GB2312" w:cs="仿宋_GB2312"/>
          <w:b w:val="0"/>
          <w:bCs w:val="0"/>
          <w:kern w:val="0"/>
          <w:sz w:val="32"/>
          <w:szCs w:val="32"/>
          <w:highlight w:val="none"/>
          <w:lang w:val="en-US" w:eastAsia="zh-CN"/>
        </w:rPr>
        <w:t>3,350,683</w:t>
      </w:r>
      <w:r>
        <w:rPr>
          <w:rFonts w:hint="eastAsia" w:ascii="仿宋_GB2312" w:hAnsi="仿宋_GB2312" w:eastAsia="仿宋_GB2312" w:cs="仿宋_GB2312"/>
          <w:b w:val="0"/>
          <w:bCs w:val="0"/>
          <w:kern w:val="0"/>
          <w:sz w:val="32"/>
          <w:szCs w:val="32"/>
          <w:highlight w:val="none"/>
        </w:rPr>
        <w:t>万元。收支相抵，202</w:t>
      </w:r>
      <w:r>
        <w:rPr>
          <w:rFonts w:hint="eastAsia" w:ascii="仿宋_GB2312" w:hAnsi="仿宋_GB2312" w:eastAsia="仿宋_GB2312" w:cs="仿宋_GB2312"/>
          <w:b w:val="0"/>
          <w:bCs w:val="0"/>
          <w:kern w:val="0"/>
          <w:sz w:val="32"/>
          <w:szCs w:val="32"/>
          <w:highlight w:val="none"/>
          <w:lang w:val="en-US" w:eastAsia="zh-CN"/>
        </w:rPr>
        <w:t>4</w:t>
      </w:r>
      <w:r>
        <w:rPr>
          <w:rFonts w:hint="eastAsia" w:ascii="仿宋_GB2312" w:hAnsi="仿宋_GB2312" w:eastAsia="仿宋_GB2312" w:cs="仿宋_GB2312"/>
          <w:b w:val="0"/>
          <w:bCs w:val="0"/>
          <w:kern w:val="0"/>
          <w:sz w:val="32"/>
          <w:szCs w:val="32"/>
          <w:highlight w:val="none"/>
        </w:rPr>
        <w:t>年全区部门年末结转结余</w:t>
      </w:r>
      <w:r>
        <w:rPr>
          <w:rFonts w:hint="eastAsia" w:ascii="仿宋_GB2312" w:hAnsi="仿宋_GB2312" w:eastAsia="仿宋_GB2312" w:cs="仿宋_GB2312"/>
          <w:b w:val="0"/>
          <w:bCs w:val="0"/>
          <w:kern w:val="0"/>
          <w:sz w:val="32"/>
          <w:szCs w:val="32"/>
          <w:highlight w:val="none"/>
          <w:lang w:val="en-US" w:eastAsia="zh-CN"/>
        </w:rPr>
        <w:t>22,142</w:t>
      </w:r>
      <w:r>
        <w:rPr>
          <w:rFonts w:hint="eastAsia" w:ascii="仿宋_GB2312" w:hAnsi="仿宋_GB2312" w:eastAsia="仿宋_GB2312" w:cs="仿宋_GB2312"/>
          <w:b w:val="0"/>
          <w:bCs w:val="0"/>
          <w:kern w:val="0"/>
          <w:sz w:val="32"/>
          <w:szCs w:val="32"/>
          <w:highlight w:val="none"/>
        </w:rPr>
        <w:t>万元。</w:t>
      </w:r>
    </w:p>
    <w:p w14:paraId="061C076E">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十一、</w:t>
      </w:r>
      <w:r>
        <w:rPr>
          <w:rFonts w:hint="eastAsia" w:ascii="黑体" w:hAnsi="黑体" w:eastAsia="黑体" w:cs="黑体"/>
          <w:b w:val="0"/>
          <w:bCs w:val="0"/>
          <w:sz w:val="32"/>
          <w:szCs w:val="32"/>
          <w:highlight w:val="none"/>
        </w:rPr>
        <w:t>20</w:t>
      </w:r>
      <w:r>
        <w:rPr>
          <w:rFonts w:hint="eastAsia" w:ascii="黑体" w:hAnsi="黑体" w:eastAsia="黑体" w:cs="黑体"/>
          <w:b w:val="0"/>
          <w:bCs w:val="0"/>
          <w:sz w:val="32"/>
          <w:szCs w:val="32"/>
          <w:highlight w:val="none"/>
          <w:lang w:val="en-US" w:eastAsia="zh-CN"/>
        </w:rPr>
        <w:t>24</w:t>
      </w:r>
      <w:r>
        <w:rPr>
          <w:rFonts w:hint="eastAsia" w:ascii="黑体" w:hAnsi="黑体" w:eastAsia="黑体" w:cs="黑体"/>
          <w:b w:val="0"/>
          <w:bCs w:val="0"/>
          <w:sz w:val="32"/>
          <w:szCs w:val="32"/>
          <w:highlight w:val="none"/>
        </w:rPr>
        <w:t>年预算绩效管理工作开展情况</w:t>
      </w:r>
    </w:p>
    <w:p w14:paraId="0BDACA05">
      <w:pPr>
        <w:keepNext w:val="0"/>
        <w:keepLines w:val="0"/>
        <w:pageBreakBefore w:val="0"/>
        <w:widowControl w:val="0"/>
        <w:wordWrap/>
        <w:topLinePunct w:val="0"/>
        <w:autoSpaceDN/>
        <w:bidi w:val="0"/>
        <w:adjustRightInd/>
        <w:snapToGrid/>
        <w:spacing w:line="540" w:lineRule="exact"/>
        <w:ind w:left="0" w:right="0" w:firstLine="640" w:firstLineChars="200"/>
        <w:textAlignment w:val="auto"/>
        <w:outlineLvl w:val="9"/>
        <w:rPr>
          <w:rFonts w:hint="eastAsia" w:ascii="仿宋_GB2312" w:hAnsi="Times New Roman" w:eastAsia="仿宋_GB2312" w:cs="Times New Roman"/>
          <w:b w:val="0"/>
          <w:bCs w:val="0"/>
          <w:sz w:val="32"/>
          <w:szCs w:val="32"/>
          <w:lang w:eastAsia="zh-CN"/>
        </w:rPr>
      </w:pPr>
      <w:r>
        <w:rPr>
          <w:rFonts w:hint="eastAsia" w:ascii="仿宋_GB2312" w:hAnsi="Times New Roman" w:eastAsia="仿宋_GB2312" w:cs="Times New Roman"/>
          <w:b w:val="0"/>
          <w:bCs w:val="0"/>
          <w:sz w:val="32"/>
          <w:szCs w:val="32"/>
          <w:lang w:val="en-US" w:eastAsia="zh-CN"/>
        </w:rPr>
        <w:t>2024年我区持续深入推进我区预算绩效管理工作，树牢过“紧日子”思想，提高财政资金使用效益。</w:t>
      </w:r>
    </w:p>
    <w:p w14:paraId="2AAE6567">
      <w:pPr>
        <w:keepNext w:val="0"/>
        <w:keepLines w:val="0"/>
        <w:pageBreakBefore w:val="0"/>
        <w:widowControl/>
        <w:numPr>
          <w:ilvl w:val="0"/>
          <w:numId w:val="3"/>
        </w:numPr>
        <w:kinsoku/>
        <w:wordWrap/>
        <w:overflowPunct/>
        <w:topLinePunct w:val="0"/>
        <w:autoSpaceDE/>
        <w:autoSpaceDN/>
        <w:bidi w:val="0"/>
        <w:adjustRightInd/>
        <w:snapToGrid/>
        <w:spacing w:line="540" w:lineRule="exact"/>
        <w:ind w:firstLine="63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强化绩效目标管理，抓好预算绩效评审工作</w:t>
      </w:r>
    </w:p>
    <w:p w14:paraId="24B9EA81">
      <w:pPr>
        <w:keepNext w:val="0"/>
        <w:keepLines w:val="0"/>
        <w:pageBreakBefore w:val="0"/>
        <w:widowControl/>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b w:val="0"/>
          <w:bCs w:val="0"/>
          <w:sz w:val="32"/>
          <w:szCs w:val="32"/>
          <w:lang w:val="en-US" w:eastAsia="zh-CN"/>
        </w:rPr>
      </w:pPr>
      <w:r>
        <w:rPr>
          <w:rFonts w:hint="eastAsia" w:ascii="仿宋_GB2312" w:hAnsi="Times New Roman" w:eastAsia="仿宋_GB2312" w:cs="Times New Roman"/>
          <w:b w:val="0"/>
          <w:bCs w:val="0"/>
          <w:sz w:val="32"/>
          <w:szCs w:val="32"/>
          <w:lang w:val="en-US" w:eastAsia="zh-CN"/>
        </w:rPr>
        <w:t>将绩效目标编制与预算编制放在同等重要位置，实现绩效目标与预算编制同步布置、同步申报、同步批复、同步公开。秉持“源头把控”原则</w:t>
      </w:r>
      <w:r>
        <w:rPr>
          <w:rFonts w:hint="eastAsia" w:ascii="仿宋_GB2312" w:eastAsia="仿宋_GB2312" w:cs="Times New Roman"/>
          <w:b w:val="0"/>
          <w:bCs w:val="0"/>
          <w:sz w:val="32"/>
          <w:szCs w:val="32"/>
          <w:highlight w:val="none"/>
          <w:lang w:val="en-US" w:eastAsia="zh-CN"/>
        </w:rPr>
        <w:t>，</w:t>
      </w:r>
      <w:r>
        <w:rPr>
          <w:rFonts w:hint="eastAsia" w:ascii="仿宋_GB2312" w:hAnsi="Times New Roman" w:eastAsia="仿宋_GB2312" w:cs="Times New Roman"/>
          <w:b w:val="0"/>
          <w:bCs w:val="0"/>
          <w:sz w:val="32"/>
          <w:szCs w:val="32"/>
          <w:lang w:val="en-US" w:eastAsia="zh-CN"/>
        </w:rPr>
        <w:t>聚焦过紧日子要求，持续抓好预算绩效评审工作。抽取6个项目开展预算绩效评审，涉及目标申报金额4,514万元，核减资金102万元，综合核减率为2.25%；选取区市场监督管理局作为部门整体预算绩效评审对象，涉及本年度预算申请总额28,442万元，核减资金273万元，核减率约0.96%。</w:t>
      </w:r>
    </w:p>
    <w:p w14:paraId="32B8DB37">
      <w:pPr>
        <w:keepNext w:val="0"/>
        <w:keepLines w:val="0"/>
        <w:pageBreakBefore w:val="0"/>
        <w:widowControl/>
        <w:numPr>
          <w:ilvl w:val="0"/>
          <w:numId w:val="3"/>
        </w:numPr>
        <w:kinsoku/>
        <w:wordWrap/>
        <w:overflowPunct/>
        <w:topLinePunct w:val="0"/>
        <w:autoSpaceDE/>
        <w:autoSpaceDN/>
        <w:bidi w:val="0"/>
        <w:adjustRightInd/>
        <w:snapToGrid/>
        <w:spacing w:line="540" w:lineRule="exact"/>
        <w:ind w:firstLine="63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强化绩效运行监控</w:t>
      </w:r>
    </w:p>
    <w:p w14:paraId="0EC971DB">
      <w:pPr>
        <w:keepNext w:val="0"/>
        <w:keepLines w:val="0"/>
        <w:pageBreakBefore w:val="0"/>
        <w:widowControl/>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b w:val="0"/>
          <w:bCs w:val="0"/>
          <w:sz w:val="32"/>
          <w:szCs w:val="32"/>
          <w:lang w:val="en-US" w:eastAsia="zh-CN"/>
        </w:rPr>
      </w:pPr>
      <w:r>
        <w:rPr>
          <w:rFonts w:hint="eastAsia" w:ascii="仿宋_GB2312" w:hAnsi="Times New Roman" w:eastAsia="仿宋_GB2312" w:cs="Times New Roman"/>
          <w:b w:val="0"/>
          <w:bCs w:val="0"/>
          <w:sz w:val="32"/>
          <w:szCs w:val="32"/>
          <w:lang w:val="en-US" w:eastAsia="zh-CN"/>
        </w:rPr>
        <w:t>采用部门自行监控与财政重点监控双结合模式开展绩效运行监控工作，健全以部门整体监控为基础、紧盯重点项目的绩效监控机制。在各部门开展绩效自行监控的基础上，聚焦民生和重点领域，将41个2024年度科技经费项目、区十件民生实事项目、预算绩效评审结果为低项目的绩效运行情况纳入本年度重点监控项目范围，涉及2024年初预算资金197,460万元；对区市场监管局、区投资促进中心、区健康管理中心三个部门实施整体绩效运行监控。</w:t>
      </w:r>
    </w:p>
    <w:p w14:paraId="3E340C30">
      <w:pPr>
        <w:keepNext w:val="0"/>
        <w:keepLines w:val="0"/>
        <w:pageBreakBefore w:val="0"/>
        <w:widowControl/>
        <w:numPr>
          <w:ilvl w:val="0"/>
          <w:numId w:val="3"/>
        </w:numPr>
        <w:kinsoku/>
        <w:wordWrap/>
        <w:overflowPunct/>
        <w:topLinePunct w:val="0"/>
        <w:autoSpaceDE/>
        <w:autoSpaceDN/>
        <w:bidi w:val="0"/>
        <w:adjustRightInd/>
        <w:snapToGrid/>
        <w:spacing w:line="540" w:lineRule="exact"/>
        <w:ind w:firstLine="63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实施支出绩效评价</w:t>
      </w:r>
    </w:p>
    <w:p w14:paraId="342B5052">
      <w:pPr>
        <w:keepNext w:val="0"/>
        <w:keepLines w:val="0"/>
        <w:pageBreakBefore w:val="0"/>
        <w:widowControl/>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b w:val="0"/>
          <w:bCs w:val="0"/>
          <w:sz w:val="32"/>
          <w:szCs w:val="32"/>
          <w:lang w:val="en-US" w:eastAsia="zh-CN"/>
        </w:rPr>
      </w:pPr>
      <w:r>
        <w:rPr>
          <w:rFonts w:hint="eastAsia" w:ascii="仿宋_GB2312" w:hAnsi="Times New Roman" w:eastAsia="仿宋_GB2312" w:cs="Times New Roman"/>
          <w:b w:val="0"/>
          <w:bCs w:val="0"/>
          <w:sz w:val="32"/>
          <w:szCs w:val="32"/>
          <w:lang w:val="en-US" w:eastAsia="zh-CN"/>
        </w:rPr>
        <w:t>根据“全面自评、部分复核、重点评价”原则，组织和实施2024年财政资金绩效评价工作。对纳入2023年度政府预算管理的所有财政资金和主管部门及所属预算单位部署开展绩效自评、部门评价，并选取24个项目、3个专项债券、4个部门、1个政策开展财政自评复核和财政重点评价，涉及2023年度财政资金342,265万元，评价优良率为96.88%。</w:t>
      </w:r>
    </w:p>
    <w:p w14:paraId="1104C772">
      <w:pPr>
        <w:pStyle w:val="2"/>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楷体_GB2312" w:hAnsi="楷体_GB2312" w:eastAsia="楷体_GB2312" w:cs="楷体_GB2312"/>
          <w:b w:val="0"/>
          <w:bCs w:val="0"/>
          <w:kern w:val="2"/>
          <w:sz w:val="32"/>
          <w:szCs w:val="32"/>
          <w:lang w:val="en-US" w:eastAsia="zh-CN"/>
        </w:rPr>
      </w:pPr>
      <w:r>
        <w:rPr>
          <w:rFonts w:hint="eastAsia" w:ascii="楷体_GB2312" w:hAnsi="楷体_GB2312" w:eastAsia="楷体_GB2312" w:cs="楷体_GB2312"/>
          <w:b w:val="0"/>
          <w:bCs w:val="0"/>
          <w:kern w:val="2"/>
          <w:sz w:val="32"/>
          <w:szCs w:val="32"/>
          <w:lang w:val="en-US" w:eastAsia="zh-CN"/>
        </w:rPr>
        <w:t>（四）强化绩效结果应用</w:t>
      </w:r>
    </w:p>
    <w:p w14:paraId="53DD0254">
      <w:pPr>
        <w:pStyle w:val="2"/>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Times New Roman" w:eastAsia="仿宋_GB2312" w:cs="Times New Roman"/>
          <w:b w:val="0"/>
          <w:bCs w:val="0"/>
          <w:kern w:val="2"/>
          <w:sz w:val="32"/>
          <w:szCs w:val="32"/>
          <w:lang w:val="en-US" w:eastAsia="zh-CN"/>
        </w:rPr>
      </w:pPr>
      <w:r>
        <w:rPr>
          <w:rFonts w:hint="eastAsia" w:ascii="仿宋_GB2312" w:hAnsi="Times New Roman" w:eastAsia="仿宋_GB2312" w:cs="Times New Roman"/>
          <w:b w:val="0"/>
          <w:bCs w:val="0"/>
          <w:kern w:val="2"/>
          <w:sz w:val="32"/>
          <w:szCs w:val="32"/>
          <w:lang w:val="en-US" w:eastAsia="zh-CN"/>
        </w:rPr>
        <w:t xml:space="preserve">  评价结束后组织所有被评价项目（政策、部门整体）的主管部门，针对绩效评价报告中的存在问题及改进措施开展整改工作，并且通过采取全面核查+重点抽查的方式加强对预算单位后续整改工作的监督。</w:t>
      </w:r>
    </w:p>
    <w:p w14:paraId="657EDE90">
      <w:pPr>
        <w:keepNext w:val="0"/>
        <w:keepLines w:val="0"/>
        <w:pageBreakBefore w:val="0"/>
        <w:widowControl w:val="0"/>
        <w:kinsoku/>
        <w:wordWrap/>
        <w:overflowPunct/>
        <w:topLinePunct w:val="0"/>
        <w:autoSpaceDE/>
        <w:autoSpaceDN/>
        <w:bidi w:val="0"/>
        <w:snapToGrid/>
        <w:spacing w:line="540" w:lineRule="exact"/>
        <w:ind w:left="0" w:leftChars="0" w:right="0" w:firstLine="640" w:firstLineChars="200"/>
        <w:jc w:val="both"/>
        <w:textAlignment w:val="auto"/>
        <w:outlineLvl w:val="9"/>
        <w:rPr>
          <w:rFonts w:hint="default" w:ascii="仿宋_GB2312" w:hAnsi="仿宋_GB2312" w:eastAsia="黑体" w:cs="仿宋_GB2312"/>
          <w:b w:val="0"/>
          <w:bCs w:val="0"/>
          <w:sz w:val="32"/>
          <w:szCs w:val="32"/>
          <w:highlight w:val="none"/>
          <w:lang w:val="en-US" w:eastAsia="zh-CN"/>
        </w:rPr>
      </w:pPr>
      <w:r>
        <w:rPr>
          <w:rFonts w:hint="eastAsia" w:ascii="黑体" w:hAnsi="黑体" w:eastAsia="黑体" w:cs="黑体"/>
          <w:b w:val="0"/>
          <w:bCs w:val="0"/>
          <w:sz w:val="32"/>
          <w:szCs w:val="32"/>
          <w:highlight w:val="none"/>
        </w:rPr>
        <w:t>十</w:t>
      </w:r>
      <w:r>
        <w:rPr>
          <w:rFonts w:hint="eastAsia" w:ascii="黑体" w:hAnsi="黑体" w:eastAsia="黑体" w:cs="黑体"/>
          <w:b w:val="0"/>
          <w:bCs w:val="0"/>
          <w:sz w:val="32"/>
          <w:szCs w:val="32"/>
          <w:highlight w:val="none"/>
          <w:lang w:eastAsia="zh-CN"/>
        </w:rPr>
        <w:t>二、</w:t>
      </w:r>
      <w:r>
        <w:rPr>
          <w:rFonts w:hint="eastAsia" w:ascii="黑体" w:hAnsi="黑体" w:eastAsia="黑体" w:cs="黑体"/>
          <w:b w:val="0"/>
          <w:bCs w:val="0"/>
          <w:sz w:val="32"/>
          <w:szCs w:val="32"/>
          <w:highlight w:val="none"/>
        </w:rPr>
        <w:t>财政管理改革及落实区人大决议意见情况</w:t>
      </w:r>
    </w:p>
    <w:p w14:paraId="072FCC5E">
      <w:pPr>
        <w:pStyle w:val="3"/>
        <w:keepNext w:val="0"/>
        <w:keepLines w:val="0"/>
        <w:pageBreakBefore w:val="0"/>
        <w:widowControl w:val="0"/>
        <w:kinsoku/>
        <w:wordWrap/>
        <w:overflowPunct/>
        <w:topLinePunct w:val="0"/>
        <w:autoSpaceDE/>
        <w:autoSpaceDN/>
        <w:bidi w:val="0"/>
        <w:snapToGrid/>
        <w:spacing w:before="0" w:line="540" w:lineRule="exact"/>
        <w:ind w:left="0" w:leftChars="0" w:right="0" w:firstLine="640" w:firstLineChars="200"/>
        <w:textAlignment w:val="auto"/>
        <w:outlineLvl w:val="9"/>
        <w:rPr>
          <w:rFonts w:hint="eastAsia" w:ascii="仿宋_GB2312" w:hAnsi="仿宋_GB2312" w:eastAsia="仿宋_GB2312" w:cs="仿宋_GB2312"/>
          <w:b w:val="0"/>
          <w:bCs w:val="0"/>
          <w:kern w:val="2"/>
          <w:sz w:val="32"/>
          <w:szCs w:val="32"/>
          <w:highlight w:val="none"/>
          <w:lang w:eastAsia="zh-CN"/>
        </w:rPr>
      </w:pPr>
      <w:r>
        <w:rPr>
          <w:rFonts w:hint="eastAsia" w:ascii="仿宋_GB2312" w:hAnsi="仿宋_GB2312" w:eastAsia="仿宋_GB2312" w:cs="仿宋_GB2312"/>
          <w:b w:val="0"/>
          <w:bCs w:val="0"/>
          <w:highlight w:val="none"/>
          <w:lang w:eastAsia="zh-CN"/>
        </w:rPr>
        <w:t>番禺区</w:t>
      </w:r>
      <w:r>
        <w:rPr>
          <w:rFonts w:hint="eastAsia" w:ascii="仿宋_GB2312" w:hAnsi="仿宋_GB2312" w:eastAsia="仿宋_GB2312" w:cs="仿宋_GB2312"/>
          <w:b w:val="0"/>
          <w:bCs w:val="0"/>
          <w:sz w:val="32"/>
          <w:highlight w:val="none"/>
          <w:lang w:val="en-US" w:eastAsia="zh-CN"/>
        </w:rPr>
        <w:t>第十八届人大第四次会议</w:t>
      </w:r>
      <w:r>
        <w:rPr>
          <w:rFonts w:hint="eastAsia" w:ascii="仿宋_GB2312" w:hAnsi="仿宋_GB2312" w:eastAsia="仿宋_GB2312" w:cs="仿宋_GB2312"/>
          <w:b w:val="0"/>
          <w:bCs w:val="0"/>
          <w:kern w:val="2"/>
          <w:sz w:val="32"/>
          <w:szCs w:val="32"/>
          <w:highlight w:val="none"/>
          <w:lang w:eastAsia="zh-CN"/>
        </w:rPr>
        <w:t>审议批准了我区20</w:t>
      </w:r>
      <w:r>
        <w:rPr>
          <w:rFonts w:hint="eastAsia" w:ascii="仿宋_GB2312" w:hAnsi="仿宋_GB2312" w:eastAsia="仿宋_GB2312" w:cs="仿宋_GB2312"/>
          <w:b w:val="0"/>
          <w:bCs w:val="0"/>
          <w:kern w:val="2"/>
          <w:sz w:val="32"/>
          <w:szCs w:val="32"/>
          <w:highlight w:val="none"/>
          <w:lang w:val="en-US" w:eastAsia="zh-CN"/>
        </w:rPr>
        <w:t>24</w:t>
      </w:r>
      <w:r>
        <w:rPr>
          <w:rFonts w:hint="eastAsia" w:ascii="仿宋_GB2312" w:hAnsi="仿宋_GB2312" w:eastAsia="仿宋_GB2312" w:cs="仿宋_GB2312"/>
          <w:b w:val="0"/>
          <w:bCs w:val="0"/>
          <w:kern w:val="2"/>
          <w:sz w:val="32"/>
          <w:szCs w:val="32"/>
          <w:highlight w:val="none"/>
          <w:lang w:eastAsia="zh-CN"/>
        </w:rPr>
        <w:t>年区本级预算，对预算编制执行和风险防控等提出了具体要求。我区高度重视，坚持习近平新时代中国特色社会主义思想为指导，全面贯彻落实党的二十大精神，紧紧围绕区委、区政府的决策部署，坚持稳中求进工作总基调，锚定“智造创新城”定位，较好完成了</w:t>
      </w:r>
      <w:r>
        <w:rPr>
          <w:rFonts w:hint="eastAsia" w:ascii="仿宋_GB2312" w:hAnsi="仿宋_GB2312" w:eastAsia="仿宋_GB2312" w:cs="仿宋_GB2312"/>
          <w:b w:val="0"/>
          <w:bCs w:val="0"/>
          <w:highlight w:val="none"/>
          <w:lang w:eastAsia="zh-CN"/>
        </w:rPr>
        <w:t>区十八届人大四次会议</w:t>
      </w:r>
      <w:r>
        <w:rPr>
          <w:rFonts w:hint="eastAsia" w:ascii="仿宋_GB2312" w:hAnsi="仿宋_GB2312" w:eastAsia="仿宋_GB2312" w:cs="仿宋_GB2312"/>
          <w:b w:val="0"/>
          <w:bCs w:val="0"/>
          <w:kern w:val="2"/>
          <w:sz w:val="32"/>
          <w:szCs w:val="32"/>
          <w:highlight w:val="none"/>
          <w:lang w:eastAsia="zh-CN"/>
        </w:rPr>
        <w:t>确定的任务目标，全力推动经济社会发展取得新成效。</w:t>
      </w:r>
    </w:p>
    <w:p w14:paraId="53054C5F">
      <w:pPr>
        <w:pStyle w:val="3"/>
        <w:keepNext w:val="0"/>
        <w:keepLines w:val="0"/>
        <w:pageBreakBefore w:val="0"/>
        <w:widowControl w:val="0"/>
        <w:numPr>
          <w:ilvl w:val="0"/>
          <w:numId w:val="4"/>
        </w:numPr>
        <w:kinsoku/>
        <w:wordWrap/>
        <w:overflowPunct/>
        <w:topLinePunct w:val="0"/>
        <w:autoSpaceDE/>
        <w:autoSpaceDN/>
        <w:bidi w:val="0"/>
        <w:snapToGrid/>
        <w:spacing w:before="0" w:line="540" w:lineRule="exact"/>
        <w:ind w:left="0" w:leftChars="0" w:right="0" w:firstLine="640" w:firstLineChars="200"/>
        <w:textAlignment w:val="auto"/>
        <w:outlineLvl w:val="9"/>
        <w:rPr>
          <w:rFonts w:hint="eastAsia" w:ascii="仿宋_GB2312" w:hAnsi="仿宋_GB2312" w:eastAsia="仿宋_GB2312" w:cs="仿宋_GB2312"/>
          <w:b w:val="0"/>
          <w:bCs w:val="0"/>
          <w:kern w:val="2"/>
          <w:sz w:val="32"/>
          <w:szCs w:val="32"/>
          <w:highlight w:val="none"/>
          <w:lang w:eastAsia="zh-CN"/>
        </w:rPr>
      </w:pPr>
      <w:r>
        <w:rPr>
          <w:rFonts w:hint="eastAsia" w:ascii="楷体_GB2312" w:hAnsi="楷体_GB2312" w:eastAsia="楷体_GB2312" w:cs="楷体_GB2312"/>
          <w:b w:val="0"/>
          <w:bCs w:val="0"/>
          <w:kern w:val="2"/>
          <w:sz w:val="32"/>
          <w:szCs w:val="32"/>
          <w:highlight w:val="none"/>
          <w:lang w:eastAsia="zh-CN"/>
        </w:rPr>
        <w:t>以政领财、稳中求进，科学精准编制预算</w:t>
      </w:r>
    </w:p>
    <w:p w14:paraId="5677385A">
      <w:pPr>
        <w:pStyle w:val="3"/>
        <w:keepNext w:val="0"/>
        <w:keepLines w:val="0"/>
        <w:pageBreakBefore w:val="0"/>
        <w:widowControl w:val="0"/>
        <w:numPr>
          <w:ilvl w:val="-1"/>
          <w:numId w:val="0"/>
        </w:numPr>
        <w:kinsoku/>
        <w:wordWrap/>
        <w:overflowPunct/>
        <w:topLinePunct w:val="0"/>
        <w:autoSpaceDE/>
        <w:autoSpaceDN/>
        <w:bidi w:val="0"/>
        <w:snapToGrid/>
        <w:spacing w:before="0" w:line="540" w:lineRule="exact"/>
        <w:ind w:left="0" w:leftChars="0" w:right="0" w:firstLine="640" w:firstLineChars="200"/>
        <w:textAlignment w:val="auto"/>
        <w:outlineLvl w:val="9"/>
        <w:rPr>
          <w:rFonts w:hint="eastAsia" w:ascii="仿宋_GB2312" w:hAnsi="仿宋_GB2312" w:eastAsia="仿宋_GB2312" w:cs="仿宋_GB2312"/>
          <w:b w:val="0"/>
          <w:bCs w:val="0"/>
          <w:kern w:val="2"/>
          <w:sz w:val="32"/>
          <w:szCs w:val="32"/>
          <w:highlight w:val="none"/>
          <w:lang w:eastAsia="zh-CN"/>
        </w:rPr>
      </w:pPr>
      <w:r>
        <w:rPr>
          <w:rFonts w:hint="eastAsia" w:ascii="仿宋_GB2312" w:hAnsi="仿宋_GB2312" w:eastAsia="仿宋_GB2312" w:cs="仿宋_GB2312"/>
          <w:b w:val="0"/>
          <w:bCs w:val="0"/>
          <w:kern w:val="2"/>
          <w:sz w:val="32"/>
          <w:szCs w:val="32"/>
          <w:highlight w:val="none"/>
          <w:lang w:eastAsia="zh-CN"/>
        </w:rPr>
        <w:t>坚持以政领财、稳中求进，合理编制202</w:t>
      </w:r>
      <w:r>
        <w:rPr>
          <w:rFonts w:hint="eastAsia" w:ascii="仿宋_GB2312" w:hAnsi="仿宋_GB2312" w:eastAsia="仿宋_GB2312" w:cs="仿宋_GB2312"/>
          <w:b w:val="0"/>
          <w:bCs w:val="0"/>
          <w:kern w:val="2"/>
          <w:sz w:val="32"/>
          <w:szCs w:val="32"/>
          <w:highlight w:val="none"/>
          <w:lang w:val="en-US" w:eastAsia="zh-CN"/>
        </w:rPr>
        <w:t>4</w:t>
      </w:r>
      <w:r>
        <w:rPr>
          <w:rFonts w:hint="eastAsia" w:ascii="仿宋_GB2312" w:hAnsi="仿宋_GB2312" w:eastAsia="仿宋_GB2312" w:cs="仿宋_GB2312"/>
          <w:b w:val="0"/>
          <w:bCs w:val="0"/>
          <w:kern w:val="2"/>
          <w:sz w:val="32"/>
          <w:szCs w:val="32"/>
          <w:highlight w:val="none"/>
          <w:lang w:eastAsia="zh-CN"/>
        </w:rPr>
        <w:t>年年初预算与两次调整预算；财政收入计划与经济发展水平相适宜，财政支出与政策导向相协调，在确保财政收支平衡基础上编制财政预期目标，保持适度财政支出强度，有力支撑我区经济社会高质量发展。</w:t>
      </w:r>
      <w:r>
        <w:rPr>
          <w:rFonts w:hint="eastAsia" w:ascii="仿宋_GB2312" w:hAnsi="仿宋_GB2312" w:eastAsia="仿宋_GB2312" w:cs="仿宋_GB2312"/>
          <w:b w:val="0"/>
          <w:bCs w:val="0"/>
          <w:highlight w:val="none"/>
          <w:lang w:eastAsia="zh-CN"/>
        </w:rPr>
        <w:t>区第十八届人大</w:t>
      </w:r>
      <w:r>
        <w:rPr>
          <w:rFonts w:hint="eastAsia" w:ascii="仿宋_GB2312" w:hAnsi="仿宋_GB2312" w:eastAsia="仿宋_GB2312" w:cs="仿宋_GB2312"/>
          <w:b w:val="0"/>
          <w:bCs w:val="0"/>
          <w:highlight w:val="none"/>
          <w:lang w:val="en-US" w:eastAsia="zh-CN"/>
        </w:rPr>
        <w:t>第</w:t>
      </w:r>
      <w:r>
        <w:rPr>
          <w:rFonts w:hint="eastAsia" w:ascii="仿宋_GB2312" w:hAnsi="仿宋_GB2312" w:eastAsia="仿宋_GB2312" w:cs="仿宋_GB2312"/>
          <w:b w:val="0"/>
          <w:bCs w:val="0"/>
          <w:highlight w:val="none"/>
          <w:lang w:eastAsia="zh-CN"/>
        </w:rPr>
        <w:t>四次会议批准的预算和第十八届人大常委会三十三次、第十八届人大常委会三十七次会议批准的预算调整方案执行情况良好。</w:t>
      </w:r>
    </w:p>
    <w:p w14:paraId="307E9BCA">
      <w:pPr>
        <w:pStyle w:val="3"/>
        <w:keepNext w:val="0"/>
        <w:keepLines w:val="0"/>
        <w:pageBreakBefore w:val="0"/>
        <w:widowControl w:val="0"/>
        <w:numPr>
          <w:ilvl w:val="0"/>
          <w:numId w:val="4"/>
        </w:numPr>
        <w:kinsoku/>
        <w:wordWrap/>
        <w:overflowPunct/>
        <w:topLinePunct w:val="0"/>
        <w:autoSpaceDE/>
        <w:autoSpaceDN/>
        <w:bidi w:val="0"/>
        <w:adjustRightInd/>
        <w:snapToGrid/>
        <w:spacing w:before="0" w:line="540" w:lineRule="exact"/>
        <w:ind w:left="0" w:leftChars="0" w:right="0" w:rightChars="0" w:firstLine="640" w:firstLineChars="200"/>
        <w:textAlignment w:val="auto"/>
        <w:outlineLvl w:val="9"/>
        <w:rPr>
          <w:rFonts w:hint="eastAsia" w:ascii="楷体_GB2312" w:hAnsi="楷体_GB2312" w:eastAsia="楷体_GB2312" w:cs="楷体_GB2312"/>
          <w:b w:val="0"/>
          <w:bCs w:val="0"/>
          <w:highlight w:val="none"/>
          <w:lang w:eastAsia="zh-CN"/>
        </w:rPr>
      </w:pPr>
      <w:r>
        <w:rPr>
          <w:rFonts w:hint="eastAsia" w:ascii="楷体_GB2312" w:hAnsi="楷体_GB2312" w:eastAsia="楷体_GB2312" w:cs="楷体_GB2312"/>
          <w:b w:val="0"/>
          <w:bCs w:val="0"/>
          <w:highlight w:val="none"/>
        </w:rPr>
        <w:t>规范统筹、量入为出</w:t>
      </w:r>
      <w:r>
        <w:rPr>
          <w:rFonts w:hint="eastAsia" w:ascii="楷体_GB2312" w:hAnsi="楷体_GB2312" w:eastAsia="楷体_GB2312" w:cs="楷体_GB2312"/>
          <w:b w:val="0"/>
          <w:bCs w:val="0"/>
          <w:highlight w:val="none"/>
          <w:lang w:eastAsia="zh-CN"/>
        </w:rPr>
        <w:t>，聚焦资金效益和政策效果</w:t>
      </w:r>
    </w:p>
    <w:p w14:paraId="0B96B72D">
      <w:pPr>
        <w:pStyle w:val="3"/>
        <w:keepNext w:val="0"/>
        <w:keepLines w:val="0"/>
        <w:pageBreakBefore w:val="0"/>
        <w:widowControl w:val="0"/>
        <w:numPr>
          <w:ilvl w:val="-1"/>
          <w:numId w:val="0"/>
        </w:numPr>
        <w:kinsoku/>
        <w:wordWrap/>
        <w:overflowPunct/>
        <w:topLinePunct w:val="0"/>
        <w:autoSpaceDE/>
        <w:autoSpaceDN/>
        <w:bidi w:val="0"/>
        <w:adjustRightInd/>
        <w:snapToGrid/>
        <w:spacing w:before="0" w:line="540" w:lineRule="exact"/>
        <w:ind w:left="0" w:leftChars="0" w:right="0" w:rightChars="0" w:firstLine="640" w:firstLineChars="200"/>
        <w:textAlignment w:val="auto"/>
        <w:outlineLvl w:val="9"/>
        <w:rPr>
          <w:rFonts w:hint="eastAsia" w:ascii="仿宋_GB2312" w:hAnsi="仿宋_GB2312" w:eastAsia="仿宋_GB2312" w:cs="仿宋_GB2312"/>
          <w:b w:val="0"/>
          <w:bCs w:val="0"/>
          <w:kern w:val="2"/>
          <w:sz w:val="32"/>
          <w:szCs w:val="32"/>
          <w:highlight w:val="none"/>
          <w:lang w:eastAsia="zh-CN"/>
        </w:rPr>
      </w:pPr>
      <w:r>
        <w:rPr>
          <w:rFonts w:hint="eastAsia" w:ascii="仿宋_GB2312" w:hAnsi="仿宋_GB2312" w:eastAsia="仿宋_GB2312" w:cs="仿宋_GB2312"/>
          <w:b w:val="0"/>
          <w:bCs w:val="0"/>
          <w:kern w:val="2"/>
          <w:sz w:val="32"/>
          <w:szCs w:val="32"/>
          <w:highlight w:val="none"/>
          <w:lang w:eastAsia="zh-CN"/>
        </w:rPr>
        <w:t>多渠道筹集资金，深化税源培植、巩固联动机制，充分挖掘各种政府资源潜力；加强三本预算统筹，国有资本经营预算调入提高到40%以上，积极盘活行政事业单位资源资产。加强对部门非财政拨款收入、存量资源资产和财政结转资金的统筹。坚持尽力而为、量力而行，争取更多上级财政资金、债券资金支持，有效减轻财政负担。</w:t>
      </w:r>
      <w:r>
        <w:rPr>
          <w:rFonts w:hint="eastAsia" w:ascii="仿宋_GB2312" w:hAnsi="仿宋_GB2312" w:eastAsia="仿宋_GB2312" w:cs="仿宋_GB2312"/>
          <w:b w:val="0"/>
          <w:bCs w:val="0"/>
          <w:kern w:val="2"/>
          <w:sz w:val="32"/>
          <w:szCs w:val="32"/>
          <w:highlight w:val="none"/>
          <w:lang w:val="en-US" w:eastAsia="zh-CN"/>
        </w:rPr>
        <w:t>2024年</w:t>
      </w:r>
      <w:r>
        <w:rPr>
          <w:rFonts w:hint="eastAsia" w:ascii="仿宋_GB2312" w:hAnsi="仿宋_GB2312" w:eastAsia="仿宋_GB2312" w:cs="仿宋_GB2312"/>
          <w:b w:val="0"/>
          <w:bCs w:val="0"/>
          <w:kern w:val="2"/>
          <w:sz w:val="32"/>
          <w:szCs w:val="32"/>
          <w:highlight w:val="none"/>
          <w:lang w:eastAsia="zh-CN"/>
        </w:rPr>
        <w:t>积极申报专项债券，规范使用债券资金，成功收到上级转贷下达新增债券资金</w:t>
      </w:r>
      <w:r>
        <w:rPr>
          <w:rFonts w:hint="eastAsia" w:ascii="仿宋_GB2312" w:hAnsi="仿宋_GB2312" w:eastAsia="仿宋_GB2312" w:cs="仿宋_GB2312"/>
          <w:b w:val="0"/>
          <w:bCs w:val="0"/>
          <w:kern w:val="2"/>
          <w:sz w:val="32"/>
          <w:szCs w:val="32"/>
          <w:highlight w:val="none"/>
          <w:lang w:val="en-US" w:eastAsia="zh-CN"/>
        </w:rPr>
        <w:t>562,600</w:t>
      </w:r>
      <w:r>
        <w:rPr>
          <w:rFonts w:hint="eastAsia" w:ascii="仿宋_GB2312" w:hAnsi="仿宋_GB2312" w:eastAsia="仿宋_GB2312" w:cs="仿宋_GB2312"/>
          <w:b w:val="0"/>
          <w:bCs w:val="0"/>
          <w:kern w:val="2"/>
          <w:sz w:val="32"/>
          <w:szCs w:val="32"/>
          <w:highlight w:val="none"/>
          <w:lang w:eastAsia="zh-CN"/>
        </w:rPr>
        <w:t>万元，全年实现100%支出，保障重点项目的建设工作。</w:t>
      </w:r>
    </w:p>
    <w:p w14:paraId="7E04F0AE">
      <w:pPr>
        <w:pStyle w:val="3"/>
        <w:keepNext w:val="0"/>
        <w:keepLines w:val="0"/>
        <w:pageBreakBefore w:val="0"/>
        <w:widowControl w:val="0"/>
        <w:numPr>
          <w:ilvl w:val="0"/>
          <w:numId w:val="4"/>
        </w:numPr>
        <w:kinsoku/>
        <w:wordWrap/>
        <w:overflowPunct/>
        <w:topLinePunct w:val="0"/>
        <w:autoSpaceDE/>
        <w:autoSpaceDN/>
        <w:bidi w:val="0"/>
        <w:adjustRightInd/>
        <w:snapToGrid/>
        <w:spacing w:before="0" w:line="540" w:lineRule="exact"/>
        <w:ind w:left="0" w:right="0" w:firstLine="640" w:firstLineChars="200"/>
        <w:textAlignment w:val="auto"/>
        <w:outlineLvl w:val="9"/>
        <w:rPr>
          <w:rFonts w:hint="eastAsia" w:ascii="仿宋_GB2312" w:hAnsi="仿宋_GB2312" w:eastAsia="仿宋_GB2312" w:cs="仿宋_GB2312"/>
          <w:b w:val="0"/>
          <w:bCs w:val="0"/>
          <w:kern w:val="2"/>
          <w:sz w:val="32"/>
          <w:szCs w:val="32"/>
          <w:highlight w:val="none"/>
          <w:lang w:eastAsia="zh-CN"/>
        </w:rPr>
      </w:pPr>
      <w:r>
        <w:rPr>
          <w:rFonts w:hint="eastAsia" w:ascii="楷体_GB2312" w:hAnsi="楷体_GB2312" w:eastAsia="楷体_GB2312" w:cs="楷体_GB2312"/>
          <w:b w:val="0"/>
          <w:bCs w:val="0"/>
          <w:kern w:val="2"/>
          <w:sz w:val="32"/>
          <w:szCs w:val="32"/>
          <w:highlight w:val="none"/>
          <w:lang w:eastAsia="zh-CN"/>
        </w:rPr>
        <w:t>绩效导向、均衡持续，坚守底线思维</w:t>
      </w:r>
    </w:p>
    <w:p w14:paraId="2F4CC34F">
      <w:pPr>
        <w:pStyle w:val="3"/>
        <w:keepNext w:val="0"/>
        <w:keepLines w:val="0"/>
        <w:pageBreakBefore w:val="0"/>
        <w:widowControl w:val="0"/>
        <w:numPr>
          <w:ilvl w:val="-1"/>
          <w:numId w:val="0"/>
        </w:numPr>
        <w:kinsoku/>
        <w:wordWrap/>
        <w:overflowPunct/>
        <w:topLinePunct w:val="0"/>
        <w:autoSpaceDE/>
        <w:autoSpaceDN/>
        <w:bidi w:val="0"/>
        <w:adjustRightInd/>
        <w:snapToGrid/>
        <w:spacing w:before="0" w:line="540" w:lineRule="exact"/>
        <w:ind w:left="0" w:leftChars="0" w:right="0" w:firstLine="640" w:firstLineChars="200"/>
        <w:textAlignment w:val="auto"/>
        <w:outlineLvl w:val="9"/>
        <w:rPr>
          <w:rFonts w:hint="eastAsia" w:ascii="仿宋_GB2312" w:hAnsi="仿宋_GB2312" w:eastAsia="仿宋_GB2312" w:cs="仿宋_GB2312"/>
          <w:b w:val="0"/>
          <w:bCs w:val="0"/>
          <w:kern w:val="2"/>
          <w:sz w:val="32"/>
          <w:szCs w:val="32"/>
          <w:highlight w:val="yellow"/>
          <w:lang w:eastAsia="zh-CN"/>
        </w:rPr>
      </w:pPr>
      <w:r>
        <w:rPr>
          <w:rFonts w:hint="eastAsia" w:ascii="仿宋_GB2312" w:hAnsi="仿宋_GB2312" w:eastAsia="仿宋_GB2312" w:cs="仿宋_GB2312"/>
          <w:b w:val="0"/>
          <w:bCs w:val="0"/>
          <w:kern w:val="2"/>
          <w:sz w:val="32"/>
          <w:szCs w:val="32"/>
          <w:highlight w:val="none"/>
          <w:lang w:eastAsia="zh-CN"/>
        </w:rPr>
        <w:t>统筹兼顾“稳增长”与“惠民生”的关系，合理确定财政支出政策和标准，强化中长期财政运行风险防控，严格按预算额度推进项目实施，坚持“三保”支出在财政支出中的优先顺序；树立系统观点，持续深化预算管理改革，提升财政政策与经济、社会等政策合力。严控地方债务风险，规范使用债券资金，高度重视地方政府债务风险防控管理工作，不折不扣执行中央、省、市有关坚决遏制隐性债务增量的规定，持续做好地方政府新增债券申报与规范支出等各项工作，全面梳理自查是否存在隐性债务风险隐患，有效牢守不发生区域性系统性财政金融风险的底线。强化财经纪律刚性约束，按照上级部门工作部署，围绕财经领域的主要矛盾和突出问题，开展地方财经纪律重点问题监督检查，加强监督检查结果运用，驰而不息规范财经秩序。</w:t>
      </w:r>
    </w:p>
    <w:p w14:paraId="5844E539">
      <w:pPr>
        <w:spacing w:line="540" w:lineRule="exact"/>
        <w:ind w:firstLine="640" w:firstLineChars="20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highlight w:val="none"/>
          <w:lang w:eastAsia="zh-CN"/>
        </w:rPr>
        <w:t>以上报告，请予审议。</w:t>
      </w:r>
    </w:p>
    <w:p w14:paraId="27CFD5A2">
      <w:pPr>
        <w:pStyle w:val="2"/>
        <w:spacing w:line="540" w:lineRule="exact"/>
        <w:ind w:firstLine="640" w:firstLineChars="200"/>
        <w:rPr>
          <w:rFonts w:hint="eastAsia" w:ascii="仿宋_GB2312" w:hAnsi="仿宋_GB2312" w:eastAsia="仿宋_GB2312" w:cs="仿宋_GB2312"/>
          <w:b w:val="0"/>
          <w:bCs w:val="0"/>
          <w:kern w:val="2"/>
          <w:sz w:val="32"/>
          <w:szCs w:val="32"/>
          <w:lang w:val="en-US" w:eastAsia="zh-CN"/>
        </w:rPr>
      </w:pPr>
    </w:p>
    <w:p w14:paraId="40ACDF6C">
      <w:pPr>
        <w:pStyle w:val="2"/>
        <w:spacing w:line="540" w:lineRule="exact"/>
        <w:ind w:firstLine="640" w:firstLineChars="200"/>
        <w:rPr>
          <w:b w:val="0"/>
          <w:bCs w:val="0"/>
          <w:sz w:val="32"/>
          <w:szCs w:val="32"/>
        </w:rPr>
      </w:pPr>
      <w:r>
        <w:rPr>
          <w:rFonts w:hint="eastAsia" w:ascii="仿宋_GB2312" w:hAnsi="仿宋_GB2312" w:eastAsia="仿宋_GB2312" w:cs="仿宋_GB2312"/>
          <w:b w:val="0"/>
          <w:bCs w:val="0"/>
          <w:kern w:val="2"/>
          <w:sz w:val="32"/>
          <w:szCs w:val="32"/>
          <w:lang w:val="en-US" w:eastAsia="zh-CN"/>
        </w:rPr>
        <w:t>附件：2024年度广州市番禺区政府决算</w:t>
      </w:r>
    </w:p>
    <w:p w14:paraId="05EA170A"/>
    <w:sectPr>
      <w:footerReference r:id="rId5" w:type="default"/>
      <w:pgSz w:w="11906" w:h="16838"/>
      <w:pgMar w:top="2098" w:right="1474" w:bottom="1984" w:left="1587" w:header="851" w:footer="1587"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ZSY--SURROGATE-0">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3838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3E61F">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93E61F">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14:paraId="5749AF7B">
      <w:pPr>
        <w:pStyle w:val="7"/>
        <w:snapToGrid w:val="0"/>
        <w:rPr>
          <w:rFonts w:hint="default" w:eastAsia="宋体"/>
          <w:sz w:val="21"/>
          <w:szCs w:val="21"/>
          <w:lang w:val="en-US" w:eastAsia="zh-CN"/>
        </w:rPr>
      </w:pPr>
      <w:r>
        <w:rPr>
          <w:rStyle w:val="11"/>
          <w:sz w:val="21"/>
          <w:szCs w:val="21"/>
        </w:rPr>
        <w:footnoteRef/>
      </w:r>
      <w:r>
        <w:rPr>
          <w:sz w:val="21"/>
          <w:szCs w:val="21"/>
        </w:rPr>
        <w:t xml:space="preserve"> </w:t>
      </w:r>
      <w:r>
        <w:rPr>
          <w:rFonts w:hint="eastAsia"/>
          <w:sz w:val="21"/>
          <w:szCs w:val="21"/>
          <w:lang w:val="en-US" w:eastAsia="zh-CN"/>
        </w:rPr>
        <w:t>调入资金包括从政府性基金预算调入105,290万元、国有资本经营预算调入25,053万元、其他资金调入29,009万元。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43195"/>
    <w:multiLevelType w:val="singleLevel"/>
    <w:tmpl w:val="9FB43195"/>
    <w:lvl w:ilvl="0" w:tentative="0">
      <w:start w:val="1"/>
      <w:numFmt w:val="chineseCounting"/>
      <w:suff w:val="nothing"/>
      <w:lvlText w:val="（%1）"/>
      <w:lvlJc w:val="left"/>
      <w:rPr>
        <w:rFonts w:hint="eastAsia"/>
      </w:rPr>
    </w:lvl>
  </w:abstractNum>
  <w:abstractNum w:abstractNumId="1">
    <w:nsid w:val="EB3132B3"/>
    <w:multiLevelType w:val="singleLevel"/>
    <w:tmpl w:val="EB3132B3"/>
    <w:lvl w:ilvl="0" w:tentative="0">
      <w:start w:val="1"/>
      <w:numFmt w:val="chineseCounting"/>
      <w:suff w:val="nothing"/>
      <w:lvlText w:val="（%1）"/>
      <w:lvlJc w:val="left"/>
      <w:rPr>
        <w:rFonts w:hint="eastAsia"/>
      </w:rPr>
    </w:lvl>
  </w:abstractNum>
  <w:abstractNum w:abstractNumId="2">
    <w:nsid w:val="278475EE"/>
    <w:multiLevelType w:val="singleLevel"/>
    <w:tmpl w:val="278475EE"/>
    <w:lvl w:ilvl="0" w:tentative="0">
      <w:start w:val="1"/>
      <w:numFmt w:val="chineseCounting"/>
      <w:suff w:val="nothing"/>
      <w:lvlText w:val="（%1）"/>
      <w:lvlJc w:val="left"/>
      <w:rPr>
        <w:rFonts w:hint="eastAsia"/>
      </w:rPr>
    </w:lvl>
  </w:abstractNum>
  <w:abstractNum w:abstractNumId="3">
    <w:nsid w:val="69D97DB9"/>
    <w:multiLevelType w:val="singleLevel"/>
    <w:tmpl w:val="69D97DB9"/>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E5AD3"/>
    <w:rsid w:val="00CB31C6"/>
    <w:rsid w:val="010B480D"/>
    <w:rsid w:val="011A04D4"/>
    <w:rsid w:val="012F4B5E"/>
    <w:rsid w:val="0191751E"/>
    <w:rsid w:val="01B378F8"/>
    <w:rsid w:val="01D841BB"/>
    <w:rsid w:val="024769D7"/>
    <w:rsid w:val="024C60B4"/>
    <w:rsid w:val="027518F3"/>
    <w:rsid w:val="02C22A8A"/>
    <w:rsid w:val="02C84AF6"/>
    <w:rsid w:val="02E74EB5"/>
    <w:rsid w:val="036825E7"/>
    <w:rsid w:val="036901EF"/>
    <w:rsid w:val="03A35499"/>
    <w:rsid w:val="03D25753"/>
    <w:rsid w:val="03D97105"/>
    <w:rsid w:val="041740C5"/>
    <w:rsid w:val="046C664B"/>
    <w:rsid w:val="048D0D51"/>
    <w:rsid w:val="05234EBD"/>
    <w:rsid w:val="058F3796"/>
    <w:rsid w:val="05F46068"/>
    <w:rsid w:val="05F60A9E"/>
    <w:rsid w:val="06022D52"/>
    <w:rsid w:val="063977D8"/>
    <w:rsid w:val="06416F4A"/>
    <w:rsid w:val="0665688A"/>
    <w:rsid w:val="066B5556"/>
    <w:rsid w:val="067A449D"/>
    <w:rsid w:val="067C4D5E"/>
    <w:rsid w:val="06851F02"/>
    <w:rsid w:val="06C866BB"/>
    <w:rsid w:val="06D606F2"/>
    <w:rsid w:val="075512AF"/>
    <w:rsid w:val="07A61942"/>
    <w:rsid w:val="07AF01DA"/>
    <w:rsid w:val="07BC26B8"/>
    <w:rsid w:val="07CD26F1"/>
    <w:rsid w:val="07F31C4D"/>
    <w:rsid w:val="08093BCD"/>
    <w:rsid w:val="080B5862"/>
    <w:rsid w:val="082D0E6B"/>
    <w:rsid w:val="087E6A83"/>
    <w:rsid w:val="090E1942"/>
    <w:rsid w:val="095E7268"/>
    <w:rsid w:val="09A20D77"/>
    <w:rsid w:val="0A1740E3"/>
    <w:rsid w:val="0A403B55"/>
    <w:rsid w:val="0A4B7868"/>
    <w:rsid w:val="0A9D77B7"/>
    <w:rsid w:val="0AEB1169"/>
    <w:rsid w:val="0B236E03"/>
    <w:rsid w:val="0B2640F9"/>
    <w:rsid w:val="0B602867"/>
    <w:rsid w:val="0B69541A"/>
    <w:rsid w:val="0B8B5CCC"/>
    <w:rsid w:val="0B955D01"/>
    <w:rsid w:val="0BAF3453"/>
    <w:rsid w:val="0BB12701"/>
    <w:rsid w:val="0BBA6B53"/>
    <w:rsid w:val="0BE41857"/>
    <w:rsid w:val="0C15785A"/>
    <w:rsid w:val="0C1E5A4A"/>
    <w:rsid w:val="0C2F2C5F"/>
    <w:rsid w:val="0C386CD2"/>
    <w:rsid w:val="0CA821B2"/>
    <w:rsid w:val="0D680D6A"/>
    <w:rsid w:val="0D786FE9"/>
    <w:rsid w:val="0DA74D4D"/>
    <w:rsid w:val="0DB17B5C"/>
    <w:rsid w:val="0DB72A65"/>
    <w:rsid w:val="0EB97FDB"/>
    <w:rsid w:val="0EBF56B1"/>
    <w:rsid w:val="0F44209C"/>
    <w:rsid w:val="0F5B3450"/>
    <w:rsid w:val="0FC434D4"/>
    <w:rsid w:val="0FF435AA"/>
    <w:rsid w:val="0FF67512"/>
    <w:rsid w:val="10333A39"/>
    <w:rsid w:val="104106E5"/>
    <w:rsid w:val="10D1293C"/>
    <w:rsid w:val="10DB06AE"/>
    <w:rsid w:val="113174BE"/>
    <w:rsid w:val="1185022D"/>
    <w:rsid w:val="119344CD"/>
    <w:rsid w:val="119B44EF"/>
    <w:rsid w:val="11AE1750"/>
    <w:rsid w:val="11AF71C3"/>
    <w:rsid w:val="11BD24C1"/>
    <w:rsid w:val="11EE371A"/>
    <w:rsid w:val="12142395"/>
    <w:rsid w:val="12220000"/>
    <w:rsid w:val="12382B75"/>
    <w:rsid w:val="12A56A99"/>
    <w:rsid w:val="12A84544"/>
    <w:rsid w:val="12E669A4"/>
    <w:rsid w:val="12ED0085"/>
    <w:rsid w:val="134410C9"/>
    <w:rsid w:val="138B01F8"/>
    <w:rsid w:val="13E11C8A"/>
    <w:rsid w:val="13E54A57"/>
    <w:rsid w:val="13EC3DC6"/>
    <w:rsid w:val="14442A2D"/>
    <w:rsid w:val="146E53C4"/>
    <w:rsid w:val="14873AAF"/>
    <w:rsid w:val="14DF5551"/>
    <w:rsid w:val="15087301"/>
    <w:rsid w:val="159C3698"/>
    <w:rsid w:val="15C77124"/>
    <w:rsid w:val="15CA4212"/>
    <w:rsid w:val="15D8506C"/>
    <w:rsid w:val="16181BCA"/>
    <w:rsid w:val="164375BE"/>
    <w:rsid w:val="164932AE"/>
    <w:rsid w:val="167A5939"/>
    <w:rsid w:val="16A31A50"/>
    <w:rsid w:val="16DB7973"/>
    <w:rsid w:val="176B0010"/>
    <w:rsid w:val="17A90237"/>
    <w:rsid w:val="17BA4B84"/>
    <w:rsid w:val="17C32C79"/>
    <w:rsid w:val="183571C6"/>
    <w:rsid w:val="183B1211"/>
    <w:rsid w:val="183F4DEF"/>
    <w:rsid w:val="18412301"/>
    <w:rsid w:val="18890274"/>
    <w:rsid w:val="18FC1D38"/>
    <w:rsid w:val="190D5EBA"/>
    <w:rsid w:val="192F26D3"/>
    <w:rsid w:val="19820B80"/>
    <w:rsid w:val="19946543"/>
    <w:rsid w:val="19D92850"/>
    <w:rsid w:val="1A5725FF"/>
    <w:rsid w:val="1A8C3BF5"/>
    <w:rsid w:val="1B26389F"/>
    <w:rsid w:val="1B2D66A6"/>
    <w:rsid w:val="1B760EB7"/>
    <w:rsid w:val="1BC12159"/>
    <w:rsid w:val="1BD14C17"/>
    <w:rsid w:val="1C1D59EA"/>
    <w:rsid w:val="1C9805B3"/>
    <w:rsid w:val="1CA3255A"/>
    <w:rsid w:val="1CCE2C2F"/>
    <w:rsid w:val="1CF85FD6"/>
    <w:rsid w:val="1D3566BD"/>
    <w:rsid w:val="1D7E6DD8"/>
    <w:rsid w:val="1D832874"/>
    <w:rsid w:val="1D9E61FB"/>
    <w:rsid w:val="1DF527FF"/>
    <w:rsid w:val="1E116498"/>
    <w:rsid w:val="1E3752C1"/>
    <w:rsid w:val="1E6E0F2C"/>
    <w:rsid w:val="1E9E1EE9"/>
    <w:rsid w:val="1ED84EA0"/>
    <w:rsid w:val="1EEC5703"/>
    <w:rsid w:val="1F0F42B7"/>
    <w:rsid w:val="1F180074"/>
    <w:rsid w:val="202D74C0"/>
    <w:rsid w:val="20317ECD"/>
    <w:rsid w:val="206A773D"/>
    <w:rsid w:val="20841754"/>
    <w:rsid w:val="20A7094E"/>
    <w:rsid w:val="20FC44CE"/>
    <w:rsid w:val="21135BE0"/>
    <w:rsid w:val="212515A2"/>
    <w:rsid w:val="21485D48"/>
    <w:rsid w:val="2154010D"/>
    <w:rsid w:val="215E1FE5"/>
    <w:rsid w:val="2165534C"/>
    <w:rsid w:val="21742A71"/>
    <w:rsid w:val="217D7DDC"/>
    <w:rsid w:val="21C123FE"/>
    <w:rsid w:val="220139A1"/>
    <w:rsid w:val="22151D1F"/>
    <w:rsid w:val="227A4DE3"/>
    <w:rsid w:val="229D7C10"/>
    <w:rsid w:val="230C68E4"/>
    <w:rsid w:val="23466A3B"/>
    <w:rsid w:val="235470D0"/>
    <w:rsid w:val="23EA16F6"/>
    <w:rsid w:val="23FB73C9"/>
    <w:rsid w:val="246324C1"/>
    <w:rsid w:val="24C1042C"/>
    <w:rsid w:val="24E26545"/>
    <w:rsid w:val="24FD2086"/>
    <w:rsid w:val="250836C8"/>
    <w:rsid w:val="2514559E"/>
    <w:rsid w:val="254B5D6A"/>
    <w:rsid w:val="25596321"/>
    <w:rsid w:val="258D1B10"/>
    <w:rsid w:val="259B1C16"/>
    <w:rsid w:val="25D92916"/>
    <w:rsid w:val="26122D08"/>
    <w:rsid w:val="26880071"/>
    <w:rsid w:val="268A099E"/>
    <w:rsid w:val="268E3E55"/>
    <w:rsid w:val="26D83516"/>
    <w:rsid w:val="26DB55A8"/>
    <w:rsid w:val="27014FCF"/>
    <w:rsid w:val="27855AF1"/>
    <w:rsid w:val="279D5BC6"/>
    <w:rsid w:val="27D92922"/>
    <w:rsid w:val="27E52022"/>
    <w:rsid w:val="284A7767"/>
    <w:rsid w:val="28630303"/>
    <w:rsid w:val="28AF3130"/>
    <w:rsid w:val="28BD1D35"/>
    <w:rsid w:val="28C23C12"/>
    <w:rsid w:val="28CB2BE4"/>
    <w:rsid w:val="28E26354"/>
    <w:rsid w:val="28E84A76"/>
    <w:rsid w:val="296E478C"/>
    <w:rsid w:val="29DF5962"/>
    <w:rsid w:val="29F904D7"/>
    <w:rsid w:val="2A0F00CA"/>
    <w:rsid w:val="2A39798F"/>
    <w:rsid w:val="2A5F2D7C"/>
    <w:rsid w:val="2AB560F2"/>
    <w:rsid w:val="2B070A86"/>
    <w:rsid w:val="2B096ECE"/>
    <w:rsid w:val="2B5E0534"/>
    <w:rsid w:val="2B5E1517"/>
    <w:rsid w:val="2B75627E"/>
    <w:rsid w:val="2B8970C3"/>
    <w:rsid w:val="2B8B3CD4"/>
    <w:rsid w:val="2BB112E5"/>
    <w:rsid w:val="2BFB4C95"/>
    <w:rsid w:val="2C4D02D3"/>
    <w:rsid w:val="2C6C53EB"/>
    <w:rsid w:val="2C9B65E7"/>
    <w:rsid w:val="2CC30FE8"/>
    <w:rsid w:val="2CE0750D"/>
    <w:rsid w:val="2D0A7A4F"/>
    <w:rsid w:val="2D0D69E7"/>
    <w:rsid w:val="2D463577"/>
    <w:rsid w:val="2D4B1587"/>
    <w:rsid w:val="2D656CF3"/>
    <w:rsid w:val="2D777338"/>
    <w:rsid w:val="2E0D7F9F"/>
    <w:rsid w:val="2E5754C1"/>
    <w:rsid w:val="2E6A5A6A"/>
    <w:rsid w:val="2E717626"/>
    <w:rsid w:val="2EC77A38"/>
    <w:rsid w:val="2ED33C08"/>
    <w:rsid w:val="2EE00FD1"/>
    <w:rsid w:val="2EFE018F"/>
    <w:rsid w:val="2F0B2C90"/>
    <w:rsid w:val="2F3F0F35"/>
    <w:rsid w:val="2FB55B71"/>
    <w:rsid w:val="2FBC5505"/>
    <w:rsid w:val="2FD87245"/>
    <w:rsid w:val="2FDC3B02"/>
    <w:rsid w:val="2FED31D9"/>
    <w:rsid w:val="30145855"/>
    <w:rsid w:val="30251C0D"/>
    <w:rsid w:val="302B5F00"/>
    <w:rsid w:val="30316BFE"/>
    <w:rsid w:val="310144C3"/>
    <w:rsid w:val="31036993"/>
    <w:rsid w:val="31074842"/>
    <w:rsid w:val="311A4151"/>
    <w:rsid w:val="311B3B00"/>
    <w:rsid w:val="31232886"/>
    <w:rsid w:val="31442B2A"/>
    <w:rsid w:val="318D11B2"/>
    <w:rsid w:val="31BA3049"/>
    <w:rsid w:val="31CB2AB4"/>
    <w:rsid w:val="31EC4BC1"/>
    <w:rsid w:val="31EF0B07"/>
    <w:rsid w:val="31FA4209"/>
    <w:rsid w:val="323333E8"/>
    <w:rsid w:val="32EE5229"/>
    <w:rsid w:val="336040EA"/>
    <w:rsid w:val="336C0C43"/>
    <w:rsid w:val="33AD6306"/>
    <w:rsid w:val="33C9783E"/>
    <w:rsid w:val="34276F38"/>
    <w:rsid w:val="34772B3C"/>
    <w:rsid w:val="348D1FF9"/>
    <w:rsid w:val="348E3D10"/>
    <w:rsid w:val="349D64BA"/>
    <w:rsid w:val="34C35B8C"/>
    <w:rsid w:val="34F1261C"/>
    <w:rsid w:val="34FD2170"/>
    <w:rsid w:val="3534081F"/>
    <w:rsid w:val="353F626C"/>
    <w:rsid w:val="354261D6"/>
    <w:rsid w:val="357C4576"/>
    <w:rsid w:val="357C5C30"/>
    <w:rsid w:val="35936FCB"/>
    <w:rsid w:val="35A37CD0"/>
    <w:rsid w:val="35B81B5C"/>
    <w:rsid w:val="35EE550F"/>
    <w:rsid w:val="36475C66"/>
    <w:rsid w:val="36C02768"/>
    <w:rsid w:val="36E06934"/>
    <w:rsid w:val="37CD2827"/>
    <w:rsid w:val="38327009"/>
    <w:rsid w:val="386465FB"/>
    <w:rsid w:val="38683607"/>
    <w:rsid w:val="386A77E5"/>
    <w:rsid w:val="38B4495A"/>
    <w:rsid w:val="398F5474"/>
    <w:rsid w:val="39E217DE"/>
    <w:rsid w:val="3A004597"/>
    <w:rsid w:val="3A2E4009"/>
    <w:rsid w:val="3A443EAE"/>
    <w:rsid w:val="3AB22A5F"/>
    <w:rsid w:val="3ACB2824"/>
    <w:rsid w:val="3AFF2A76"/>
    <w:rsid w:val="3B0E0523"/>
    <w:rsid w:val="3B167C41"/>
    <w:rsid w:val="3B3233A2"/>
    <w:rsid w:val="3B4C3142"/>
    <w:rsid w:val="3B61358E"/>
    <w:rsid w:val="3B83725C"/>
    <w:rsid w:val="3B9C2466"/>
    <w:rsid w:val="3BC95961"/>
    <w:rsid w:val="3BF8319D"/>
    <w:rsid w:val="3C30040B"/>
    <w:rsid w:val="3C5B2BAB"/>
    <w:rsid w:val="3C6B10F6"/>
    <w:rsid w:val="3CAA58D8"/>
    <w:rsid w:val="3CD63BB9"/>
    <w:rsid w:val="3CE05768"/>
    <w:rsid w:val="3D605F38"/>
    <w:rsid w:val="3D6B1A6A"/>
    <w:rsid w:val="3D9B6247"/>
    <w:rsid w:val="3E006C29"/>
    <w:rsid w:val="3E1713E9"/>
    <w:rsid w:val="3E2A09F0"/>
    <w:rsid w:val="3E6F404E"/>
    <w:rsid w:val="3EBB5A26"/>
    <w:rsid w:val="3EF0144C"/>
    <w:rsid w:val="3F1506BB"/>
    <w:rsid w:val="3F1F0D59"/>
    <w:rsid w:val="3F6C0B5A"/>
    <w:rsid w:val="3F856E50"/>
    <w:rsid w:val="3F906400"/>
    <w:rsid w:val="3FA03F9A"/>
    <w:rsid w:val="3FC62186"/>
    <w:rsid w:val="3FF2600B"/>
    <w:rsid w:val="400474CD"/>
    <w:rsid w:val="407654A0"/>
    <w:rsid w:val="409B6159"/>
    <w:rsid w:val="40CE6227"/>
    <w:rsid w:val="41102DA5"/>
    <w:rsid w:val="411330A3"/>
    <w:rsid w:val="416051EC"/>
    <w:rsid w:val="419E19AD"/>
    <w:rsid w:val="41C43EC8"/>
    <w:rsid w:val="41C55517"/>
    <w:rsid w:val="42203498"/>
    <w:rsid w:val="425C394E"/>
    <w:rsid w:val="42DA25C7"/>
    <w:rsid w:val="42E76E3F"/>
    <w:rsid w:val="42F064F2"/>
    <w:rsid w:val="4367754B"/>
    <w:rsid w:val="436D174C"/>
    <w:rsid w:val="43762A88"/>
    <w:rsid w:val="43B1248A"/>
    <w:rsid w:val="43DF211A"/>
    <w:rsid w:val="44335871"/>
    <w:rsid w:val="447D7DA9"/>
    <w:rsid w:val="448F43EF"/>
    <w:rsid w:val="44B81DD9"/>
    <w:rsid w:val="44C25FB3"/>
    <w:rsid w:val="459E0118"/>
    <w:rsid w:val="45EB2B7B"/>
    <w:rsid w:val="45F020D1"/>
    <w:rsid w:val="461E2FC6"/>
    <w:rsid w:val="465C0312"/>
    <w:rsid w:val="467E079C"/>
    <w:rsid w:val="467F2D36"/>
    <w:rsid w:val="46972A3F"/>
    <w:rsid w:val="46B6173D"/>
    <w:rsid w:val="46D96D9B"/>
    <w:rsid w:val="47280A66"/>
    <w:rsid w:val="472F4805"/>
    <w:rsid w:val="478F1C28"/>
    <w:rsid w:val="48986F6E"/>
    <w:rsid w:val="48B110BB"/>
    <w:rsid w:val="48B20217"/>
    <w:rsid w:val="48E84E4E"/>
    <w:rsid w:val="49053160"/>
    <w:rsid w:val="4927312E"/>
    <w:rsid w:val="498F263D"/>
    <w:rsid w:val="499818E3"/>
    <w:rsid w:val="49DC3F70"/>
    <w:rsid w:val="49F57AF3"/>
    <w:rsid w:val="4A425635"/>
    <w:rsid w:val="4A5B19FD"/>
    <w:rsid w:val="4A673FA1"/>
    <w:rsid w:val="4AA83438"/>
    <w:rsid w:val="4AB44F59"/>
    <w:rsid w:val="4AE324A9"/>
    <w:rsid w:val="4AE86EAE"/>
    <w:rsid w:val="4B8A035B"/>
    <w:rsid w:val="4BC370DC"/>
    <w:rsid w:val="4BE61DDA"/>
    <w:rsid w:val="4BEF1F33"/>
    <w:rsid w:val="4C3356BB"/>
    <w:rsid w:val="4C44661E"/>
    <w:rsid w:val="4C5A7AE2"/>
    <w:rsid w:val="4C66500C"/>
    <w:rsid w:val="4C676EC6"/>
    <w:rsid w:val="4C72737E"/>
    <w:rsid w:val="4C952041"/>
    <w:rsid w:val="4D71416E"/>
    <w:rsid w:val="4D777439"/>
    <w:rsid w:val="4D815A3F"/>
    <w:rsid w:val="4DA01EB3"/>
    <w:rsid w:val="4DF24BE9"/>
    <w:rsid w:val="4DFA5F84"/>
    <w:rsid w:val="4E0F24A2"/>
    <w:rsid w:val="4E1C3757"/>
    <w:rsid w:val="4E231DAA"/>
    <w:rsid w:val="4E396138"/>
    <w:rsid w:val="4E3C3706"/>
    <w:rsid w:val="4E666AF0"/>
    <w:rsid w:val="4E681D29"/>
    <w:rsid w:val="4EBA7829"/>
    <w:rsid w:val="4EC6338B"/>
    <w:rsid w:val="4F200502"/>
    <w:rsid w:val="4FD23F4C"/>
    <w:rsid w:val="4FE17302"/>
    <w:rsid w:val="4FE914AF"/>
    <w:rsid w:val="50126378"/>
    <w:rsid w:val="504B7E2B"/>
    <w:rsid w:val="50890088"/>
    <w:rsid w:val="5097253B"/>
    <w:rsid w:val="50B17381"/>
    <w:rsid w:val="50C95EC6"/>
    <w:rsid w:val="50E07814"/>
    <w:rsid w:val="50FD2931"/>
    <w:rsid w:val="512C5837"/>
    <w:rsid w:val="512D43DB"/>
    <w:rsid w:val="51C4582E"/>
    <w:rsid w:val="52652671"/>
    <w:rsid w:val="529317B1"/>
    <w:rsid w:val="52A04F16"/>
    <w:rsid w:val="530E098D"/>
    <w:rsid w:val="533D3D0B"/>
    <w:rsid w:val="534E3675"/>
    <w:rsid w:val="53505284"/>
    <w:rsid w:val="5355239A"/>
    <w:rsid w:val="538608EE"/>
    <w:rsid w:val="53D85D59"/>
    <w:rsid w:val="54024674"/>
    <w:rsid w:val="54042BE2"/>
    <w:rsid w:val="54424E4C"/>
    <w:rsid w:val="54F43A02"/>
    <w:rsid w:val="550C5E0F"/>
    <w:rsid w:val="552B6123"/>
    <w:rsid w:val="55BD7530"/>
    <w:rsid w:val="55EE27DB"/>
    <w:rsid w:val="561D1B37"/>
    <w:rsid w:val="56726C15"/>
    <w:rsid w:val="5694540A"/>
    <w:rsid w:val="56F02850"/>
    <w:rsid w:val="57AF67A9"/>
    <w:rsid w:val="57AF7B7B"/>
    <w:rsid w:val="57D05267"/>
    <w:rsid w:val="57E34D47"/>
    <w:rsid w:val="58397461"/>
    <w:rsid w:val="58A84ECA"/>
    <w:rsid w:val="593B1F2B"/>
    <w:rsid w:val="594C6E21"/>
    <w:rsid w:val="599322A5"/>
    <w:rsid w:val="59AE0CED"/>
    <w:rsid w:val="5A21474C"/>
    <w:rsid w:val="5A3728D4"/>
    <w:rsid w:val="5A4D219A"/>
    <w:rsid w:val="5A744010"/>
    <w:rsid w:val="5A851E49"/>
    <w:rsid w:val="5A8A29FF"/>
    <w:rsid w:val="5A993FA9"/>
    <w:rsid w:val="5ADC274D"/>
    <w:rsid w:val="5B3A7806"/>
    <w:rsid w:val="5B6E64C0"/>
    <w:rsid w:val="5BFB6E12"/>
    <w:rsid w:val="5C8B2CF0"/>
    <w:rsid w:val="5C937D82"/>
    <w:rsid w:val="5CA500C7"/>
    <w:rsid w:val="5CA80D3A"/>
    <w:rsid w:val="5CE37D4D"/>
    <w:rsid w:val="5CE4392F"/>
    <w:rsid w:val="5D1E2D40"/>
    <w:rsid w:val="5D3F13E7"/>
    <w:rsid w:val="5D511650"/>
    <w:rsid w:val="5D7E34EB"/>
    <w:rsid w:val="5DC2614F"/>
    <w:rsid w:val="5DC64961"/>
    <w:rsid w:val="5DFB330D"/>
    <w:rsid w:val="5E193E09"/>
    <w:rsid w:val="5E4C543F"/>
    <w:rsid w:val="5E7A4CB1"/>
    <w:rsid w:val="5E8B42B1"/>
    <w:rsid w:val="5EAD43AF"/>
    <w:rsid w:val="5EB34EDF"/>
    <w:rsid w:val="5EC1412B"/>
    <w:rsid w:val="5F05619A"/>
    <w:rsid w:val="5F523082"/>
    <w:rsid w:val="5F76193F"/>
    <w:rsid w:val="5FAD2BE2"/>
    <w:rsid w:val="5FD4091B"/>
    <w:rsid w:val="5FF83295"/>
    <w:rsid w:val="60326EE6"/>
    <w:rsid w:val="60483910"/>
    <w:rsid w:val="608116F3"/>
    <w:rsid w:val="609A00C1"/>
    <w:rsid w:val="60C777CE"/>
    <w:rsid w:val="60CD7561"/>
    <w:rsid w:val="615821F6"/>
    <w:rsid w:val="61661376"/>
    <w:rsid w:val="616A298B"/>
    <w:rsid w:val="61E46910"/>
    <w:rsid w:val="61FD223C"/>
    <w:rsid w:val="624E20EB"/>
    <w:rsid w:val="627159AC"/>
    <w:rsid w:val="62D14E40"/>
    <w:rsid w:val="631B1223"/>
    <w:rsid w:val="635054A9"/>
    <w:rsid w:val="63523ADC"/>
    <w:rsid w:val="63A13251"/>
    <w:rsid w:val="63F42025"/>
    <w:rsid w:val="640F0E36"/>
    <w:rsid w:val="6468776C"/>
    <w:rsid w:val="646F3977"/>
    <w:rsid w:val="64A41504"/>
    <w:rsid w:val="64E739F1"/>
    <w:rsid w:val="65777317"/>
    <w:rsid w:val="658E2A6D"/>
    <w:rsid w:val="65C23A49"/>
    <w:rsid w:val="663C6981"/>
    <w:rsid w:val="66484449"/>
    <w:rsid w:val="67014011"/>
    <w:rsid w:val="673826AF"/>
    <w:rsid w:val="674911A6"/>
    <w:rsid w:val="677709A7"/>
    <w:rsid w:val="67C853B8"/>
    <w:rsid w:val="67EC5546"/>
    <w:rsid w:val="681522DF"/>
    <w:rsid w:val="68944812"/>
    <w:rsid w:val="68A87B44"/>
    <w:rsid w:val="68AE20CB"/>
    <w:rsid w:val="68D44BD2"/>
    <w:rsid w:val="68DD1D77"/>
    <w:rsid w:val="68FE5818"/>
    <w:rsid w:val="69067E2D"/>
    <w:rsid w:val="699124EB"/>
    <w:rsid w:val="69B41185"/>
    <w:rsid w:val="69F659BA"/>
    <w:rsid w:val="6A993265"/>
    <w:rsid w:val="6AD916BB"/>
    <w:rsid w:val="6AED28B1"/>
    <w:rsid w:val="6B394BAF"/>
    <w:rsid w:val="6B5A649A"/>
    <w:rsid w:val="6B856711"/>
    <w:rsid w:val="6C12694B"/>
    <w:rsid w:val="6C1539B4"/>
    <w:rsid w:val="6C35418E"/>
    <w:rsid w:val="6C650D95"/>
    <w:rsid w:val="6CA70FE4"/>
    <w:rsid w:val="6CCE10CB"/>
    <w:rsid w:val="6CFA336B"/>
    <w:rsid w:val="6D814635"/>
    <w:rsid w:val="6D894349"/>
    <w:rsid w:val="6DA938A9"/>
    <w:rsid w:val="6DA9797F"/>
    <w:rsid w:val="6DB66A5D"/>
    <w:rsid w:val="6DE6040D"/>
    <w:rsid w:val="6E2140A0"/>
    <w:rsid w:val="6E4B1AB1"/>
    <w:rsid w:val="6E4E7E21"/>
    <w:rsid w:val="6E881165"/>
    <w:rsid w:val="6F4E6783"/>
    <w:rsid w:val="6F807E16"/>
    <w:rsid w:val="6F8E6CF1"/>
    <w:rsid w:val="6F9C4693"/>
    <w:rsid w:val="6FAE223F"/>
    <w:rsid w:val="6FCA5F81"/>
    <w:rsid w:val="6FDC51E9"/>
    <w:rsid w:val="6FF8594B"/>
    <w:rsid w:val="70162D8D"/>
    <w:rsid w:val="704B0579"/>
    <w:rsid w:val="70A85DB0"/>
    <w:rsid w:val="70E873C3"/>
    <w:rsid w:val="70F34F91"/>
    <w:rsid w:val="70F713E9"/>
    <w:rsid w:val="7104310E"/>
    <w:rsid w:val="71571B4C"/>
    <w:rsid w:val="71B13E1F"/>
    <w:rsid w:val="71B628A3"/>
    <w:rsid w:val="71C41D57"/>
    <w:rsid w:val="71E856B2"/>
    <w:rsid w:val="71F317B1"/>
    <w:rsid w:val="71FB4DD5"/>
    <w:rsid w:val="721436EC"/>
    <w:rsid w:val="7248370D"/>
    <w:rsid w:val="72CA7A13"/>
    <w:rsid w:val="72E66488"/>
    <w:rsid w:val="73006FD1"/>
    <w:rsid w:val="73190AD5"/>
    <w:rsid w:val="731C39A2"/>
    <w:rsid w:val="735D0FB7"/>
    <w:rsid w:val="73625971"/>
    <w:rsid w:val="737A2D48"/>
    <w:rsid w:val="73B52DB5"/>
    <w:rsid w:val="740A7F08"/>
    <w:rsid w:val="74413065"/>
    <w:rsid w:val="74483C78"/>
    <w:rsid w:val="745F1B41"/>
    <w:rsid w:val="74D1191C"/>
    <w:rsid w:val="74F3017A"/>
    <w:rsid w:val="74F41672"/>
    <w:rsid w:val="74F56917"/>
    <w:rsid w:val="75503E0D"/>
    <w:rsid w:val="75D861DA"/>
    <w:rsid w:val="761B2222"/>
    <w:rsid w:val="762C67CE"/>
    <w:rsid w:val="76451EBA"/>
    <w:rsid w:val="76652EE2"/>
    <w:rsid w:val="766D7BEC"/>
    <w:rsid w:val="76703C82"/>
    <w:rsid w:val="76A011D7"/>
    <w:rsid w:val="76E50457"/>
    <w:rsid w:val="76E67987"/>
    <w:rsid w:val="76F041FD"/>
    <w:rsid w:val="77661F09"/>
    <w:rsid w:val="77754630"/>
    <w:rsid w:val="77A13EDC"/>
    <w:rsid w:val="77C93097"/>
    <w:rsid w:val="78390C9F"/>
    <w:rsid w:val="785D53F2"/>
    <w:rsid w:val="786814EF"/>
    <w:rsid w:val="78D76AD9"/>
    <w:rsid w:val="78F26710"/>
    <w:rsid w:val="78F8305B"/>
    <w:rsid w:val="796D0565"/>
    <w:rsid w:val="798C0E8C"/>
    <w:rsid w:val="79AF066A"/>
    <w:rsid w:val="7A68704C"/>
    <w:rsid w:val="7A951BBF"/>
    <w:rsid w:val="7AA72749"/>
    <w:rsid w:val="7AD84DBA"/>
    <w:rsid w:val="7AD9685A"/>
    <w:rsid w:val="7B261628"/>
    <w:rsid w:val="7B455CD0"/>
    <w:rsid w:val="7B7A48CA"/>
    <w:rsid w:val="7BBE398E"/>
    <w:rsid w:val="7BD30C74"/>
    <w:rsid w:val="7BEC39EA"/>
    <w:rsid w:val="7BF37C9C"/>
    <w:rsid w:val="7C4E5977"/>
    <w:rsid w:val="7C793CD8"/>
    <w:rsid w:val="7C9D43E2"/>
    <w:rsid w:val="7CAE1BCA"/>
    <w:rsid w:val="7CC227CB"/>
    <w:rsid w:val="7D067D12"/>
    <w:rsid w:val="7DAB3AD9"/>
    <w:rsid w:val="7DEF6302"/>
    <w:rsid w:val="7DFE7AAA"/>
    <w:rsid w:val="7E114A0E"/>
    <w:rsid w:val="7E1B7E72"/>
    <w:rsid w:val="7E9B2125"/>
    <w:rsid w:val="7EAB415C"/>
    <w:rsid w:val="7EB57C42"/>
    <w:rsid w:val="7EDA425B"/>
    <w:rsid w:val="7F5A7995"/>
    <w:rsid w:val="7F63479C"/>
    <w:rsid w:val="7F67114E"/>
    <w:rsid w:val="7FA45A7D"/>
    <w:rsid w:val="7FB449F0"/>
    <w:rsid w:val="7FDE4AEF"/>
    <w:rsid w:val="7FEA66B0"/>
    <w:rsid w:val="7FEF582E"/>
    <w:rsid w:val="7FF562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1"/>
    <w:qFormat/>
    <w:uiPriority w:val="0"/>
    <w:pPr>
      <w:ind w:firstLine="420" w:firstLineChars="100"/>
    </w:pPr>
  </w:style>
  <w:style w:type="paragraph" w:styleId="3">
    <w:name w:val="Body Text"/>
    <w:basedOn w:val="1"/>
    <w:next w:val="4"/>
    <w:qFormat/>
    <w:uiPriority w:val="1"/>
    <w:pPr>
      <w:spacing w:before="116"/>
      <w:ind w:left="120"/>
    </w:pPr>
    <w:rPr>
      <w:rFonts w:ascii="仿宋" w:hAnsi="仿宋" w:eastAsia="仿宋"/>
      <w:sz w:val="32"/>
      <w:szCs w:val="32"/>
    </w:rPr>
  </w:style>
  <w:style w:type="paragraph" w:styleId="4">
    <w:name w:val="Title"/>
    <w:next w:val="1"/>
    <w:qFormat/>
    <w:uiPriority w:val="0"/>
    <w:pPr>
      <w:widowControl w:val="0"/>
      <w:spacing w:before="240" w:after="60"/>
      <w:jc w:val="center"/>
      <w:outlineLvl w:val="0"/>
    </w:pPr>
    <w:rPr>
      <w:rFonts w:ascii="Cambria" w:hAnsi="Cambria" w:eastAsia="仿宋_GB2312" w:cs="Times New Roman"/>
      <w:b/>
      <w:bCs/>
      <w:kern w:val="2"/>
      <w:sz w:val="32"/>
      <w:szCs w:val="3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袁洁</cp:lastModifiedBy>
  <dcterms:modified xsi:type="dcterms:W3CDTF">2025-09-23T01:06:04Z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0B81F199DAA54758AAD4EB5DF6CAAF45_12</vt:lpwstr>
  </property>
</Properties>
</file>