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A5A4">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130</w:t>
      </w:r>
      <w:bookmarkStart w:id="0" w:name="_GoBack"/>
      <w:bookmarkEnd w:id="0"/>
      <w:r>
        <w:rPr>
          <w:rFonts w:hint="eastAsia" w:ascii="仿宋_GB2312" w:eastAsia="仿宋_GB2312"/>
          <w:color w:val="auto"/>
          <w:sz w:val="32"/>
          <w:szCs w:val="32"/>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18E9D62B">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广州市生态环境局关于广州至广州南</w:t>
      </w:r>
    </w:p>
    <w:p w14:paraId="0CAC1697">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联络线铁路项目输电线路迁改工程</w:t>
      </w:r>
    </w:p>
    <w:p w14:paraId="2F19F064">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Times New Roman" w:hAnsi="Times New Roman" w:eastAsia="方正小标宋简体" w:cs="Times New Roman"/>
          <w:color w:val="auto"/>
          <w:spacing w:val="0"/>
          <w:sz w:val="44"/>
          <w:szCs w:val="44"/>
          <w:highlight w:val="none"/>
          <w:lang w:val="en-US" w:eastAsia="zh-CN"/>
        </w:rPr>
        <w:t>环境影响报告表</w:t>
      </w:r>
      <w:r>
        <w:rPr>
          <w:rFonts w:hint="eastAsia" w:ascii="方正小标宋简体" w:eastAsia="方正小标宋简体"/>
          <w:color w:val="auto"/>
          <w:sz w:val="44"/>
          <w:szCs w:val="44"/>
        </w:rPr>
        <w:t>的批复</w:t>
      </w:r>
    </w:p>
    <w:p w14:paraId="522FEEA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62FC83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中铁五局集团电务工程有限责任公司（9143000018888138X5）：</w:t>
      </w:r>
    </w:p>
    <w:p w14:paraId="25E07FA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你单位报送的《广州至广州南联络线铁路项目输电线路迁改工程建设项目环境影响报告表》（以下简称《报告表》）及附送资料收悉。经研究，现批复如下：</w:t>
      </w:r>
    </w:p>
    <w:p w14:paraId="494928E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Times New Roman" w:hAnsi="Times New Roman" w:eastAsia="仿宋_GB2312" w:cs="Times New Roman"/>
          <w:color w:val="auto"/>
          <w:sz w:val="32"/>
          <w:szCs w:val="32"/>
          <w:lang w:val="en-US" w:eastAsia="zh-CN"/>
        </w:rPr>
        <w:t>广州至广州南联络线铁路项目输电线路迁改工程（以下简称“该工程”）位于广东省广州市番禺区石壁街道石壁二村</w:t>
      </w:r>
      <w:r>
        <w:rPr>
          <w:rFonts w:hint="eastAsia" w:ascii="仿宋_GB2312" w:eastAsia="仿宋_GB2312"/>
          <w:color w:val="auto"/>
          <w:sz w:val="32"/>
          <w:szCs w:val="32"/>
        </w:rPr>
        <w:t>，</w:t>
      </w:r>
      <w:r>
        <w:rPr>
          <w:rFonts w:hint="eastAsia" w:ascii="Times New Roman" w:hAnsi="Times New Roman" w:eastAsia="仿宋_GB2312" w:cs="Times New Roman"/>
          <w:color w:val="auto"/>
          <w:sz w:val="32"/>
          <w:szCs w:val="32"/>
          <w:lang w:val="en-US" w:eastAsia="zh-CN"/>
        </w:rPr>
        <w:t>申报内容为新建A1塔、A2塔和A3塔共3基杆塔。新建110kV芳福聚医线A1塔—A2塔—A3塔—原25#塔单回架空线路约1.115km。拆除21#塔、22#塔、23#塔和24#塔共4基杆塔。拆除110kV芳福聚医线A1塔—21#塔—22#塔—23#塔—24#塔—25#塔单回架空线路约1.175km</w:t>
      </w:r>
      <w:r>
        <w:rPr>
          <w:rFonts w:hint="eastAsia" w:ascii="仿宋_GB2312" w:eastAsia="仿宋_GB2312"/>
          <w:color w:val="auto"/>
          <w:sz w:val="32"/>
          <w:szCs w:val="32"/>
          <w:lang w:eastAsia="zh-CN"/>
        </w:rPr>
        <w:t>。</w:t>
      </w:r>
    </w:p>
    <w:p w14:paraId="3781EE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产生的污染物及不良环境影响能够得到有效控制，从环境保护角度，在</w:t>
      </w:r>
      <w:r>
        <w:rPr>
          <w:rFonts w:hint="eastAsia" w:ascii="仿宋_GB2312" w:eastAsia="仿宋_GB2312"/>
          <w:color w:val="auto"/>
          <w:sz w:val="32"/>
          <w:szCs w:val="32"/>
          <w:lang w:eastAsia="zh-CN"/>
        </w:rPr>
        <w:t>拟</w:t>
      </w:r>
      <w:r>
        <w:rPr>
          <w:rFonts w:hint="eastAsia" w:ascii="仿宋_GB2312" w:eastAsia="仿宋_GB2312"/>
          <w:color w:val="auto"/>
          <w:sz w:val="32"/>
          <w:szCs w:val="32"/>
        </w:rPr>
        <w:t>选址处建设可行。经审查，我局原则同意《报告表》评价结论。该</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应当按照《报告表》所述性质、规模、地点、</w:t>
      </w:r>
      <w:r>
        <w:rPr>
          <w:rFonts w:hint="eastAsia" w:ascii="仿宋_GB2312" w:eastAsia="仿宋_GB2312"/>
          <w:color w:val="auto"/>
          <w:sz w:val="32"/>
          <w:szCs w:val="32"/>
          <w:lang w:val="en-US" w:eastAsia="zh-CN"/>
        </w:rPr>
        <w:t>使用功能</w:t>
      </w:r>
      <w:r>
        <w:rPr>
          <w:rFonts w:hint="eastAsia" w:ascii="仿宋_GB2312" w:eastAsia="仿宋_GB2312"/>
          <w:color w:val="auto"/>
          <w:sz w:val="32"/>
          <w:szCs w:val="32"/>
        </w:rPr>
        <w:t>和环境保护措施进行建设。</w:t>
      </w:r>
    </w:p>
    <w:p w14:paraId="30FFD88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该工程</w:t>
      </w:r>
      <w:r>
        <w:rPr>
          <w:rFonts w:hint="eastAsia" w:ascii="仿宋_GB2312" w:eastAsia="仿宋_GB2312"/>
          <w:color w:val="auto"/>
          <w:sz w:val="32"/>
          <w:szCs w:val="32"/>
        </w:rPr>
        <w:t>各类污染物排放控制要求如下：</w:t>
      </w:r>
    </w:p>
    <w:p w14:paraId="4DA95702">
      <w:pPr>
        <w:keepNext w:val="0"/>
        <w:keepLines w:val="0"/>
        <w:pageBreakBefore w:val="0"/>
        <w:widowControl/>
        <w:suppressLineNumbers w:val="0"/>
        <w:kinsoku/>
        <w:wordWrap/>
        <w:overflowPunct/>
        <w:topLinePunct w:val="0"/>
        <w:autoSpaceDE/>
        <w:autoSpaceDN/>
        <w:bidi w:val="0"/>
        <w:adjustRightInd/>
        <w:snapToGrid/>
        <w:ind w:left="0" w:leftChars="0"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施工期</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w:t>
      </w:r>
    </w:p>
    <w:p w14:paraId="5E851103">
      <w:pPr>
        <w:keepNext w:val="0"/>
        <w:keepLines w:val="0"/>
        <w:pageBreakBefore w:val="0"/>
        <w:widowControl/>
        <w:suppressLineNumbers w:val="0"/>
        <w:kinsoku/>
        <w:wordWrap/>
        <w:overflowPunct/>
        <w:topLinePunct w:val="0"/>
        <w:autoSpaceDE/>
        <w:autoSpaceDN/>
        <w:bidi w:val="0"/>
        <w:adjustRightInd/>
        <w:snapToGrid/>
        <w:ind w:left="0" w:leftChars="0" w:firstLine="640" w:firstLineChars="200"/>
        <w:jc w:val="left"/>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highlight w:val="none"/>
          <w:lang w:val="en-US" w:eastAsia="zh-CN"/>
        </w:rPr>
        <w:t>施工期</w:t>
      </w:r>
      <w:r>
        <w:rPr>
          <w:rFonts w:hint="eastAsia" w:ascii="仿宋_GB2312" w:eastAsia="仿宋_GB2312" w:cs="Times New Roman"/>
          <w:color w:val="auto"/>
          <w:sz w:val="32"/>
          <w:szCs w:val="32"/>
          <w:lang w:val="en-US" w:eastAsia="zh-CN"/>
        </w:rPr>
        <w:t>颗粒物、氮氧化物及一氧化碳</w:t>
      </w:r>
      <w:r>
        <w:rPr>
          <w:rFonts w:hint="eastAsia" w:ascii="仿宋_GB2312" w:eastAsia="仿宋_GB2312"/>
          <w:color w:val="auto"/>
          <w:sz w:val="32"/>
          <w:szCs w:val="32"/>
          <w:highlight w:val="none"/>
        </w:rPr>
        <w:t>排放执行广东省《大气污染物排放限值》（DB44/27-2001）第二时段无组织排放监控浓度限值</w:t>
      </w:r>
      <w:r>
        <w:rPr>
          <w:rFonts w:hint="eastAsia" w:ascii="仿宋_GB2312" w:eastAsia="仿宋_GB2312"/>
          <w:color w:val="auto"/>
          <w:sz w:val="32"/>
          <w:szCs w:val="32"/>
          <w:lang w:eastAsia="zh-CN"/>
        </w:rPr>
        <w:t>；</w:t>
      </w:r>
    </w:p>
    <w:p w14:paraId="72CAAD5F">
      <w:pPr>
        <w:keepNext w:val="0"/>
        <w:keepLines w:val="0"/>
        <w:pageBreakBefore w:val="0"/>
        <w:widowControl/>
        <w:suppressLineNumbers w:val="0"/>
        <w:kinsoku/>
        <w:wordWrap/>
        <w:overflowPunct/>
        <w:topLinePunct w:val="0"/>
        <w:autoSpaceDE/>
        <w:autoSpaceDN/>
        <w:bidi w:val="0"/>
        <w:adjustRightInd/>
        <w:snapToGrid/>
        <w:ind w:left="0" w:leftChars="0" w:firstLine="640" w:firstLineChars="200"/>
        <w:jc w:val="left"/>
        <w:textAlignment w:val="auto"/>
        <w:rPr>
          <w:rFonts w:hint="eastAsia" w:ascii="仿宋_GB2312" w:eastAsia="仿宋_GB2312" w:cs="Times New Roman"/>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rPr>
        <w:t>）</w:t>
      </w:r>
      <w:r>
        <w:rPr>
          <w:rFonts w:hint="eastAsia" w:ascii="仿宋_GB2312" w:eastAsia="仿宋_GB2312" w:cs="Times New Roman"/>
          <w:color w:val="auto"/>
          <w:sz w:val="32"/>
          <w:szCs w:val="32"/>
          <w:lang w:val="en-US" w:eastAsia="zh-CN"/>
        </w:rPr>
        <w:t>施工期场界噪声执行《建筑施工场界环境噪声排放标准》（</w:t>
      </w:r>
      <w:r>
        <w:rPr>
          <w:rFonts w:hint="default" w:ascii="仿宋_GB2312" w:eastAsia="仿宋_GB2312" w:cs="Times New Roman"/>
          <w:color w:val="auto"/>
          <w:sz w:val="32"/>
          <w:szCs w:val="32"/>
          <w:lang w:val="en-US" w:eastAsia="zh-CN"/>
        </w:rPr>
        <w:t>GB12523-2011</w:t>
      </w:r>
      <w:r>
        <w:rPr>
          <w:rFonts w:hint="eastAsia" w:ascii="仿宋_GB2312" w:eastAsia="仿宋_GB2312" w:cs="Times New Roman"/>
          <w:color w:val="auto"/>
          <w:sz w:val="32"/>
          <w:szCs w:val="32"/>
          <w:lang w:val="en-US" w:eastAsia="zh-CN"/>
        </w:rPr>
        <w:t>），即：昼间≤</w:t>
      </w:r>
      <w:r>
        <w:rPr>
          <w:rFonts w:hint="default" w:ascii="仿宋_GB2312" w:eastAsia="仿宋_GB2312" w:cs="Times New Roman"/>
          <w:color w:val="auto"/>
          <w:sz w:val="32"/>
          <w:szCs w:val="32"/>
          <w:lang w:val="en-US" w:eastAsia="zh-CN"/>
        </w:rPr>
        <w:t>70dB(A)</w:t>
      </w:r>
      <w:r>
        <w:rPr>
          <w:rFonts w:hint="eastAsia" w:ascii="仿宋_GB2312" w:eastAsia="仿宋_GB2312" w:cs="Times New Roman"/>
          <w:color w:val="auto"/>
          <w:sz w:val="32"/>
          <w:szCs w:val="32"/>
          <w:lang w:val="en-US" w:eastAsia="zh-CN"/>
        </w:rPr>
        <w:t>，夜间≤</w:t>
      </w:r>
      <w:r>
        <w:rPr>
          <w:rFonts w:hint="default" w:ascii="仿宋_GB2312" w:eastAsia="仿宋_GB2312" w:cs="Times New Roman"/>
          <w:color w:val="auto"/>
          <w:sz w:val="32"/>
          <w:szCs w:val="32"/>
          <w:lang w:val="en-US" w:eastAsia="zh-CN"/>
        </w:rPr>
        <w:t>55dB(A)</w:t>
      </w:r>
      <w:r>
        <w:rPr>
          <w:rFonts w:hint="eastAsia" w:ascii="仿宋_GB2312" w:eastAsia="仿宋_GB2312" w:cs="Times New Roman"/>
          <w:color w:val="auto"/>
          <w:sz w:val="32"/>
          <w:szCs w:val="32"/>
          <w:lang w:val="en-US" w:eastAsia="zh-CN"/>
        </w:rPr>
        <w:t>。运行期架空线路下方噪声排放执行《工业企业厂界环境噪声排放标准》（GB 12348-2008）</w:t>
      </w:r>
      <w:r>
        <w:rPr>
          <w:rFonts w:hint="eastAsia" w:ascii="仿宋_GB2312" w:eastAsia="仿宋_GB2312"/>
          <w:color w:val="auto"/>
          <w:sz w:val="32"/>
          <w:szCs w:val="32"/>
        </w:rPr>
        <w:t>。</w:t>
      </w:r>
    </w:p>
    <w:p w14:paraId="240DFF2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四</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运营期</w:t>
      </w:r>
      <w:r>
        <w:rPr>
          <w:rFonts w:hint="eastAsia" w:ascii="仿宋_GB2312" w:eastAsia="仿宋_GB2312"/>
          <w:color w:val="auto"/>
          <w:sz w:val="32"/>
          <w:szCs w:val="32"/>
        </w:rPr>
        <w:t>输电线路产生的电场强度、磁感应强度应满足《电磁环境控制限值》（GB8702-2014）的公众曝露控制限值要求，即电场强度≤4000V/m、磁感应强度≤100μT。</w:t>
      </w:r>
    </w:p>
    <w:p w14:paraId="0540709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w:t>
      </w:r>
      <w:r>
        <w:rPr>
          <w:rFonts w:hint="eastAsia" w:ascii="仿宋_GB2312" w:eastAsia="仿宋_GB2312"/>
          <w:color w:val="auto"/>
          <w:sz w:val="32"/>
          <w:szCs w:val="32"/>
          <w:lang w:eastAsia="zh-CN"/>
        </w:rPr>
        <w:t>该工程</w:t>
      </w:r>
      <w:r>
        <w:rPr>
          <w:rFonts w:hint="eastAsia" w:ascii="仿宋_GB2312" w:eastAsia="仿宋_GB2312"/>
          <w:color w:val="auto"/>
          <w:sz w:val="32"/>
          <w:szCs w:val="32"/>
        </w:rPr>
        <w:t>应当认真落实《报告表》提出的各项环境保护措施，重点做好以下工作：</w:t>
      </w:r>
    </w:p>
    <w:p w14:paraId="4210F9E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（一）施工</w:t>
      </w:r>
      <w:r>
        <w:rPr>
          <w:rFonts w:hint="eastAsia" w:ascii="仿宋_GB2312" w:eastAsia="仿宋_GB2312"/>
          <w:color w:val="auto"/>
          <w:sz w:val="32"/>
          <w:szCs w:val="32"/>
          <w:lang w:val="en-US" w:eastAsia="zh-CN"/>
        </w:rPr>
        <w:t>期</w:t>
      </w:r>
      <w:r>
        <w:rPr>
          <w:rFonts w:hint="eastAsia" w:ascii="Times New Roman" w:hAnsi="Times New Roman" w:eastAsia="仿宋_GB2312" w:cs="Times New Roman"/>
          <w:color w:val="auto"/>
          <w:sz w:val="32"/>
          <w:szCs w:val="32"/>
          <w:lang w:val="en-US" w:eastAsia="zh-CN"/>
        </w:rPr>
        <w:t>废水、雨水收集后用于场地降尘，各清洗水集中收集后经简易沉砂池处理后回用，不外排。施工人员就近租用民房，施工期生活污水依托当地已有的生活污水处理设施处理</w:t>
      </w:r>
      <w:r>
        <w:rPr>
          <w:rFonts w:hint="eastAsia" w:ascii="仿宋_GB2312" w:eastAsia="仿宋_GB2312"/>
          <w:color w:val="auto"/>
          <w:sz w:val="32"/>
          <w:szCs w:val="32"/>
        </w:rPr>
        <w:t>。</w:t>
      </w:r>
    </w:p>
    <w:p w14:paraId="29D80F9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eastAsia="仿宋_GB2312"/>
          <w:color w:val="auto"/>
          <w:sz w:val="32"/>
          <w:szCs w:val="32"/>
        </w:rPr>
        <w:t>（二）施工期严格按《广州市建设工程扬尘防治“6个100％”管理标准细化措施》中的“6个100％”要求落实施工扬尘防治措施；加强施工扬尘管理，合理安排工期，通过设置围挡、洒水降尘、运输车辆密闭装载等有效措施控制施工场地扬尘</w:t>
      </w:r>
      <w:r>
        <w:rPr>
          <w:rFonts w:hint="eastAsia" w:ascii="仿宋_GB2312" w:hAnsi="仿宋_GB2312" w:eastAsia="仿宋_GB2312" w:cs="仿宋_GB2312"/>
          <w:color w:val="auto"/>
          <w:sz w:val="32"/>
          <w:szCs w:val="32"/>
        </w:rPr>
        <w:t>。</w:t>
      </w:r>
    </w:p>
    <w:p w14:paraId="3B270B67">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（三）选用低噪声设备，合理</w:t>
      </w:r>
      <w:r>
        <w:rPr>
          <w:rFonts w:hint="eastAsia" w:ascii="Times New Roman" w:hAnsi="Times New Roman" w:eastAsia="仿宋_GB2312" w:cs="Times New Roman"/>
          <w:color w:val="auto"/>
          <w:sz w:val="32"/>
          <w:szCs w:val="32"/>
          <w:lang w:val="en-US" w:eastAsia="zh-CN"/>
        </w:rPr>
        <w:t>安排施工时间</w:t>
      </w:r>
      <w:r>
        <w:rPr>
          <w:rFonts w:hint="eastAsia" w:ascii="仿宋_GB2312" w:eastAsia="仿宋_GB2312"/>
          <w:color w:val="auto"/>
          <w:sz w:val="32"/>
          <w:szCs w:val="32"/>
        </w:rPr>
        <w:t>，对</w:t>
      </w:r>
      <w:r>
        <w:rPr>
          <w:rFonts w:hint="eastAsia" w:ascii="仿宋_GB2312" w:eastAsia="仿宋_GB2312"/>
          <w:color w:val="auto"/>
          <w:sz w:val="32"/>
          <w:szCs w:val="32"/>
          <w:lang w:val="en-US" w:eastAsia="zh-CN"/>
        </w:rPr>
        <w:t>高</w:t>
      </w:r>
      <w:r>
        <w:rPr>
          <w:rFonts w:hint="eastAsia" w:ascii="仿宋_GB2312" w:eastAsia="仿宋_GB2312"/>
          <w:color w:val="auto"/>
          <w:sz w:val="32"/>
          <w:szCs w:val="32"/>
        </w:rPr>
        <w:t>噪声源采取隔声、减振等措施，在</w:t>
      </w:r>
      <w:r>
        <w:rPr>
          <w:rFonts w:hint="eastAsia" w:ascii="仿宋_GB2312" w:eastAsia="仿宋_GB2312" w:cs="Times New Roman"/>
          <w:color w:val="auto"/>
          <w:sz w:val="32"/>
          <w:szCs w:val="32"/>
          <w:lang w:val="en-US" w:eastAsia="zh-CN"/>
        </w:rPr>
        <w:t>架空线路下设置</w:t>
      </w:r>
      <w:r>
        <w:rPr>
          <w:rFonts w:hint="eastAsia" w:ascii="仿宋_GB2312" w:eastAsia="仿宋_GB2312"/>
          <w:color w:val="auto"/>
          <w:sz w:val="32"/>
          <w:szCs w:val="32"/>
        </w:rPr>
        <w:t>警示和防护标志</w:t>
      </w:r>
      <w:r>
        <w:rPr>
          <w:rFonts w:hint="eastAsia" w:ascii="仿宋_GB2312" w:eastAsia="仿宋_GB2312"/>
          <w:color w:val="auto"/>
          <w:sz w:val="32"/>
          <w:szCs w:val="32"/>
          <w:lang w:eastAsia="zh-CN"/>
        </w:rPr>
        <w:t>，</w:t>
      </w:r>
      <w:r>
        <w:rPr>
          <w:rFonts w:hint="eastAsia" w:ascii="仿宋_GB2312" w:eastAsia="仿宋_GB2312"/>
          <w:color w:val="auto"/>
          <w:sz w:val="32"/>
          <w:szCs w:val="32"/>
        </w:rPr>
        <w:t>定期检修</w:t>
      </w:r>
      <w:r>
        <w:rPr>
          <w:rFonts w:hint="eastAsia" w:ascii="仿宋_GB2312" w:eastAsia="仿宋_GB2312"/>
          <w:color w:val="auto"/>
          <w:sz w:val="32"/>
          <w:szCs w:val="32"/>
          <w:lang w:val="en-US" w:eastAsia="zh-CN"/>
        </w:rPr>
        <w:t>设施</w:t>
      </w:r>
      <w:r>
        <w:rPr>
          <w:rFonts w:hint="eastAsia" w:ascii="仿宋_GB2312" w:eastAsia="仿宋_GB2312"/>
          <w:color w:val="auto"/>
          <w:sz w:val="32"/>
          <w:szCs w:val="32"/>
        </w:rPr>
        <w:t>。</w:t>
      </w:r>
    </w:p>
    <w:p w14:paraId="34412D65">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四</w:t>
      </w:r>
      <w:r>
        <w:rPr>
          <w:rFonts w:hint="eastAsia" w:ascii="仿宋_GB2312" w:eastAsia="仿宋_GB2312"/>
          <w:color w:val="auto"/>
          <w:sz w:val="32"/>
          <w:szCs w:val="32"/>
        </w:rPr>
        <w:t>）工程塔基开挖余土就地回填至塔基范围内；建筑垃圾</w:t>
      </w:r>
      <w:r>
        <w:rPr>
          <w:rFonts w:hint="eastAsia" w:ascii="仿宋_GB2312" w:eastAsia="仿宋_GB2312"/>
          <w:color w:val="auto"/>
          <w:sz w:val="32"/>
          <w:szCs w:val="32"/>
          <w:lang w:val="en-US" w:eastAsia="zh-CN"/>
        </w:rPr>
        <w:t>分类收集后</w:t>
      </w:r>
      <w:r>
        <w:rPr>
          <w:rFonts w:hint="eastAsia" w:ascii="仿宋_GB2312" w:eastAsia="仿宋_GB2312"/>
          <w:color w:val="auto"/>
          <w:sz w:val="32"/>
          <w:szCs w:val="32"/>
        </w:rPr>
        <w:t>运送至指定消纳场</w:t>
      </w:r>
      <w:r>
        <w:rPr>
          <w:rFonts w:hint="eastAsia" w:ascii="仿宋_GB2312" w:eastAsia="仿宋_GB2312"/>
          <w:color w:val="auto"/>
          <w:sz w:val="32"/>
          <w:szCs w:val="32"/>
          <w:lang w:val="en-US" w:eastAsia="zh-CN"/>
        </w:rPr>
        <w:t>处理</w:t>
      </w:r>
      <w:r>
        <w:rPr>
          <w:rFonts w:hint="eastAsia" w:ascii="仿宋_GB2312" w:eastAsia="仿宋_GB2312"/>
          <w:color w:val="auto"/>
          <w:sz w:val="32"/>
          <w:szCs w:val="32"/>
        </w:rPr>
        <w:t>；拆除的旧线材和铁塔</w:t>
      </w:r>
      <w:r>
        <w:rPr>
          <w:rFonts w:hint="eastAsia" w:ascii="仿宋_GB2312" w:eastAsia="仿宋_GB2312"/>
          <w:color w:val="auto"/>
          <w:sz w:val="32"/>
          <w:szCs w:val="32"/>
          <w:lang w:val="en-US" w:eastAsia="zh-CN"/>
        </w:rPr>
        <w:t>收集后集中</w:t>
      </w:r>
      <w:r>
        <w:rPr>
          <w:rFonts w:hint="eastAsia" w:ascii="仿宋_GB2312" w:eastAsia="仿宋_GB2312"/>
          <w:color w:val="auto"/>
          <w:sz w:val="32"/>
          <w:szCs w:val="32"/>
        </w:rPr>
        <w:t>回收处理；施工人员生活垃圾收集后由环卫部门清运。</w:t>
      </w:r>
    </w:p>
    <w:p w14:paraId="7D3E0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五</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做好</w:t>
      </w:r>
      <w:r>
        <w:rPr>
          <w:rFonts w:hint="eastAsia" w:ascii="仿宋_GB2312" w:eastAsia="仿宋_GB2312"/>
          <w:color w:val="auto"/>
          <w:sz w:val="32"/>
          <w:szCs w:val="32"/>
        </w:rPr>
        <w:t>生态环境保护</w:t>
      </w:r>
      <w:r>
        <w:rPr>
          <w:rFonts w:hint="eastAsia" w:ascii="仿宋_GB2312" w:eastAsia="仿宋_GB2312"/>
          <w:color w:val="auto"/>
          <w:sz w:val="32"/>
          <w:szCs w:val="32"/>
          <w:lang w:val="en-US" w:eastAsia="zh-CN"/>
        </w:rPr>
        <w:t>工作</w:t>
      </w:r>
      <w:r>
        <w:rPr>
          <w:rFonts w:hint="eastAsia" w:ascii="仿宋_GB2312" w:eastAsia="仿宋_GB2312"/>
          <w:color w:val="auto"/>
          <w:sz w:val="32"/>
          <w:szCs w:val="32"/>
        </w:rPr>
        <w:t>。严格控制施工范围，优化施工布置，减少施工临时占地。施工结束后及时清理施工现场，进行生态环境恢复治理。</w:t>
      </w:r>
    </w:p>
    <w:p w14:paraId="26409185">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w:t>
      </w:r>
      <w:r>
        <w:rPr>
          <w:rFonts w:hint="eastAsia" w:ascii="仿宋_GB2312" w:eastAsia="仿宋_GB2312"/>
          <w:color w:val="auto"/>
          <w:sz w:val="32"/>
          <w:szCs w:val="32"/>
          <w:lang w:eastAsia="zh-CN"/>
        </w:rPr>
        <w:t>该工程</w:t>
      </w:r>
      <w:r>
        <w:rPr>
          <w:rFonts w:hint="eastAsia" w:ascii="仿宋_GB2312" w:eastAsia="仿宋_GB2312"/>
          <w:color w:val="auto"/>
          <w:sz w:val="32"/>
          <w:szCs w:val="32"/>
        </w:rPr>
        <w:t>的性质、规模、地点、采用的</w:t>
      </w:r>
      <w:r>
        <w:rPr>
          <w:rFonts w:hint="eastAsia" w:ascii="仿宋_GB2312" w:eastAsia="仿宋_GB2312"/>
          <w:color w:val="auto"/>
          <w:sz w:val="32"/>
          <w:szCs w:val="32"/>
          <w:lang w:val="en-US" w:eastAsia="zh-CN"/>
        </w:rPr>
        <w:t>使用功能</w:t>
      </w:r>
      <w:r>
        <w:rPr>
          <w:rFonts w:hint="eastAsia" w:ascii="仿宋_GB2312" w:eastAsia="仿宋_GB2312"/>
          <w:color w:val="auto"/>
          <w:sz w:val="32"/>
          <w:szCs w:val="32"/>
        </w:rPr>
        <w:t>或者防治污染、防止生态破坏的措施发生重大变动的，你单位应当重新报批环境影响评价文件。</w:t>
      </w:r>
    </w:p>
    <w:p w14:paraId="10C74954">
      <w:pPr>
        <w:keepNext w:val="0"/>
        <w:keepLines w:val="0"/>
        <w:pageBreakBefore w:val="0"/>
        <w:kinsoku/>
        <w:overflowPunct/>
        <w:topLinePunct w:val="0"/>
        <w:autoSpaceDE/>
        <w:autoSpaceDN/>
        <w:bidi w:val="0"/>
        <w:spacing w:line="560" w:lineRule="exact"/>
        <w:ind w:firstLine="640" w:firstLineChars="200"/>
        <w:textAlignment w:val="auto"/>
        <w:rPr>
          <w:color w:val="auto"/>
        </w:rPr>
      </w:pPr>
      <w:r>
        <w:rPr>
          <w:rFonts w:hint="eastAsia" w:ascii="仿宋_GB2312" w:eastAsia="仿宋_GB2312" w:cs="Times New Roman"/>
          <w:color w:val="auto"/>
          <w:sz w:val="32"/>
          <w:szCs w:val="32"/>
          <w:lang w:val="en-US" w:eastAsia="zh-CN"/>
        </w:rPr>
        <w:t>五、自《报告表》批准之日起超过五年，方决定该工程开工建设的，《报告表》应当在开工建设前报我局重新审核。未经我局重新审核同意的，不得擅自开工建设。</w:t>
      </w:r>
    </w:p>
    <w:p w14:paraId="7DD2AC5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w:t>
      </w:r>
      <w:r>
        <w:rPr>
          <w:rFonts w:hint="eastAsia" w:ascii="仿宋_GB2312" w:eastAsia="仿宋_GB2312"/>
          <w:color w:val="auto"/>
          <w:sz w:val="32"/>
          <w:szCs w:val="32"/>
          <w:lang w:eastAsia="zh-CN"/>
        </w:rPr>
        <w:t>该工程</w:t>
      </w:r>
      <w:r>
        <w:rPr>
          <w:rFonts w:hint="eastAsia" w:ascii="仿宋_GB2312" w:eastAsia="仿宋_GB2312"/>
          <w:color w:val="auto"/>
          <w:sz w:val="32"/>
          <w:szCs w:val="32"/>
        </w:rPr>
        <w:t>建设应严格执行配套建设的环境保护设施与主体工程同时设计、同时施工、同时投产使用的环境保护“三同时”制度，具体要求如下：</w:t>
      </w:r>
    </w:p>
    <w:p w14:paraId="24FC4721">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竣工后，你单位应按规定申请取得排污许可证或填报排污登记表，并按照规定的标准、程序和时限，对配套建设的环境保护设施进行验收，编制验收报告，依法向社会公开。</w:t>
      </w:r>
    </w:p>
    <w:p w14:paraId="4535B85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工程</w:t>
      </w:r>
      <w:r>
        <w:rPr>
          <w:rFonts w:hint="eastAsia" w:ascii="仿宋_GB2312" w:eastAsia="仿宋_GB2312"/>
          <w:color w:val="auto"/>
          <w:sz w:val="32"/>
          <w:szCs w:val="32"/>
        </w:rPr>
        <w:t>配套建设的环境保护设施经验收合格后，方可投入生产或者使用。</w:t>
      </w:r>
    </w:p>
    <w:p w14:paraId="0D84D2FF">
      <w:pPr>
        <w:keepNext w:val="0"/>
        <w:keepLines w:val="0"/>
        <w:pageBreakBefore w:val="0"/>
        <w:kinsoku/>
        <w:overflowPunct/>
        <w:topLinePunct w:val="0"/>
        <w:autoSpaceDE/>
        <w:autoSpaceDN/>
        <w:bidi w:val="0"/>
        <w:spacing w:line="560" w:lineRule="exact"/>
        <w:ind w:firstLine="640" w:firstLineChars="200"/>
        <w:textAlignment w:val="auto"/>
        <w:rPr>
          <w:color w:val="auto"/>
        </w:rPr>
      </w:pPr>
      <w:r>
        <w:rPr>
          <w:rFonts w:hint="eastAsia" w:ascii="仿宋_GB2312" w:eastAsia="仿宋_GB2312" w:cs="Times New Roman"/>
          <w:color w:val="auto"/>
          <w:sz w:val="32"/>
          <w:szCs w:val="32"/>
          <w:lang w:val="en-US" w:eastAsia="zh-CN"/>
        </w:rPr>
        <w:t>七、该工程建设和运行过程中如涉及规划、土地利用、建设、水务、消防、安全等问题，应遵照相关法律法规要求到相应的行政主管部门办理有关手续。</w:t>
      </w:r>
    </w:p>
    <w:p w14:paraId="359B9971">
      <w:pPr>
        <w:pStyle w:val="8"/>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auto"/>
          <w:sz w:val="32"/>
        </w:rPr>
      </w:pPr>
      <w:r>
        <w:rPr>
          <w:rFonts w:hint="eastAsia" w:ascii="仿宋_GB2312" w:eastAsia="仿宋_GB2312"/>
          <w:color w:val="auto"/>
          <w:sz w:val="32"/>
          <w:szCs w:val="32"/>
          <w:lang w:val="en-US" w:eastAsia="zh-CN"/>
        </w:rPr>
        <w:t>八</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49913197">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auto"/>
          <w:sz w:val="32"/>
          <w:szCs w:val="32"/>
        </w:rPr>
      </w:pPr>
    </w:p>
    <w:p w14:paraId="74EBAD5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9A26305">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54231825">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日</w:t>
      </w:r>
    </w:p>
    <w:p w14:paraId="48EB0E9F">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0F2C2E8">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7B1456F">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D4A8AD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F29DD9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F233EE2">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084C079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019F1E2">
      <w:pPr>
        <w:spacing w:line="560" w:lineRule="exact"/>
        <w:ind w:left="1133" w:leftChars="201" w:hanging="711" w:hangingChars="254"/>
        <w:rPr>
          <w:color w:val="auto"/>
          <w:sz w:val="28"/>
          <w:szCs w:val="28"/>
        </w:rPr>
      </w:pPr>
      <w:r>
        <w:rPr>
          <w:rFonts w:hint="eastAsia" w:ascii="仿宋_GB2312" w:hAnsi="仿宋" w:eastAsia="仿宋_GB2312"/>
          <w:color w:val="auto"/>
          <w:sz w:val="28"/>
          <w:szCs w:val="28"/>
        </w:rPr>
        <w:t>抄送：广州市生态环境局番禺分局</w:t>
      </w:r>
      <w:r>
        <w:rPr>
          <w:rFonts w:hint="eastAsia" w:ascii="仿宋_GB2312" w:hAnsi="仿宋" w:eastAsia="仿宋_GB2312" w:cs="Times New Roman"/>
          <w:color w:val="auto"/>
          <w:sz w:val="28"/>
          <w:szCs w:val="28"/>
        </w:rPr>
        <w:t>执法</w:t>
      </w:r>
      <w:r>
        <w:rPr>
          <w:rFonts w:hint="eastAsia" w:ascii="仿宋_GB2312" w:hAnsi="仿宋" w:eastAsia="仿宋_GB2312" w:cs="Times New Roman"/>
          <w:color w:val="auto"/>
          <w:sz w:val="28"/>
          <w:szCs w:val="28"/>
          <w:lang w:val="en-US" w:eastAsia="zh-CN"/>
        </w:rPr>
        <w:t>一</w:t>
      </w:r>
      <w:r>
        <w:rPr>
          <w:rFonts w:hint="eastAsia" w:ascii="仿宋_GB2312" w:hAnsi="仿宋" w:eastAsia="仿宋_GB2312" w:cs="Times New Roman"/>
          <w:color w:val="auto"/>
          <w:sz w:val="28"/>
          <w:szCs w:val="28"/>
        </w:rPr>
        <w:t>科、</w:t>
      </w:r>
      <w:r>
        <w:rPr>
          <w:rFonts w:hint="eastAsia" w:ascii="仿宋_GB2312" w:hAnsi="仿宋" w:eastAsia="仿宋_GB2312" w:cs="Times New Roman"/>
          <w:color w:val="auto"/>
          <w:sz w:val="28"/>
          <w:szCs w:val="28"/>
          <w:lang w:eastAsia="zh-CN"/>
        </w:rPr>
        <w:t>番禺</w:t>
      </w:r>
      <w:r>
        <w:rPr>
          <w:rFonts w:hint="eastAsia" w:ascii="仿宋_GB2312" w:hAnsi="仿宋" w:eastAsia="仿宋_GB2312" w:cs="Times New Roman"/>
          <w:color w:val="auto"/>
          <w:sz w:val="28"/>
          <w:szCs w:val="28"/>
        </w:rPr>
        <w:t>第</w:t>
      </w:r>
      <w:r>
        <w:rPr>
          <w:rFonts w:hint="eastAsia" w:ascii="仿宋_GB2312" w:hAnsi="仿宋" w:eastAsia="仿宋_GB2312" w:cs="Times New Roman"/>
          <w:color w:val="auto"/>
          <w:sz w:val="28"/>
          <w:szCs w:val="28"/>
          <w:lang w:val="en-US" w:eastAsia="zh-CN"/>
        </w:rPr>
        <w:t>二</w:t>
      </w:r>
      <w:r>
        <w:rPr>
          <w:rFonts w:hint="eastAsia" w:ascii="仿宋_GB2312" w:hAnsi="仿宋" w:eastAsia="仿宋_GB2312" w:cs="Times New Roman"/>
          <w:color w:val="auto"/>
          <w:sz w:val="28"/>
          <w:szCs w:val="28"/>
        </w:rPr>
        <w:t>环保所</w:t>
      </w:r>
      <w:r>
        <w:rPr>
          <w:rFonts w:hint="eastAsia" w:ascii="仿宋_GB2312" w:hAnsi="仿宋" w:eastAsia="仿宋_GB2312"/>
          <w:color w:val="auto"/>
          <w:sz w:val="28"/>
          <w:szCs w:val="28"/>
        </w:rPr>
        <w:t>，武汉华凯环境安全技术发展有限公司。</w:t>
      </w:r>
    </w:p>
    <w:p w14:paraId="09EC74C9">
      <w:pPr>
        <w:rPr>
          <w:color w:val="auto"/>
        </w:rPr>
      </w:pP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4"/>
      <w:framePr w:wrap="around" w:vAnchor="text" w:hAnchor="margin" w:xAlign="outside" w:y="1"/>
      <w:rPr>
        <w:rStyle w:val="7"/>
        <w:rFonts w:ascii="宋体" w:hAnsi="宋体"/>
        <w:sz w:val="28"/>
        <w:szCs w:val="28"/>
      </w:rPr>
    </w:pPr>
    <w:r>
      <w:rPr>
        <w:rStyle w:val="7"/>
        <w:rFonts w:hint="eastAsia" w:ascii="宋体" w:hAnsi="宋体"/>
        <w:sz w:val="28"/>
        <w:szCs w:val="28"/>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3</w:t>
    </w:r>
    <w:r>
      <w:rPr>
        <w:rStyle w:val="7"/>
        <w:rFonts w:ascii="宋体" w:hAnsi="宋体"/>
        <w:sz w:val="28"/>
        <w:szCs w:val="28"/>
      </w:rPr>
      <w:fldChar w:fldCharType="end"/>
    </w:r>
    <w:r>
      <w:rPr>
        <w:rStyle w:val="7"/>
        <w:rFonts w:hint="eastAsia" w:ascii="宋体" w:hAnsi="宋体"/>
        <w:sz w:val="28"/>
        <w:szCs w:val="28"/>
      </w:rPr>
      <w:t xml:space="preserve"> —</w:t>
    </w:r>
  </w:p>
  <w:p w14:paraId="48DE3797">
    <w:pPr>
      <w:pStyle w:val="4"/>
      <w:ind w:right="360" w:firstLine="360"/>
      <w:jc w:val="center"/>
      <w:rPr>
        <w:rFonts w:ascii="Times New Roman" w:hAnsi="Times New Roman"/>
        <w:sz w:val="28"/>
        <w:szCs w:val="28"/>
      </w:rPr>
    </w:pPr>
  </w:p>
  <w:p w14:paraId="3B967C6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4AA547C0">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7469F"/>
    <w:rsid w:val="025B104D"/>
    <w:rsid w:val="0883032D"/>
    <w:rsid w:val="109B1A09"/>
    <w:rsid w:val="18C83393"/>
    <w:rsid w:val="1C57469F"/>
    <w:rsid w:val="2F5D55B9"/>
    <w:rsid w:val="2FE249C1"/>
    <w:rsid w:val="3B4413CB"/>
    <w:rsid w:val="3D246DB8"/>
    <w:rsid w:val="43955500"/>
    <w:rsid w:val="441D2641"/>
    <w:rsid w:val="4AB94E26"/>
    <w:rsid w:val="4CAE41A1"/>
    <w:rsid w:val="60DD643C"/>
    <w:rsid w:val="61A161B8"/>
    <w:rsid w:val="69407E24"/>
    <w:rsid w:val="7DE54FFE"/>
    <w:rsid w:val="7F322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区委办</Company>
  <Pages>4</Pages>
  <Words>1710</Words>
  <Characters>1873</Characters>
  <Lines>0</Lines>
  <Paragraphs>0</Paragraphs>
  <TotalTime>21</TotalTime>
  <ScaleCrop>false</ScaleCrop>
  <LinksUpToDate>false</LinksUpToDate>
  <CharactersWithSpaces>1939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2025-08-08T08:57:00Z</dcterms:created>
  <dc:creator>圆圈圈儿 ࿔</dc:creator>
  <cp:lastModifiedBy>圆圈圈儿 ࿔</cp:lastModifiedBy>
  <dcterms:modified xsi:type="dcterms:W3CDTF">2025-09-26T03:39:50Z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B6B83DC1DA924BB8AB0912ACF1A04B1E_13</vt:lpwstr>
  </property>
  <property fmtid="{D5CDD505-2E9C-101B-9397-08002B2CF9AE}" pid="4" name="KSOTemplateDocerSaveRecord">
    <vt:lpwstr>eyJoZGlkIjoiYjBjYjYyZWIzNTRhYTQyMWI0ZDQzNDljMjY3ZWY5OTIiLCJ1c2VySWQiOiIxNzIzMDIxNzY5In0=</vt:lpwstr>
  </property>
</Properties>
</file>