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367D2" w14:textId="77777777" w:rsidR="005F349B" w:rsidRDefault="005F349B">
      <w:pPr>
        <w:adjustRightInd w:val="0"/>
        <w:snapToGrid w:val="0"/>
        <w:ind w:right="-156" w:hanging="180"/>
        <w:jc w:val="center"/>
        <w:rPr>
          <w:rFonts w:ascii="公文小标宋简" w:eastAsia="公文小标宋简"/>
          <w:b/>
          <w:bCs/>
          <w:smallCaps/>
          <w:snapToGrid w:val="0"/>
          <w:color w:val="FF0000"/>
          <w:spacing w:val="56"/>
          <w:kern w:val="0"/>
          <w:sz w:val="72"/>
          <w:szCs w:val="72"/>
        </w:rPr>
      </w:pPr>
    </w:p>
    <w:p w14:paraId="7338B72D" w14:textId="77777777" w:rsidR="005F349B" w:rsidRDefault="005433AC">
      <w:pPr>
        <w:wordWrap w:val="0"/>
        <w:adjustRightInd w:val="0"/>
        <w:snapToGrid w:val="0"/>
        <w:spacing w:line="600" w:lineRule="exact"/>
        <w:ind w:firstLineChars="200" w:firstLine="420"/>
        <w:rPr>
          <w:rFonts w:ascii="仿宋_GB2312"/>
        </w:rPr>
      </w:pPr>
      <w:r>
        <w:rPr>
          <w:rFonts w:ascii="仿宋_GB2312" w:hint="eastAsia"/>
        </w:rPr>
        <w:t xml:space="preserve">                                       </w:t>
      </w:r>
      <w:r>
        <w:rPr>
          <w:rFonts w:ascii="仿宋_GB2312" w:eastAsia="仿宋_GB2312" w:hint="eastAsia"/>
          <w:sz w:val="32"/>
          <w:szCs w:val="32"/>
        </w:rPr>
        <w:t>穗环管影（番）〔2025〕127号</w:t>
      </w:r>
    </w:p>
    <w:p w14:paraId="1EA0A82F" w14:textId="77777777" w:rsidR="005F349B" w:rsidRDefault="005F349B">
      <w:pPr>
        <w:rPr>
          <w:rFonts w:ascii="黑体" w:eastAsia="黑体"/>
        </w:rPr>
      </w:pPr>
    </w:p>
    <w:p w14:paraId="5F043DB0" w14:textId="77777777" w:rsidR="005F349B" w:rsidRDefault="005F349B">
      <w:pPr>
        <w:adjustRightInd w:val="0"/>
        <w:snapToGrid w:val="0"/>
        <w:spacing w:line="600" w:lineRule="exact"/>
        <w:rPr>
          <w:rFonts w:ascii="仿宋_GB2312"/>
        </w:rPr>
      </w:pPr>
    </w:p>
    <w:p w14:paraId="2F5066EE" w14:textId="77777777" w:rsidR="005F349B" w:rsidRDefault="005433AC">
      <w:pPr>
        <w:spacing w:line="560" w:lineRule="exact"/>
        <w:jc w:val="center"/>
        <w:rPr>
          <w:rFonts w:ascii="方正小标宋简体" w:eastAsia="方正小标宋简体" w:hAnsi="方正小标宋简体" w:cs="方正小标宋简体"/>
          <w:color w:val="000000" w:themeColor="text1"/>
          <w:sz w:val="44"/>
          <w:szCs w:val="44"/>
          <w:lang w:bidi="ar"/>
        </w:rPr>
      </w:pPr>
      <w:r>
        <w:rPr>
          <w:rFonts w:ascii="方正小标宋简体" w:eastAsia="方正小标宋简体" w:hAnsi="方正小标宋简体" w:cs="方正小标宋简体" w:hint="eastAsia"/>
          <w:color w:val="000000" w:themeColor="text1"/>
          <w:sz w:val="44"/>
          <w:szCs w:val="44"/>
          <w:lang w:bidi="ar"/>
        </w:rPr>
        <w:t>广州市生态环境局关于110千伏茶东变电站</w:t>
      </w:r>
    </w:p>
    <w:p w14:paraId="42A954D8" w14:textId="77777777" w:rsidR="005F349B" w:rsidRDefault="005433AC">
      <w:pPr>
        <w:spacing w:line="560" w:lineRule="exact"/>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lang w:bidi="ar"/>
        </w:rPr>
        <w:t>扩建第三台主变工程环境影响报告表的批复</w:t>
      </w:r>
    </w:p>
    <w:p w14:paraId="3F7FA60C" w14:textId="77777777" w:rsidR="005F349B" w:rsidRDefault="005F349B">
      <w:pPr>
        <w:rPr>
          <w:rFonts w:ascii="方正小标宋_GBK" w:eastAsia="方正小标宋_GBK"/>
          <w:sz w:val="44"/>
          <w:szCs w:val="44"/>
        </w:rPr>
      </w:pPr>
    </w:p>
    <w:p w14:paraId="76FB9816" w14:textId="77777777" w:rsidR="005F349B" w:rsidRDefault="005433AC">
      <w:pPr>
        <w:rPr>
          <w:rFonts w:ascii="仿宋_GB2312" w:eastAsia="仿宋_GB2312"/>
          <w:sz w:val="32"/>
          <w:szCs w:val="32"/>
        </w:rPr>
      </w:pPr>
      <w:r>
        <w:rPr>
          <w:rFonts w:ascii="仿宋_GB2312" w:eastAsia="仿宋_GB2312" w:hint="eastAsia"/>
          <w:color w:val="000000" w:themeColor="text1"/>
          <w:sz w:val="32"/>
          <w:szCs w:val="32"/>
        </w:rPr>
        <w:t>广东电网有限责任公司广州供电局（91440101734916755P）</w:t>
      </w:r>
      <w:r>
        <w:rPr>
          <w:rFonts w:ascii="仿宋_GB2312" w:eastAsia="仿宋_GB2312" w:hint="eastAsia"/>
          <w:sz w:val="32"/>
          <w:szCs w:val="32"/>
        </w:rPr>
        <w:t>：</w:t>
      </w:r>
    </w:p>
    <w:p w14:paraId="76BE8C03" w14:textId="77777777" w:rsidR="005F349B" w:rsidRDefault="005433AC">
      <w:pPr>
        <w:ind w:firstLineChars="200" w:firstLine="640"/>
        <w:rPr>
          <w:rFonts w:ascii="仿宋_GB2312" w:eastAsia="仿宋_GB2312"/>
          <w:sz w:val="32"/>
          <w:szCs w:val="32"/>
        </w:rPr>
      </w:pPr>
      <w:r>
        <w:rPr>
          <w:rFonts w:ascii="仿宋_GB2312" w:eastAsia="仿宋_GB2312" w:hint="eastAsia"/>
          <w:sz w:val="32"/>
          <w:szCs w:val="32"/>
        </w:rPr>
        <w:t>你单位报送的《</w:t>
      </w:r>
      <w:r>
        <w:rPr>
          <w:rFonts w:ascii="仿宋_GB2312" w:eastAsia="仿宋_GB2312" w:hint="eastAsia"/>
          <w:color w:val="000000" w:themeColor="text1"/>
          <w:sz w:val="32"/>
          <w:szCs w:val="32"/>
        </w:rPr>
        <w:t>110千伏茶东变电站扩建第三台主变工程</w:t>
      </w:r>
      <w:r>
        <w:rPr>
          <w:rFonts w:ascii="仿宋_GB2312" w:eastAsia="仿宋_GB2312" w:hint="eastAsia"/>
          <w:sz w:val="32"/>
          <w:szCs w:val="32"/>
        </w:rPr>
        <w:t>环境影响报告表》（以下简称“《报告表》”）及附送资料收悉。经研究，现批复如下：</w:t>
      </w:r>
    </w:p>
    <w:p w14:paraId="05B12CBE" w14:textId="44403EFC" w:rsidR="005F349B" w:rsidRDefault="005433AC">
      <w:pPr>
        <w:ind w:firstLineChars="200" w:firstLine="640"/>
        <w:rPr>
          <w:rFonts w:ascii="仿宋_GB2312" w:eastAsia="仿宋_GB2312"/>
          <w:sz w:val="32"/>
          <w:szCs w:val="32"/>
        </w:rPr>
      </w:pPr>
      <w:r>
        <w:rPr>
          <w:rFonts w:ascii="仿宋_GB2312" w:eastAsia="仿宋_GB2312" w:hint="eastAsia"/>
          <w:sz w:val="32"/>
          <w:szCs w:val="32"/>
        </w:rPr>
        <w:t>一、</w:t>
      </w:r>
      <w:r>
        <w:rPr>
          <w:rFonts w:ascii="仿宋_GB2312" w:eastAsia="仿宋_GB2312" w:hint="eastAsia"/>
          <w:color w:val="000000" w:themeColor="text1"/>
          <w:sz w:val="32"/>
          <w:szCs w:val="32"/>
        </w:rPr>
        <w:t>110千伏茶东变电站扩建第三台主变工程</w:t>
      </w:r>
      <w:r>
        <w:rPr>
          <w:rFonts w:ascii="仿宋_GB2312" w:eastAsia="仿宋_GB2312" w:hint="eastAsia"/>
          <w:sz w:val="32"/>
          <w:szCs w:val="32"/>
        </w:rPr>
        <w:t>（以下简称“该工程”）位于广东省广州市番禺区</w:t>
      </w:r>
      <w:r>
        <w:rPr>
          <w:rFonts w:ascii="仿宋_GB2312" w:eastAsia="仿宋_GB2312" w:hAnsi="仿宋_GB2312" w:cs="仿宋_GB2312" w:hint="eastAsia"/>
          <w:sz w:val="32"/>
          <w:szCs w:val="32"/>
        </w:rPr>
        <w:t>大龙街道富怡路北侧</w:t>
      </w:r>
      <w:r>
        <w:rPr>
          <w:rFonts w:ascii="仿宋_GB2312" w:eastAsia="仿宋_GB2312" w:hint="eastAsia"/>
          <w:sz w:val="32"/>
          <w:szCs w:val="32"/>
        </w:rPr>
        <w:t>，电缆线路途</w:t>
      </w:r>
      <w:r w:rsidR="00516B78" w:rsidRPr="00EF54A9">
        <w:rPr>
          <w:rFonts w:ascii="仿宋_GB2312" w:eastAsia="仿宋_GB2312"/>
          <w:sz w:val="32"/>
          <w:szCs w:val="32"/>
        </w:rPr>
        <w:t>经</w:t>
      </w:r>
      <w:bookmarkStart w:id="0" w:name="_GoBack"/>
      <w:bookmarkEnd w:id="0"/>
      <w:r>
        <w:rPr>
          <w:rFonts w:ascii="仿宋_GB2312" w:eastAsia="仿宋_GB2312" w:hint="eastAsia"/>
          <w:sz w:val="32"/>
          <w:szCs w:val="32"/>
        </w:rPr>
        <w:t>广州市番禺区大龙街道。申报内容为在原有工程的基础上增加1台63MVA主变压器，新增1回110kV电缆线路接入220kV番禺站，电缆线路路径长约3.4千米，</w:t>
      </w:r>
      <w:r w:rsidR="00EF54A9" w:rsidRPr="00EF54A9">
        <w:rPr>
          <w:rFonts w:ascii="仿宋_GB2312" w:eastAsia="仿宋_GB2312"/>
          <w:sz w:val="32"/>
          <w:szCs w:val="32"/>
        </w:rPr>
        <w:t>途经广州</w:t>
      </w:r>
      <w:r>
        <w:rPr>
          <w:rFonts w:ascii="仿宋_GB2312" w:eastAsia="仿宋_GB2312" w:hint="eastAsia"/>
          <w:sz w:val="32"/>
          <w:szCs w:val="32"/>
        </w:rPr>
        <w:t>市番禺区大龙街道。扩建后，总体工程为主变压器（</w:t>
      </w:r>
      <w:r>
        <w:rPr>
          <w:rFonts w:ascii="仿宋_GB2312" w:eastAsia="仿宋_GB2312"/>
          <w:sz w:val="32"/>
          <w:szCs w:val="32"/>
        </w:rPr>
        <w:t>2</w:t>
      </w:r>
      <w:r>
        <w:rPr>
          <w:rFonts w:ascii="仿宋_GB2312" w:eastAsia="仿宋_GB2312"/>
          <w:sz w:val="32"/>
          <w:szCs w:val="32"/>
        </w:rPr>
        <w:t>×</w:t>
      </w:r>
      <w:r>
        <w:rPr>
          <w:rFonts w:ascii="仿宋_GB2312" w:eastAsia="仿宋_GB2312"/>
          <w:sz w:val="32"/>
          <w:szCs w:val="32"/>
        </w:rPr>
        <w:t>50+1</w:t>
      </w:r>
      <w:r>
        <w:rPr>
          <w:rFonts w:ascii="仿宋_GB2312" w:eastAsia="仿宋_GB2312"/>
          <w:sz w:val="32"/>
          <w:szCs w:val="32"/>
        </w:rPr>
        <w:t>×</w:t>
      </w:r>
      <w:r>
        <w:rPr>
          <w:rFonts w:ascii="仿宋_GB2312" w:eastAsia="仿宋_GB2312"/>
          <w:sz w:val="32"/>
          <w:szCs w:val="32"/>
        </w:rPr>
        <w:t>63</w:t>
      </w:r>
      <w:r>
        <w:rPr>
          <w:rFonts w:ascii="仿宋_GB2312" w:eastAsia="仿宋_GB2312" w:hint="eastAsia"/>
          <w:sz w:val="32"/>
          <w:szCs w:val="32"/>
        </w:rPr>
        <w:t>）MVA，无功补偿装置（2×2×5010+1×2×6012）kvar电容器组,110kV电缆出线3回，10kV电缆出线（2×12+1×16）回。该工程不新增用地。</w:t>
      </w:r>
    </w:p>
    <w:p w14:paraId="5EBAB576" w14:textId="77777777" w:rsidR="005F349B" w:rsidRDefault="005433AC">
      <w:pPr>
        <w:ind w:firstLineChars="200" w:firstLine="640"/>
        <w:rPr>
          <w:rFonts w:ascii="仿宋_GB2312" w:eastAsia="仿宋_GB2312"/>
          <w:sz w:val="32"/>
          <w:szCs w:val="32"/>
        </w:rPr>
      </w:pPr>
      <w:r>
        <w:rPr>
          <w:rFonts w:ascii="仿宋_GB2312" w:eastAsia="仿宋_GB2312" w:hint="eastAsia"/>
          <w:sz w:val="32"/>
          <w:szCs w:val="32"/>
        </w:rPr>
        <w:t>按照《报告表》的评价结论，在落实各项环境保护措施后，该工程产生的污染物及不良环境影响能够得到有效控制，从环境</w:t>
      </w:r>
      <w:r>
        <w:rPr>
          <w:rFonts w:ascii="仿宋_GB2312" w:eastAsia="仿宋_GB2312" w:hint="eastAsia"/>
          <w:sz w:val="32"/>
          <w:szCs w:val="32"/>
        </w:rPr>
        <w:lastRenderedPageBreak/>
        <w:t>保护角度，在</w:t>
      </w:r>
      <w:r>
        <w:rPr>
          <w:rFonts w:ascii="仿宋_GB2312" w:eastAsia="仿宋_GB2312" w:hint="eastAsia"/>
          <w:color w:val="000000" w:themeColor="text1"/>
          <w:sz w:val="32"/>
          <w:szCs w:val="32"/>
        </w:rPr>
        <w:t>拟</w:t>
      </w:r>
      <w:r>
        <w:rPr>
          <w:rFonts w:ascii="仿宋_GB2312" w:eastAsia="仿宋_GB2312" w:hint="eastAsia"/>
          <w:sz w:val="32"/>
          <w:szCs w:val="32"/>
        </w:rPr>
        <w:t>选址处建设可行。经审查，我局原则同意《报告表》评价结论。该工程应当按照《报告表》所述性质、规模、地点、</w:t>
      </w:r>
      <w:r>
        <w:rPr>
          <w:rFonts w:ascii="仿宋_GB2312" w:eastAsia="仿宋_GB2312" w:hint="eastAsia"/>
          <w:color w:val="000000" w:themeColor="text1"/>
          <w:sz w:val="32"/>
          <w:szCs w:val="32"/>
        </w:rPr>
        <w:t>使用功能</w:t>
      </w:r>
      <w:r>
        <w:rPr>
          <w:rFonts w:ascii="仿宋_GB2312" w:eastAsia="仿宋_GB2312" w:hint="eastAsia"/>
          <w:sz w:val="32"/>
          <w:szCs w:val="32"/>
        </w:rPr>
        <w:t>和环境保护措施进行建设。</w:t>
      </w:r>
    </w:p>
    <w:p w14:paraId="3730093A" w14:textId="77777777" w:rsidR="005F349B" w:rsidRDefault="005433AC">
      <w:pPr>
        <w:ind w:firstLineChars="200" w:firstLine="640"/>
        <w:rPr>
          <w:rFonts w:ascii="仿宋_GB2312" w:eastAsia="仿宋_GB2312"/>
          <w:sz w:val="32"/>
          <w:szCs w:val="32"/>
        </w:rPr>
      </w:pPr>
      <w:r>
        <w:rPr>
          <w:rFonts w:ascii="仿宋_GB2312" w:eastAsia="仿宋_GB2312" w:hint="eastAsia"/>
          <w:sz w:val="32"/>
          <w:szCs w:val="32"/>
        </w:rPr>
        <w:t>二、该工程各类污染物排放控制要求如下：</w:t>
      </w:r>
    </w:p>
    <w:p w14:paraId="21418C2D" w14:textId="77777777" w:rsidR="005F349B" w:rsidRDefault="005433AC">
      <w:pPr>
        <w:ind w:firstLineChars="200" w:firstLine="640"/>
        <w:rPr>
          <w:rFonts w:ascii="仿宋_GB2312" w:eastAsia="仿宋_GB2312"/>
          <w:sz w:val="32"/>
          <w:szCs w:val="32"/>
        </w:rPr>
      </w:pPr>
      <w:r>
        <w:rPr>
          <w:rFonts w:ascii="仿宋_GB2312" w:eastAsia="仿宋_GB2312" w:hint="eastAsia"/>
          <w:sz w:val="32"/>
          <w:szCs w:val="32"/>
        </w:rPr>
        <w:t>（一）施工期水污染物排放执行广东省《水污染物排放限值》（DB44/26-2001）第二时段三级标准。</w:t>
      </w:r>
    </w:p>
    <w:p w14:paraId="556E05FA" w14:textId="77777777" w:rsidR="005F349B" w:rsidRDefault="005433AC">
      <w:pPr>
        <w:ind w:firstLineChars="200" w:firstLine="640"/>
        <w:rPr>
          <w:rFonts w:ascii="仿宋_GB2312" w:eastAsia="仿宋_GB2312"/>
          <w:sz w:val="32"/>
          <w:szCs w:val="32"/>
        </w:rPr>
      </w:pPr>
      <w:r>
        <w:rPr>
          <w:rFonts w:ascii="仿宋_GB2312" w:eastAsia="仿宋_GB2312" w:hint="eastAsia"/>
          <w:sz w:val="32"/>
          <w:szCs w:val="32"/>
        </w:rPr>
        <w:t>（二）施工期场界噪声执行《建筑施工场界环境噪声排放标准》（GB12523-2011），即：昼间≤70dB(A)，夜间≤55dB(A)；营运期变电站边界噪声排放执行《工业企业厂界环境噪声排放标准》（GB12348-2008）2类区限值，即：昼间≤60dB(A)，夜间≤50dB(A)。</w:t>
      </w:r>
    </w:p>
    <w:p w14:paraId="278AC246" w14:textId="77777777" w:rsidR="005F349B" w:rsidRDefault="005433AC">
      <w:pPr>
        <w:ind w:firstLineChars="200" w:firstLine="640"/>
        <w:rPr>
          <w:rFonts w:ascii="仿宋_GB2312" w:eastAsia="仿宋_GB2312"/>
          <w:sz w:val="32"/>
          <w:szCs w:val="32"/>
        </w:rPr>
      </w:pPr>
      <w:r>
        <w:rPr>
          <w:rFonts w:ascii="仿宋_GB2312" w:eastAsia="仿宋_GB2312" w:hint="eastAsia"/>
          <w:sz w:val="32"/>
          <w:szCs w:val="32"/>
        </w:rPr>
        <w:t>（三）</w:t>
      </w:r>
      <w:r>
        <w:rPr>
          <w:rFonts w:ascii="仿宋_GB2312" w:eastAsia="仿宋_GB2312" w:hint="eastAsia"/>
          <w:color w:val="000000" w:themeColor="text1"/>
          <w:sz w:val="32"/>
          <w:szCs w:val="32"/>
        </w:rPr>
        <w:t>变电站和输电线路产生的电场强度、磁感应强度应满足《电磁环境控制限值》（GB8702-2014）4000V/m和100μT的公众曝露控制限值要求。</w:t>
      </w:r>
    </w:p>
    <w:p w14:paraId="6ABFC8E0" w14:textId="77777777" w:rsidR="005F349B" w:rsidRDefault="005433AC">
      <w:pPr>
        <w:ind w:firstLineChars="200" w:firstLine="640"/>
        <w:rPr>
          <w:rFonts w:ascii="仿宋_GB2312" w:eastAsia="仿宋_GB2312"/>
          <w:sz w:val="32"/>
          <w:szCs w:val="32"/>
        </w:rPr>
      </w:pPr>
      <w:r>
        <w:rPr>
          <w:rFonts w:ascii="仿宋_GB2312" w:eastAsia="仿宋_GB2312" w:hint="eastAsia"/>
          <w:sz w:val="32"/>
          <w:szCs w:val="32"/>
        </w:rPr>
        <w:t>三、该工程应当认真落实《报告表》提出的各项环境保护措施，重点做好以下工作：</w:t>
      </w:r>
    </w:p>
    <w:p w14:paraId="02E63429" w14:textId="77777777" w:rsidR="005F349B" w:rsidRDefault="005433AC">
      <w:pPr>
        <w:ind w:firstLineChars="200" w:firstLine="640"/>
        <w:rPr>
          <w:rFonts w:ascii="仿宋_GB2312" w:eastAsia="仿宋_GB2312"/>
          <w:sz w:val="32"/>
          <w:szCs w:val="32"/>
        </w:rPr>
      </w:pPr>
      <w:r>
        <w:rPr>
          <w:rFonts w:ascii="仿宋_GB2312" w:eastAsia="仿宋_GB2312" w:hint="eastAsia"/>
          <w:sz w:val="32"/>
          <w:szCs w:val="32"/>
        </w:rPr>
        <w:t>（一）该工程依托原有工程雨污分流排水系统及生活污水处理设施。扩建工程不新增生活污水排放量。</w:t>
      </w:r>
    </w:p>
    <w:p w14:paraId="1BBA3E36" w14:textId="77777777" w:rsidR="005F349B" w:rsidRDefault="005433AC">
      <w:pPr>
        <w:ind w:firstLineChars="200" w:firstLine="640"/>
        <w:rPr>
          <w:rFonts w:ascii="仿宋_GB2312" w:eastAsia="仿宋_GB2312"/>
          <w:sz w:val="32"/>
          <w:szCs w:val="32"/>
        </w:rPr>
      </w:pPr>
      <w:r>
        <w:rPr>
          <w:rFonts w:ascii="仿宋_GB2312" w:eastAsia="仿宋_GB2312" w:hint="eastAsia"/>
          <w:sz w:val="32"/>
          <w:szCs w:val="32"/>
        </w:rPr>
        <w:t>（二）选用低噪声设备，合理安排施工时间。高噪声源应采取隔声、减振等措施，定期检修设备</w:t>
      </w:r>
      <w:r>
        <w:rPr>
          <w:rFonts w:ascii="仿宋_GB2312" w:eastAsia="仿宋_GB2312" w:hAnsi="仿宋_GB2312" w:cs="仿宋_GB2312" w:hint="eastAsia"/>
          <w:sz w:val="32"/>
          <w:szCs w:val="32"/>
        </w:rPr>
        <w:t>。</w:t>
      </w:r>
    </w:p>
    <w:p w14:paraId="11AB7019" w14:textId="77777777" w:rsidR="005F349B" w:rsidRDefault="005433AC">
      <w:pPr>
        <w:ind w:firstLineChars="200" w:firstLine="640"/>
        <w:rPr>
          <w:rFonts w:ascii="仿宋_GB2312" w:eastAsia="仿宋_GB2312"/>
          <w:sz w:val="32"/>
          <w:szCs w:val="32"/>
        </w:rPr>
      </w:pPr>
      <w:r>
        <w:rPr>
          <w:rFonts w:ascii="仿宋_GB2312" w:eastAsia="仿宋_GB2312" w:hint="eastAsia"/>
          <w:sz w:val="32"/>
          <w:szCs w:val="32"/>
        </w:rPr>
        <w:t>（三）废旧蓄电池、废变压器油等属于危险废物的须设置符合《危险废物贮存污染控制标准》（GB18597-2001）要求的专用贮存场所存放并委托具备危险废物处理资质的机构处理。</w:t>
      </w:r>
    </w:p>
    <w:p w14:paraId="1C3C3931" w14:textId="77777777" w:rsidR="005F349B" w:rsidRDefault="005433AC">
      <w:pPr>
        <w:ind w:firstLineChars="200" w:firstLine="640"/>
        <w:rPr>
          <w:rFonts w:ascii="仿宋_GB2312" w:eastAsia="仿宋_GB2312"/>
          <w:sz w:val="32"/>
          <w:szCs w:val="32"/>
        </w:rPr>
      </w:pPr>
      <w:r>
        <w:rPr>
          <w:rFonts w:ascii="仿宋_GB2312" w:eastAsia="仿宋_GB2312" w:hint="eastAsia"/>
          <w:sz w:val="32"/>
          <w:szCs w:val="32"/>
        </w:rPr>
        <w:t>（四）督促施工单位落实《报告表》提出的施工期污染防治</w:t>
      </w:r>
      <w:r>
        <w:rPr>
          <w:rFonts w:ascii="仿宋_GB2312" w:eastAsia="仿宋_GB2312" w:hint="eastAsia"/>
          <w:sz w:val="32"/>
          <w:szCs w:val="32"/>
        </w:rPr>
        <w:lastRenderedPageBreak/>
        <w:t>措施，做好该工程施工现场的环保工作，防止施工粉尘、噪声、污水、固体废物等对周围环境造成影响。</w:t>
      </w:r>
    </w:p>
    <w:p w14:paraId="43E65085" w14:textId="77777777" w:rsidR="005F349B" w:rsidRDefault="005433AC">
      <w:pPr>
        <w:ind w:firstLineChars="200" w:firstLine="640"/>
        <w:rPr>
          <w:rFonts w:ascii="仿宋_GB2312" w:eastAsia="仿宋_GB2312"/>
          <w:sz w:val="32"/>
          <w:szCs w:val="32"/>
        </w:rPr>
      </w:pPr>
      <w:r>
        <w:rPr>
          <w:rFonts w:ascii="仿宋_GB2312" w:eastAsia="仿宋_GB2312" w:hint="eastAsia"/>
          <w:sz w:val="32"/>
          <w:szCs w:val="32"/>
        </w:rPr>
        <w:t>四、该工程的性质、规模、地点、采用的</w:t>
      </w:r>
      <w:r>
        <w:rPr>
          <w:rFonts w:ascii="仿宋_GB2312" w:eastAsia="仿宋_GB2312" w:hint="eastAsia"/>
          <w:color w:val="000000" w:themeColor="text1"/>
          <w:sz w:val="32"/>
          <w:szCs w:val="32"/>
        </w:rPr>
        <w:t>使用功能</w:t>
      </w:r>
      <w:r>
        <w:rPr>
          <w:rFonts w:ascii="仿宋_GB2312" w:eastAsia="仿宋_GB2312" w:hint="eastAsia"/>
          <w:sz w:val="32"/>
          <w:szCs w:val="32"/>
        </w:rPr>
        <w:t>或者防治污染、防止生态破坏的措施发生重大变动的，你单位应当重新报批环境影响评价文件。</w:t>
      </w:r>
    </w:p>
    <w:p w14:paraId="17E61BA4" w14:textId="77777777" w:rsidR="005F349B" w:rsidRDefault="005433AC">
      <w:pPr>
        <w:ind w:firstLineChars="200" w:firstLine="640"/>
        <w:rPr>
          <w:rFonts w:ascii="仿宋_GB2312" w:eastAsia="仿宋_GB2312"/>
          <w:sz w:val="32"/>
          <w:szCs w:val="32"/>
        </w:rPr>
      </w:pPr>
      <w:r>
        <w:rPr>
          <w:rFonts w:ascii="仿宋_GB2312" w:eastAsia="仿宋_GB2312" w:hint="eastAsia"/>
          <w:sz w:val="32"/>
          <w:szCs w:val="32"/>
        </w:rPr>
        <w:t>五、自《报告表》批准之日起超过五年，方决定该工程开工建设的，《报告表》应当在开工建设前报我局重新审核。未经我局重新审核同意的，不得擅自开工建设。</w:t>
      </w:r>
    </w:p>
    <w:p w14:paraId="4B56FB2A" w14:textId="77777777" w:rsidR="005F349B" w:rsidRDefault="005433AC">
      <w:pPr>
        <w:ind w:firstLineChars="200" w:firstLine="640"/>
        <w:rPr>
          <w:rFonts w:ascii="仿宋_GB2312" w:eastAsia="仿宋_GB2312"/>
          <w:sz w:val="32"/>
          <w:szCs w:val="32"/>
        </w:rPr>
      </w:pPr>
      <w:r>
        <w:rPr>
          <w:rFonts w:ascii="仿宋_GB2312" w:eastAsia="仿宋_GB2312" w:hint="eastAsia"/>
          <w:sz w:val="32"/>
          <w:szCs w:val="32"/>
        </w:rPr>
        <w:t>六、该工程建设应严格执行配套建设的环境保护设施与主体工程同时设计、同时施工、同时投产使用的环境保护“三同时”制度，具体要求如下：</w:t>
      </w:r>
    </w:p>
    <w:p w14:paraId="0D3CF35A" w14:textId="77777777" w:rsidR="005F349B" w:rsidRDefault="005433AC">
      <w:pPr>
        <w:widowControl/>
        <w:tabs>
          <w:tab w:val="left" w:pos="1418"/>
        </w:tabs>
        <w:rPr>
          <w:rFonts w:ascii="仿宋_GB2312" w:eastAsia="仿宋_GB2312"/>
          <w:sz w:val="32"/>
          <w:szCs w:val="32"/>
        </w:rPr>
      </w:pPr>
      <w:r>
        <w:rPr>
          <w:rFonts w:ascii="仿宋_GB2312" w:eastAsia="仿宋_GB2312" w:hint="eastAsia"/>
          <w:sz w:val="32"/>
          <w:szCs w:val="32"/>
        </w:rPr>
        <w:t xml:space="preserve">    （一）工程竣工后，你单位应按规定申请取得排污许可证或填报排污登记表，并按照规定的标准、程序和时限，对配套建设的环境保护设施进行验收，编制验收报告，依法向社会公开。</w:t>
      </w:r>
    </w:p>
    <w:p w14:paraId="1DF5B7C0" w14:textId="77777777" w:rsidR="005F349B" w:rsidRDefault="005433AC">
      <w:pPr>
        <w:ind w:firstLineChars="200" w:firstLine="640"/>
        <w:rPr>
          <w:rFonts w:ascii="仿宋_GB2312" w:eastAsia="仿宋_GB2312"/>
          <w:sz w:val="32"/>
          <w:szCs w:val="32"/>
        </w:rPr>
      </w:pPr>
      <w:r>
        <w:rPr>
          <w:rFonts w:ascii="仿宋_GB2312" w:eastAsia="仿宋_GB2312" w:hint="eastAsia"/>
          <w:sz w:val="32"/>
          <w:szCs w:val="32"/>
        </w:rPr>
        <w:t>（二）工程配套建设的环境保护设施经验收合格后，方可投入生产或者使用。</w:t>
      </w:r>
    </w:p>
    <w:p w14:paraId="0405F499" w14:textId="77777777" w:rsidR="005F349B" w:rsidRDefault="005433AC">
      <w:pPr>
        <w:ind w:firstLineChars="200" w:firstLine="640"/>
        <w:rPr>
          <w:rFonts w:ascii="仿宋_GB2312" w:eastAsia="仿宋_GB2312"/>
          <w:sz w:val="32"/>
          <w:szCs w:val="32"/>
        </w:rPr>
      </w:pPr>
      <w:r>
        <w:rPr>
          <w:rFonts w:ascii="仿宋_GB2312" w:eastAsia="仿宋_GB2312" w:hint="eastAsia"/>
          <w:sz w:val="32"/>
          <w:szCs w:val="32"/>
        </w:rPr>
        <w:t>七、该工程建设和运行过程中如涉及规划、土地利用、建设、水务、消防、安全等问题，应遵照相关法律法规要求到相应的行政主管部门办理有关手续。</w:t>
      </w:r>
    </w:p>
    <w:p w14:paraId="69D1D7E2" w14:textId="77777777" w:rsidR="005F349B" w:rsidRDefault="005433AC">
      <w:pPr>
        <w:pStyle w:val="New"/>
        <w:ind w:firstLine="636"/>
        <w:rPr>
          <w:rFonts w:eastAsia="仿宋_GB2312"/>
          <w:sz w:val="32"/>
          <w:szCs w:val="32"/>
        </w:rPr>
      </w:pPr>
      <w:r>
        <w:rPr>
          <w:rFonts w:ascii="仿宋_GB2312" w:eastAsia="仿宋_GB2312" w:hint="eastAsia"/>
          <w:sz w:val="32"/>
          <w:szCs w:val="32"/>
        </w:rPr>
        <w:t>八、</w:t>
      </w:r>
      <w:r>
        <w:rPr>
          <w:rFonts w:ascii="仿宋_GB2312" w:eastAsia="仿宋_GB2312" w:hAnsi="仿宋" w:hint="eastAsia"/>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w:t>
      </w:r>
      <w:r>
        <w:rPr>
          <w:rFonts w:ascii="仿宋_GB2312" w:eastAsia="仿宋_GB2312" w:hAnsi="仿宋" w:hint="eastAsia"/>
          <w:sz w:val="32"/>
        </w:rPr>
        <w:lastRenderedPageBreak/>
        <w:t>月内直接向广州铁路运输法院提起行政诉讼。申请行政复议或提起行政诉讼的，不停止本决定的执行</w:t>
      </w:r>
      <w:r>
        <w:rPr>
          <w:rFonts w:ascii="仿宋_GB2312" w:eastAsia="仿宋_GB2312" w:hint="eastAsia"/>
          <w:color w:val="000000" w:themeColor="text1"/>
          <w:sz w:val="32"/>
          <w:szCs w:val="32"/>
        </w:rPr>
        <w:t>。</w:t>
      </w:r>
    </w:p>
    <w:p w14:paraId="076DFB06" w14:textId="77777777" w:rsidR="005F349B" w:rsidRDefault="005F349B">
      <w:pPr>
        <w:ind w:firstLineChars="200" w:firstLine="640"/>
        <w:rPr>
          <w:rFonts w:ascii="仿宋_GB2312" w:eastAsia="仿宋_GB2312"/>
          <w:color w:val="FF0000"/>
          <w:sz w:val="32"/>
          <w:szCs w:val="32"/>
        </w:rPr>
      </w:pPr>
    </w:p>
    <w:p w14:paraId="03603023" w14:textId="77777777" w:rsidR="005F349B" w:rsidRDefault="005F349B">
      <w:pPr>
        <w:ind w:firstLineChars="1400" w:firstLine="4480"/>
        <w:rPr>
          <w:rFonts w:ascii="仿宋_GB2312" w:eastAsia="仿宋_GB2312"/>
          <w:sz w:val="32"/>
          <w:szCs w:val="32"/>
        </w:rPr>
      </w:pPr>
    </w:p>
    <w:p w14:paraId="36DE7DB6" w14:textId="77777777" w:rsidR="005F349B" w:rsidRDefault="005F349B">
      <w:pPr>
        <w:ind w:firstLineChars="1400" w:firstLine="4480"/>
        <w:rPr>
          <w:rFonts w:ascii="仿宋_GB2312" w:eastAsia="仿宋_GB2312"/>
          <w:sz w:val="32"/>
          <w:szCs w:val="32"/>
        </w:rPr>
      </w:pPr>
    </w:p>
    <w:p w14:paraId="7513DFA8" w14:textId="77777777" w:rsidR="005F349B" w:rsidRDefault="005433AC">
      <w:pPr>
        <w:ind w:firstLineChars="1400" w:firstLine="4480"/>
        <w:rPr>
          <w:rFonts w:ascii="仿宋_GB2312" w:eastAsia="仿宋_GB2312"/>
          <w:sz w:val="32"/>
          <w:szCs w:val="32"/>
        </w:rPr>
      </w:pPr>
      <w:r>
        <w:rPr>
          <w:rFonts w:ascii="仿宋_GB2312" w:eastAsia="仿宋_GB2312" w:hint="eastAsia"/>
          <w:sz w:val="32"/>
          <w:szCs w:val="32"/>
        </w:rPr>
        <w:t xml:space="preserve">     广州市生态环境局</w:t>
      </w:r>
    </w:p>
    <w:p w14:paraId="7508C2DD" w14:textId="77777777" w:rsidR="005F349B" w:rsidRDefault="005433AC">
      <w:pPr>
        <w:tabs>
          <w:tab w:val="left" w:pos="7371"/>
          <w:tab w:val="left" w:pos="7655"/>
          <w:tab w:val="left" w:pos="7797"/>
        </w:tabs>
        <w:ind w:firstLineChars="1400" w:firstLine="4480"/>
        <w:rPr>
          <w:rFonts w:ascii="仿宋_GB2312" w:eastAsia="仿宋_GB2312"/>
          <w:sz w:val="32"/>
          <w:szCs w:val="32"/>
        </w:rPr>
      </w:pPr>
      <w:r>
        <w:rPr>
          <w:rFonts w:ascii="仿宋_GB2312" w:eastAsia="仿宋_GB2312" w:hint="eastAsia"/>
          <w:sz w:val="32"/>
          <w:szCs w:val="32"/>
        </w:rPr>
        <w:t xml:space="preserve">     2025年9月11日</w:t>
      </w:r>
    </w:p>
    <w:p w14:paraId="6026452E" w14:textId="77777777" w:rsidR="005F349B" w:rsidRDefault="005F349B">
      <w:pPr>
        <w:rPr>
          <w:rFonts w:ascii="黑体" w:eastAsia="黑体"/>
          <w:sz w:val="32"/>
          <w:szCs w:val="32"/>
        </w:rPr>
      </w:pPr>
    </w:p>
    <w:p w14:paraId="5ADD379E" w14:textId="77777777" w:rsidR="005F349B" w:rsidRDefault="005F349B">
      <w:pPr>
        <w:rPr>
          <w:rFonts w:ascii="黑体" w:eastAsia="黑体"/>
          <w:sz w:val="32"/>
          <w:szCs w:val="32"/>
        </w:rPr>
      </w:pPr>
    </w:p>
    <w:p w14:paraId="35174246" w14:textId="77777777" w:rsidR="005F349B" w:rsidRDefault="005F349B">
      <w:pPr>
        <w:rPr>
          <w:rFonts w:ascii="黑体" w:eastAsia="黑体"/>
          <w:sz w:val="32"/>
          <w:szCs w:val="32"/>
        </w:rPr>
      </w:pPr>
    </w:p>
    <w:p w14:paraId="754D295B" w14:textId="77777777" w:rsidR="005F349B" w:rsidRDefault="005F349B">
      <w:pPr>
        <w:rPr>
          <w:rFonts w:ascii="黑体" w:eastAsia="黑体"/>
          <w:sz w:val="32"/>
          <w:szCs w:val="32"/>
        </w:rPr>
      </w:pPr>
    </w:p>
    <w:p w14:paraId="5B5E5F60" w14:textId="77777777" w:rsidR="005F349B" w:rsidRDefault="005F349B">
      <w:pPr>
        <w:rPr>
          <w:rFonts w:ascii="黑体" w:eastAsia="黑体"/>
          <w:sz w:val="32"/>
          <w:szCs w:val="32"/>
        </w:rPr>
      </w:pPr>
    </w:p>
    <w:p w14:paraId="30CD979E" w14:textId="77777777" w:rsidR="005F349B" w:rsidRDefault="005F349B">
      <w:pPr>
        <w:rPr>
          <w:rFonts w:ascii="黑体" w:eastAsia="黑体"/>
          <w:sz w:val="32"/>
          <w:szCs w:val="32"/>
        </w:rPr>
      </w:pPr>
    </w:p>
    <w:p w14:paraId="7B9AA517" w14:textId="77777777" w:rsidR="005F349B" w:rsidRDefault="005F349B">
      <w:pPr>
        <w:rPr>
          <w:rFonts w:ascii="黑体" w:eastAsia="黑体"/>
          <w:sz w:val="32"/>
          <w:szCs w:val="32"/>
        </w:rPr>
      </w:pPr>
    </w:p>
    <w:p w14:paraId="1EC3AADF" w14:textId="77777777" w:rsidR="005F349B" w:rsidRDefault="005F349B">
      <w:pPr>
        <w:rPr>
          <w:rFonts w:ascii="黑体" w:eastAsia="黑体"/>
          <w:sz w:val="32"/>
          <w:szCs w:val="32"/>
        </w:rPr>
      </w:pPr>
    </w:p>
    <w:p w14:paraId="5498C796" w14:textId="77777777" w:rsidR="005F349B" w:rsidRDefault="005F349B">
      <w:pPr>
        <w:rPr>
          <w:rFonts w:ascii="黑体" w:eastAsia="黑体"/>
          <w:sz w:val="32"/>
          <w:szCs w:val="32"/>
        </w:rPr>
      </w:pPr>
    </w:p>
    <w:p w14:paraId="05D263E6" w14:textId="77777777" w:rsidR="005F349B" w:rsidRDefault="005F349B">
      <w:pPr>
        <w:rPr>
          <w:rFonts w:ascii="黑体" w:eastAsia="黑体"/>
          <w:sz w:val="32"/>
          <w:szCs w:val="32"/>
        </w:rPr>
      </w:pPr>
    </w:p>
    <w:p w14:paraId="3DA38B0A" w14:textId="77777777" w:rsidR="005F349B" w:rsidRDefault="005433AC">
      <w:pPr>
        <w:rPr>
          <w:rFonts w:ascii="仿宋_GB2312" w:eastAsia="仿宋_GB2312"/>
          <w:sz w:val="32"/>
          <w:szCs w:val="32"/>
        </w:rPr>
      </w:pPr>
      <w:r>
        <w:rPr>
          <w:rFonts w:ascii="黑体" w:eastAsia="黑体" w:hint="eastAsia"/>
          <w:sz w:val="32"/>
          <w:szCs w:val="32"/>
        </w:rPr>
        <w:t>公开方式：</w:t>
      </w:r>
      <w:r>
        <w:rPr>
          <w:rFonts w:ascii="仿宋_GB2312" w:eastAsia="仿宋_GB2312" w:hint="eastAsia"/>
          <w:sz w:val="32"/>
          <w:szCs w:val="32"/>
        </w:rPr>
        <w:t>主动公开</w:t>
      </w:r>
    </w:p>
    <w:p w14:paraId="54A65778" w14:textId="77777777" w:rsidR="005F349B" w:rsidRDefault="005F349B">
      <w:pPr>
        <w:rPr>
          <w:rFonts w:ascii="仿宋_GB2312" w:eastAsia="仿宋_GB2312"/>
          <w:sz w:val="32"/>
          <w:szCs w:val="32"/>
        </w:rPr>
      </w:pPr>
    </w:p>
    <w:p w14:paraId="284F0A3A" w14:textId="77777777" w:rsidR="005F349B" w:rsidRDefault="005433AC">
      <w:pPr>
        <w:ind w:leftChars="201" w:left="1133" w:hangingChars="254" w:hanging="711"/>
        <w:rPr>
          <w:rFonts w:ascii="仿宋_GB2312" w:eastAsia="仿宋_GB2312"/>
          <w:sz w:val="28"/>
          <w:szCs w:val="28"/>
        </w:rPr>
      </w:pPr>
      <w:r>
        <w:rPr>
          <w:rFonts w:ascii="仿宋_GB2312" w:eastAsia="仿宋_GB2312" w:hint="eastAsia"/>
          <w:sz w:val="28"/>
          <w:szCs w:val="28"/>
        </w:rPr>
        <w:t>抄送：广州市生态环境局番禺分局执法二科、番禺第四环保所，武汉华凯环境安全技术发展有限公司。</w:t>
      </w:r>
    </w:p>
    <w:sectPr w:rsidR="005F349B">
      <w:footerReference w:type="even" r:id="rId6"/>
      <w:footerReference w:type="default" r:id="rId7"/>
      <w:pgSz w:w="11906" w:h="16838"/>
      <w:pgMar w:top="1588" w:right="1474" w:bottom="1134" w:left="1588" w:header="851" w:footer="624" w:gutter="0"/>
      <w:cols w:space="720"/>
      <w:titlePg/>
      <w:docGrid w:type="lines" w:linePitch="613" w:charSpace="2167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63D78" w14:textId="77777777" w:rsidR="004635C3" w:rsidRDefault="004635C3">
      <w:r>
        <w:separator/>
      </w:r>
    </w:p>
  </w:endnote>
  <w:endnote w:type="continuationSeparator" w:id="0">
    <w:p w14:paraId="1AF3AB67" w14:textId="77777777" w:rsidR="004635C3" w:rsidRDefault="00463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公文小标宋简">
    <w:altName w:val="MS Mincho"/>
    <w:charset w:val="86"/>
    <w:family w:val="modern"/>
    <w:pitch w:val="default"/>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Microsoft YaHei UI"/>
    <w:charset w:val="86"/>
    <w:family w:val="auto"/>
    <w:pitch w:val="default"/>
    <w:sig w:usb0="00000001" w:usb1="080E0000" w:usb2="00000000" w:usb3="00000000" w:csb0="00040000" w:csb1="00000000"/>
  </w:font>
  <w:font w:name="方正小标宋_GBK">
    <w:altName w:val="Microsoft YaHei UI"/>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7AB6" w14:textId="77777777" w:rsidR="005F349B" w:rsidRDefault="005433AC">
    <w:pPr>
      <w:pStyle w:val="a7"/>
      <w:framePr w:wrap="around" w:vAnchor="text" w:hAnchor="margin" w:xAlign="outside" w:y="1"/>
      <w:rPr>
        <w:rStyle w:val="ad"/>
      </w:rPr>
    </w:pPr>
    <w:r>
      <w:fldChar w:fldCharType="begin"/>
    </w:r>
    <w:r>
      <w:rPr>
        <w:rStyle w:val="ad"/>
      </w:rPr>
      <w:instrText xml:space="preserve">PAGE  </w:instrText>
    </w:r>
    <w:r>
      <w:fldChar w:fldCharType="end"/>
    </w:r>
  </w:p>
  <w:p w14:paraId="64CF4DB6" w14:textId="77777777" w:rsidR="005F349B" w:rsidRDefault="005F349B">
    <w:pPr>
      <w:pStyle w:val="a7"/>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86C74" w14:textId="6596FF1C" w:rsidR="005F349B" w:rsidRDefault="005433AC">
    <w:pPr>
      <w:pStyle w:val="a7"/>
      <w:framePr w:wrap="around" w:vAnchor="text" w:hAnchor="margin" w:xAlign="outside" w:y="1"/>
      <w:rPr>
        <w:rStyle w:val="ad"/>
        <w:rFonts w:ascii="宋体" w:hAnsi="宋体"/>
        <w:sz w:val="28"/>
        <w:szCs w:val="28"/>
      </w:rPr>
    </w:pPr>
    <w:r>
      <w:rPr>
        <w:rStyle w:val="ad"/>
        <w:rFonts w:ascii="宋体" w:hAnsi="宋体" w:hint="eastAsia"/>
        <w:sz w:val="28"/>
        <w:szCs w:val="28"/>
      </w:rPr>
      <w:t xml:space="preserve">— </w:t>
    </w:r>
    <w:r>
      <w:rPr>
        <w:rFonts w:ascii="宋体" w:hAnsi="宋体"/>
        <w:sz w:val="28"/>
        <w:szCs w:val="28"/>
      </w:rPr>
      <w:fldChar w:fldCharType="begin"/>
    </w:r>
    <w:r>
      <w:rPr>
        <w:rStyle w:val="ad"/>
        <w:rFonts w:ascii="宋体" w:hAnsi="宋体"/>
        <w:sz w:val="28"/>
        <w:szCs w:val="28"/>
      </w:rPr>
      <w:instrText xml:space="preserve">PAGE  </w:instrText>
    </w:r>
    <w:r>
      <w:rPr>
        <w:rFonts w:ascii="宋体" w:hAnsi="宋体"/>
        <w:sz w:val="28"/>
        <w:szCs w:val="28"/>
      </w:rPr>
      <w:fldChar w:fldCharType="separate"/>
    </w:r>
    <w:r w:rsidR="00516B78">
      <w:rPr>
        <w:rStyle w:val="ad"/>
        <w:rFonts w:ascii="宋体" w:hAnsi="宋体"/>
        <w:noProof/>
        <w:sz w:val="28"/>
        <w:szCs w:val="28"/>
      </w:rPr>
      <w:t>2</w:t>
    </w:r>
    <w:r>
      <w:rPr>
        <w:rFonts w:ascii="宋体" w:hAnsi="宋体"/>
        <w:sz w:val="28"/>
        <w:szCs w:val="28"/>
      </w:rPr>
      <w:fldChar w:fldCharType="end"/>
    </w:r>
    <w:r>
      <w:rPr>
        <w:rStyle w:val="ad"/>
        <w:rFonts w:ascii="宋体" w:hAnsi="宋体" w:hint="eastAsia"/>
        <w:sz w:val="28"/>
        <w:szCs w:val="28"/>
      </w:rPr>
      <w:t xml:space="preserve"> —</w:t>
    </w:r>
  </w:p>
  <w:p w14:paraId="3183EC7A" w14:textId="77777777" w:rsidR="005F349B" w:rsidRDefault="005F349B">
    <w:pPr>
      <w:pStyle w:val="a7"/>
      <w:ind w:right="360" w:firstLine="360"/>
      <w:jc w:val="center"/>
      <w:rPr>
        <w:sz w:val="28"/>
        <w:szCs w:val="28"/>
      </w:rPr>
    </w:pPr>
  </w:p>
  <w:p w14:paraId="0882BF32" w14:textId="77777777" w:rsidR="005F349B" w:rsidRDefault="005F349B">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79F6D" w14:textId="77777777" w:rsidR="004635C3" w:rsidRDefault="004635C3">
      <w:r>
        <w:separator/>
      </w:r>
    </w:p>
  </w:footnote>
  <w:footnote w:type="continuationSeparator" w:id="0">
    <w:p w14:paraId="7144A99A" w14:textId="77777777" w:rsidR="004635C3" w:rsidRDefault="004635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ttachedTemplate r:id="rId1"/>
  <w:defaultTabStop w:val="420"/>
  <w:drawingGridHorizontalSpacing w:val="158"/>
  <w:drawingGridVerticalSpacing w:val="61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825996"/>
    <w:rsid w:val="00001C85"/>
    <w:rsid w:val="00041AB4"/>
    <w:rsid w:val="00047670"/>
    <w:rsid w:val="00047F69"/>
    <w:rsid w:val="000600A3"/>
    <w:rsid w:val="00081938"/>
    <w:rsid w:val="00082A5C"/>
    <w:rsid w:val="000832FD"/>
    <w:rsid w:val="000852F9"/>
    <w:rsid w:val="00090CE7"/>
    <w:rsid w:val="00091F5C"/>
    <w:rsid w:val="00097289"/>
    <w:rsid w:val="000B070F"/>
    <w:rsid w:val="000B4C18"/>
    <w:rsid w:val="000C301C"/>
    <w:rsid w:val="000C3889"/>
    <w:rsid w:val="000C3CB8"/>
    <w:rsid w:val="000D56D5"/>
    <w:rsid w:val="000D6A43"/>
    <w:rsid w:val="001020A2"/>
    <w:rsid w:val="00104C9C"/>
    <w:rsid w:val="0012593F"/>
    <w:rsid w:val="00145974"/>
    <w:rsid w:val="00151CBA"/>
    <w:rsid w:val="00163612"/>
    <w:rsid w:val="00173803"/>
    <w:rsid w:val="00185235"/>
    <w:rsid w:val="001C347F"/>
    <w:rsid w:val="001E17DB"/>
    <w:rsid w:val="001F12B9"/>
    <w:rsid w:val="001F60AA"/>
    <w:rsid w:val="001F7ECF"/>
    <w:rsid w:val="00207F01"/>
    <w:rsid w:val="00212861"/>
    <w:rsid w:val="00212DD9"/>
    <w:rsid w:val="00213A61"/>
    <w:rsid w:val="00214473"/>
    <w:rsid w:val="00225893"/>
    <w:rsid w:val="002513F3"/>
    <w:rsid w:val="0027017E"/>
    <w:rsid w:val="0027079B"/>
    <w:rsid w:val="00271C08"/>
    <w:rsid w:val="00280957"/>
    <w:rsid w:val="00283EC7"/>
    <w:rsid w:val="002840F5"/>
    <w:rsid w:val="00290A95"/>
    <w:rsid w:val="002915FD"/>
    <w:rsid w:val="002A78A2"/>
    <w:rsid w:val="002B3756"/>
    <w:rsid w:val="002C0C0E"/>
    <w:rsid w:val="002C13BB"/>
    <w:rsid w:val="002C5286"/>
    <w:rsid w:val="002D01F1"/>
    <w:rsid w:val="002D444A"/>
    <w:rsid w:val="002D6E72"/>
    <w:rsid w:val="002F222A"/>
    <w:rsid w:val="003016C4"/>
    <w:rsid w:val="00323D70"/>
    <w:rsid w:val="003275AA"/>
    <w:rsid w:val="00334F3A"/>
    <w:rsid w:val="00347973"/>
    <w:rsid w:val="003551D8"/>
    <w:rsid w:val="003804CF"/>
    <w:rsid w:val="00396136"/>
    <w:rsid w:val="003A52FB"/>
    <w:rsid w:val="003D6927"/>
    <w:rsid w:val="003E6957"/>
    <w:rsid w:val="003F1D2D"/>
    <w:rsid w:val="0042675C"/>
    <w:rsid w:val="004366AD"/>
    <w:rsid w:val="00436E68"/>
    <w:rsid w:val="004422C8"/>
    <w:rsid w:val="004635C3"/>
    <w:rsid w:val="00464587"/>
    <w:rsid w:val="00466E9D"/>
    <w:rsid w:val="0047490D"/>
    <w:rsid w:val="00475DC4"/>
    <w:rsid w:val="00481214"/>
    <w:rsid w:val="0048602A"/>
    <w:rsid w:val="004A38CF"/>
    <w:rsid w:val="004A5E23"/>
    <w:rsid w:val="004A62BA"/>
    <w:rsid w:val="004C5EFD"/>
    <w:rsid w:val="004D0859"/>
    <w:rsid w:val="004D586D"/>
    <w:rsid w:val="004E13C9"/>
    <w:rsid w:val="004E567A"/>
    <w:rsid w:val="00511456"/>
    <w:rsid w:val="00516B78"/>
    <w:rsid w:val="00521A96"/>
    <w:rsid w:val="00527C59"/>
    <w:rsid w:val="0053095F"/>
    <w:rsid w:val="0053590B"/>
    <w:rsid w:val="005374E2"/>
    <w:rsid w:val="005429FF"/>
    <w:rsid w:val="005433AC"/>
    <w:rsid w:val="00545E62"/>
    <w:rsid w:val="00564EB8"/>
    <w:rsid w:val="00566920"/>
    <w:rsid w:val="0059052A"/>
    <w:rsid w:val="005A149B"/>
    <w:rsid w:val="005B12AD"/>
    <w:rsid w:val="005B6D04"/>
    <w:rsid w:val="005C24D6"/>
    <w:rsid w:val="005C3E0F"/>
    <w:rsid w:val="005C69AB"/>
    <w:rsid w:val="005C6B0C"/>
    <w:rsid w:val="005D060E"/>
    <w:rsid w:val="005D092A"/>
    <w:rsid w:val="005D6126"/>
    <w:rsid w:val="005E3B4A"/>
    <w:rsid w:val="005E5891"/>
    <w:rsid w:val="005F349B"/>
    <w:rsid w:val="005F76D5"/>
    <w:rsid w:val="006054AA"/>
    <w:rsid w:val="0062245C"/>
    <w:rsid w:val="00622782"/>
    <w:rsid w:val="006351A7"/>
    <w:rsid w:val="00640DE7"/>
    <w:rsid w:val="00641192"/>
    <w:rsid w:val="00652804"/>
    <w:rsid w:val="006576FA"/>
    <w:rsid w:val="00675205"/>
    <w:rsid w:val="00677228"/>
    <w:rsid w:val="00693BD5"/>
    <w:rsid w:val="006A28F5"/>
    <w:rsid w:val="006A6881"/>
    <w:rsid w:val="006A6965"/>
    <w:rsid w:val="006B2BAD"/>
    <w:rsid w:val="006D0170"/>
    <w:rsid w:val="006D7C57"/>
    <w:rsid w:val="006E5889"/>
    <w:rsid w:val="006F15BA"/>
    <w:rsid w:val="006F29B5"/>
    <w:rsid w:val="00707832"/>
    <w:rsid w:val="007158E4"/>
    <w:rsid w:val="00716C4E"/>
    <w:rsid w:val="00720BC0"/>
    <w:rsid w:val="00730C65"/>
    <w:rsid w:val="007443DC"/>
    <w:rsid w:val="00750DBF"/>
    <w:rsid w:val="00753DD4"/>
    <w:rsid w:val="00753DDF"/>
    <w:rsid w:val="007847A3"/>
    <w:rsid w:val="007855D9"/>
    <w:rsid w:val="00790E97"/>
    <w:rsid w:val="007B29D0"/>
    <w:rsid w:val="007B438D"/>
    <w:rsid w:val="007B5088"/>
    <w:rsid w:val="007C5CB3"/>
    <w:rsid w:val="007E1A40"/>
    <w:rsid w:val="00802F15"/>
    <w:rsid w:val="008078D7"/>
    <w:rsid w:val="008170AC"/>
    <w:rsid w:val="008372CA"/>
    <w:rsid w:val="0086236D"/>
    <w:rsid w:val="00882B8E"/>
    <w:rsid w:val="00884916"/>
    <w:rsid w:val="008865F4"/>
    <w:rsid w:val="0089687C"/>
    <w:rsid w:val="008B3BE3"/>
    <w:rsid w:val="008B3E8D"/>
    <w:rsid w:val="008C31B7"/>
    <w:rsid w:val="008D701C"/>
    <w:rsid w:val="008E07FB"/>
    <w:rsid w:val="008F3EEB"/>
    <w:rsid w:val="008F580D"/>
    <w:rsid w:val="00902B79"/>
    <w:rsid w:val="00902C55"/>
    <w:rsid w:val="00926C10"/>
    <w:rsid w:val="00932FC7"/>
    <w:rsid w:val="0093611D"/>
    <w:rsid w:val="009473C5"/>
    <w:rsid w:val="00950FC2"/>
    <w:rsid w:val="009544A8"/>
    <w:rsid w:val="0096566C"/>
    <w:rsid w:val="00972A29"/>
    <w:rsid w:val="00974609"/>
    <w:rsid w:val="00974E8C"/>
    <w:rsid w:val="00982E78"/>
    <w:rsid w:val="009A3DB2"/>
    <w:rsid w:val="009C5976"/>
    <w:rsid w:val="009C5EB5"/>
    <w:rsid w:val="009C790D"/>
    <w:rsid w:val="009D272F"/>
    <w:rsid w:val="009D34AC"/>
    <w:rsid w:val="009E0D72"/>
    <w:rsid w:val="009E1AD4"/>
    <w:rsid w:val="009E5416"/>
    <w:rsid w:val="00A36142"/>
    <w:rsid w:val="00A40AFA"/>
    <w:rsid w:val="00A56A9B"/>
    <w:rsid w:val="00AC047D"/>
    <w:rsid w:val="00AC648A"/>
    <w:rsid w:val="00AC7BAA"/>
    <w:rsid w:val="00AD33EF"/>
    <w:rsid w:val="00AD3E2D"/>
    <w:rsid w:val="00AE0762"/>
    <w:rsid w:val="00AE5E03"/>
    <w:rsid w:val="00AF7F2C"/>
    <w:rsid w:val="00B012B5"/>
    <w:rsid w:val="00B10676"/>
    <w:rsid w:val="00B15884"/>
    <w:rsid w:val="00B30042"/>
    <w:rsid w:val="00B31FB2"/>
    <w:rsid w:val="00B42B25"/>
    <w:rsid w:val="00B45736"/>
    <w:rsid w:val="00B5742B"/>
    <w:rsid w:val="00B650E2"/>
    <w:rsid w:val="00B71F4F"/>
    <w:rsid w:val="00B805AF"/>
    <w:rsid w:val="00B837BD"/>
    <w:rsid w:val="00B83F72"/>
    <w:rsid w:val="00B95160"/>
    <w:rsid w:val="00B95EC7"/>
    <w:rsid w:val="00B970C8"/>
    <w:rsid w:val="00BB16F4"/>
    <w:rsid w:val="00BB1C8A"/>
    <w:rsid w:val="00BB73EF"/>
    <w:rsid w:val="00C013B9"/>
    <w:rsid w:val="00C046AB"/>
    <w:rsid w:val="00C07DD8"/>
    <w:rsid w:val="00C12A22"/>
    <w:rsid w:val="00C1575A"/>
    <w:rsid w:val="00C2000C"/>
    <w:rsid w:val="00C25D4D"/>
    <w:rsid w:val="00C331EC"/>
    <w:rsid w:val="00C35028"/>
    <w:rsid w:val="00C41EC5"/>
    <w:rsid w:val="00C45C92"/>
    <w:rsid w:val="00C47559"/>
    <w:rsid w:val="00C50129"/>
    <w:rsid w:val="00C53D85"/>
    <w:rsid w:val="00C577CF"/>
    <w:rsid w:val="00C61143"/>
    <w:rsid w:val="00C74EA0"/>
    <w:rsid w:val="00C76BD4"/>
    <w:rsid w:val="00C850D2"/>
    <w:rsid w:val="00C8740F"/>
    <w:rsid w:val="00CC70BC"/>
    <w:rsid w:val="00CD225F"/>
    <w:rsid w:val="00CF1B16"/>
    <w:rsid w:val="00D01DA0"/>
    <w:rsid w:val="00D02618"/>
    <w:rsid w:val="00D0455B"/>
    <w:rsid w:val="00D051BE"/>
    <w:rsid w:val="00D205FC"/>
    <w:rsid w:val="00D37BB0"/>
    <w:rsid w:val="00D465AF"/>
    <w:rsid w:val="00D55BFA"/>
    <w:rsid w:val="00D670D5"/>
    <w:rsid w:val="00D70C73"/>
    <w:rsid w:val="00D74A06"/>
    <w:rsid w:val="00D76922"/>
    <w:rsid w:val="00D76AC3"/>
    <w:rsid w:val="00D85A00"/>
    <w:rsid w:val="00D87223"/>
    <w:rsid w:val="00DB438D"/>
    <w:rsid w:val="00DD3F0C"/>
    <w:rsid w:val="00DF26FF"/>
    <w:rsid w:val="00DF7771"/>
    <w:rsid w:val="00E23AD5"/>
    <w:rsid w:val="00E32B25"/>
    <w:rsid w:val="00E44B98"/>
    <w:rsid w:val="00E52C18"/>
    <w:rsid w:val="00E57C80"/>
    <w:rsid w:val="00E9508B"/>
    <w:rsid w:val="00E95F22"/>
    <w:rsid w:val="00EB0FC1"/>
    <w:rsid w:val="00ED426B"/>
    <w:rsid w:val="00ED656B"/>
    <w:rsid w:val="00EE0C36"/>
    <w:rsid w:val="00EE5C65"/>
    <w:rsid w:val="00EE5F9D"/>
    <w:rsid w:val="00EF54A9"/>
    <w:rsid w:val="00F02188"/>
    <w:rsid w:val="00F030B9"/>
    <w:rsid w:val="00F05A97"/>
    <w:rsid w:val="00F1261C"/>
    <w:rsid w:val="00F27B34"/>
    <w:rsid w:val="00F8191D"/>
    <w:rsid w:val="00FB1867"/>
    <w:rsid w:val="00FB5B94"/>
    <w:rsid w:val="00FB674A"/>
    <w:rsid w:val="00FC2FF1"/>
    <w:rsid w:val="00FD7864"/>
    <w:rsid w:val="00FF05C9"/>
    <w:rsid w:val="00FF121F"/>
    <w:rsid w:val="01825996"/>
    <w:rsid w:val="273E2239"/>
    <w:rsid w:val="2D05512A"/>
    <w:rsid w:val="51F0761C"/>
    <w:rsid w:val="534135E6"/>
    <w:rsid w:val="6176180D"/>
    <w:rsid w:val="6D890FCE"/>
    <w:rsid w:val="6F77567E"/>
    <w:rsid w:val="74F23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67F2A"/>
  <w15:docId w15:val="{CFACADFC-1FCD-4B9A-96B3-3F7D95B2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header" w:uiPriority="99" w:unhideWhenUsed="1" w:qFormat="1"/>
    <w:lsdException w:name="footer" w:uiPriority="99" w:unhideWhenUsed="1"/>
    <w:lsdException w:name="caption" w:semiHidden="1" w:unhideWhenUsed="1" w:qFormat="1"/>
    <w:lsdException w:name="annotation reference" w:uiPriority="99"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unhideWhenUsed/>
    <w:qFormat/>
    <w:rPr>
      <w:b/>
      <w:bCs/>
    </w:rPr>
  </w:style>
  <w:style w:type="character" w:styleId="ad">
    <w:name w:val="page number"/>
    <w:basedOn w:val="a0"/>
    <w:qFormat/>
  </w:style>
  <w:style w:type="character" w:styleId="ae">
    <w:name w:val="annotation reference"/>
    <w:uiPriority w:val="99"/>
    <w:unhideWhenUsed/>
    <w:qFormat/>
    <w:rPr>
      <w:sz w:val="21"/>
      <w:szCs w:val="21"/>
    </w:rPr>
  </w:style>
  <w:style w:type="character" w:customStyle="1" w:styleId="a8">
    <w:name w:val="页脚 字符"/>
    <w:link w:val="a7"/>
    <w:uiPriority w:val="99"/>
    <w:qFormat/>
    <w:rPr>
      <w:kern w:val="2"/>
      <w:sz w:val="18"/>
      <w:szCs w:val="18"/>
    </w:rPr>
  </w:style>
  <w:style w:type="character" w:customStyle="1" w:styleId="aa">
    <w:name w:val="页眉 字符"/>
    <w:link w:val="a9"/>
    <w:uiPriority w:val="99"/>
    <w:semiHidden/>
    <w:qFormat/>
    <w:rPr>
      <w:kern w:val="2"/>
      <w:sz w:val="18"/>
      <w:szCs w:val="18"/>
    </w:rPr>
  </w:style>
  <w:style w:type="character" w:customStyle="1" w:styleId="a6">
    <w:name w:val="批注框文本 字符"/>
    <w:link w:val="a5"/>
    <w:uiPriority w:val="99"/>
    <w:semiHidden/>
    <w:qFormat/>
    <w:rPr>
      <w:kern w:val="2"/>
      <w:sz w:val="18"/>
      <w:szCs w:val="18"/>
    </w:rPr>
  </w:style>
  <w:style w:type="character" w:customStyle="1" w:styleId="ac">
    <w:name w:val="批注主题 字符"/>
    <w:link w:val="ab"/>
    <w:uiPriority w:val="99"/>
    <w:semiHidden/>
    <w:qFormat/>
    <w:rPr>
      <w:b/>
      <w:bCs/>
      <w:kern w:val="2"/>
      <w:sz w:val="21"/>
      <w:szCs w:val="22"/>
    </w:rPr>
  </w:style>
  <w:style w:type="character" w:customStyle="1" w:styleId="a4">
    <w:name w:val="批注文字 字符"/>
    <w:link w:val="a3"/>
    <w:uiPriority w:val="99"/>
    <w:semiHidden/>
    <w:qFormat/>
    <w:rPr>
      <w:kern w:val="2"/>
      <w:sz w:val="21"/>
      <w:szCs w:val="22"/>
    </w:rPr>
  </w:style>
  <w:style w:type="paragraph" w:customStyle="1" w:styleId="Char1">
    <w:name w:val="Char1"/>
    <w:basedOn w:val="a"/>
    <w:qFormat/>
    <w:pPr>
      <w:tabs>
        <w:tab w:val="left" w:pos="840"/>
      </w:tabs>
      <w:ind w:left="840" w:hanging="420"/>
    </w:pPr>
    <w:rPr>
      <w:sz w:val="24"/>
      <w:szCs w:val="24"/>
    </w:rPr>
  </w:style>
  <w:style w:type="paragraph" w:customStyle="1" w:styleId="Style16">
    <w:name w:val="_Style 16"/>
    <w:uiPriority w:val="99"/>
    <w:semiHidden/>
    <w:qFormat/>
    <w:rPr>
      <w:kern w:val="2"/>
      <w:sz w:val="21"/>
      <w:szCs w:val="22"/>
    </w:rPr>
  </w:style>
  <w:style w:type="paragraph" w:customStyle="1" w:styleId="New">
    <w:name w:val="正文 New"/>
    <w:qFormat/>
    <w:pPr>
      <w:widowControl w:val="0"/>
      <w:jc w:val="both"/>
    </w:pPr>
    <w:rPr>
      <w:kern w:val="2"/>
      <w:sz w:val="21"/>
      <w:szCs w:val="24"/>
    </w:rPr>
  </w:style>
  <w:style w:type="paragraph" w:styleId="af">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29616;&#26377;&#36164;&#26009;\&#35780;&#20272;\&#30058;&#31162;&#23616;&#35201;&#27714;\&#12304;&#31319;&#65288;&#30058;&#65289;&#29615;&#31649;&#24433;&#12308;2021&#12309;&#215;&#21495;&#12305;&#29615;&#35780;&#25209;&#22797;&#27169;&#26495;-&#29615;&#35780;&#25253;&#21578;&#34920;&#65288;2021&#24180;6&#26376;&#29256;&#26032;&#65289;-&#20313;&#2403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【穗（番）环管影〔2021〕×号】环评批复模板-环评报告表（2021年6月版新）-余工.dot</Template>
  <TotalTime>29</TotalTime>
  <Pages>4</Pages>
  <Words>271</Words>
  <Characters>1545</Characters>
  <Application>Microsoft Office Word</Application>
  <DocSecurity>0</DocSecurity>
  <Lines>12</Lines>
  <Paragraphs>3</Paragraphs>
  <ScaleCrop>false</ScaleCrop>
  <Company>微软中国</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44</cp:revision>
  <cp:lastPrinted>2025-09-11T03:02:00Z</cp:lastPrinted>
  <dcterms:created xsi:type="dcterms:W3CDTF">2021-06-10T06:25:00Z</dcterms:created>
  <dcterms:modified xsi:type="dcterms:W3CDTF">2025-09-23T09:19:00Z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0B3CF43FE1E94D248AAF54D6F8A2736A_13</vt:lpwstr>
  </property>
</Properties>
</file>