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bookmarkStart w:id="0" w:name="_GoBack"/>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129</w:t>
      </w:r>
      <w:r>
        <w:rPr>
          <w:rFonts w:hint="eastAsia" w:ascii="仿宋_GB2312" w:eastAsia="仿宋_GB2312"/>
          <w:color w:val="auto"/>
          <w:sz w:val="32"/>
          <w:szCs w:val="32"/>
        </w:rPr>
        <w:t>号</w:t>
      </w:r>
      <w:bookmarkEnd w:id="0"/>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5C43F3B3">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广州市生态环境局关于广州迈派电子有限公司年生产鼠标和键盘400万件建设项目</w:t>
      </w: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wordWrap/>
        <w:overflowPunct/>
        <w:topLinePunct w:val="0"/>
        <w:autoSpaceDE/>
        <w:autoSpaceDN/>
        <w:bidi w:val="0"/>
        <w:adjustRightInd/>
        <w:snapToGrid/>
        <w:spacing w:line="540" w:lineRule="exact"/>
        <w:textAlignment w:val="auto"/>
        <w:rPr>
          <w:rFonts w:ascii="仿宋_GB2312" w:eastAsia="仿宋_GB2312"/>
          <w:color w:val="auto"/>
          <w:sz w:val="32"/>
          <w:szCs w:val="32"/>
        </w:rPr>
      </w:pPr>
      <w:r>
        <w:rPr>
          <w:rFonts w:hint="eastAsia" w:ascii="仿宋_GB2312" w:eastAsia="仿宋_GB2312"/>
          <w:color w:val="auto"/>
          <w:sz w:val="32"/>
          <w:szCs w:val="32"/>
        </w:rPr>
        <w:t>广州迈派电子有限公司（91440113061121738E）：</w:t>
      </w:r>
    </w:p>
    <w:p w14:paraId="06F98241">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你单位报送的《广州迈派电子有限公司年生产鼠标和键盘400万件建设项目环境影响报告表》（以下简称《报告表》）及附送资料收悉。经研究，现批复如下：</w:t>
      </w:r>
    </w:p>
    <w:p w14:paraId="6234E811">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一、广州迈派电子有限公司年生产鼠标和键盘400万件建设项目（以下简称“该项目”）位于广州市番禺区桥南街蚬涌村市南路689号101室、201室、301室、401室，申报内容为从事鼠标、键盘的生产销售</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年生产鼠标、键盘共400万件</w:t>
      </w:r>
      <w:r>
        <w:rPr>
          <w:rFonts w:hint="eastAsia" w:ascii="仿宋_GB2312" w:eastAsia="仿宋_GB2312"/>
          <w:color w:val="auto"/>
          <w:sz w:val="32"/>
          <w:szCs w:val="32"/>
        </w:rPr>
        <w:t>。该项目占地面积</w:t>
      </w:r>
      <w:r>
        <w:rPr>
          <w:rFonts w:hint="eastAsia" w:ascii="仿宋_GB2312" w:eastAsia="仿宋_GB2312"/>
          <w:color w:val="auto"/>
          <w:sz w:val="32"/>
          <w:szCs w:val="32"/>
          <w:lang w:val="en-US" w:eastAsia="zh-CN"/>
        </w:rPr>
        <w:t>2150</w:t>
      </w:r>
      <w:r>
        <w:rPr>
          <w:rFonts w:hint="eastAsia" w:ascii="仿宋_GB2312" w:eastAsia="仿宋_GB2312"/>
          <w:color w:val="auto"/>
          <w:sz w:val="32"/>
          <w:szCs w:val="32"/>
        </w:rPr>
        <w:t>平方米，总建筑面积</w:t>
      </w:r>
      <w:r>
        <w:rPr>
          <w:rFonts w:hint="eastAsia" w:ascii="仿宋_GB2312" w:eastAsia="仿宋_GB2312"/>
          <w:color w:val="auto"/>
          <w:sz w:val="32"/>
          <w:szCs w:val="32"/>
          <w:lang w:val="en-US" w:eastAsia="zh-CN"/>
        </w:rPr>
        <w:t>5871.36</w:t>
      </w:r>
      <w:r>
        <w:rPr>
          <w:rFonts w:hint="eastAsia" w:ascii="仿宋_GB2312" w:eastAsia="仿宋_GB2312"/>
          <w:color w:val="auto"/>
          <w:sz w:val="32"/>
          <w:szCs w:val="32"/>
        </w:rPr>
        <w:t>平方米，</w:t>
      </w:r>
      <w:r>
        <w:rPr>
          <w:rFonts w:hint="eastAsia" w:ascii="仿宋_GB2312" w:eastAsia="仿宋_GB2312"/>
          <w:color w:val="auto"/>
          <w:sz w:val="32"/>
          <w:szCs w:val="32"/>
          <w:lang w:val="en-US" w:eastAsia="zh-CN"/>
        </w:rPr>
        <w:t>租用一栋五层厂房1-4层和1栋三层厂房进行建设</w:t>
      </w:r>
      <w:r>
        <w:rPr>
          <w:rFonts w:hint="eastAsia" w:ascii="仿宋_GB2312" w:eastAsia="仿宋_GB2312"/>
          <w:color w:val="auto"/>
          <w:sz w:val="32"/>
          <w:szCs w:val="32"/>
        </w:rPr>
        <w:t>；主要设备有注塑机10台、混色机1台、破碎机1台、上料机6台、高周波熔接机5台、自动辅助设备5台、激光打标机1台、冷却塔1台、空压机1台</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150</w:t>
      </w:r>
      <w:r>
        <w:rPr>
          <w:rFonts w:hint="eastAsia" w:ascii="仿宋_GB2312" w:eastAsia="仿宋_GB2312"/>
          <w:color w:val="auto"/>
          <w:sz w:val="32"/>
          <w:szCs w:val="32"/>
        </w:rPr>
        <w:t>名，内部不安排食宿。该项目不使用再生塑料</w:t>
      </w:r>
      <w:r>
        <w:rPr>
          <w:rFonts w:hint="eastAsia" w:ascii="仿宋_GB2312" w:eastAsia="仿宋_GB2312"/>
          <w:color w:val="auto"/>
          <w:sz w:val="32"/>
          <w:szCs w:val="32"/>
          <w:lang w:val="en-US" w:eastAsia="zh-CN"/>
        </w:rPr>
        <w:t>作原料</w:t>
      </w:r>
      <w:r>
        <w:rPr>
          <w:rFonts w:hint="eastAsia" w:ascii="仿宋_GB2312" w:eastAsia="仿宋_GB2312"/>
          <w:color w:val="auto"/>
          <w:sz w:val="32"/>
          <w:szCs w:val="32"/>
        </w:rPr>
        <w:t>。</w:t>
      </w:r>
    </w:p>
    <w:p w14:paraId="0B64A3CC">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现选址处建设可行。经审查，我局原则同意《报告表》评价结论。该项目应当按照《报告表》所述性质、规模、地点、生产工艺和环境保护措施进行建设。</w:t>
      </w:r>
    </w:p>
    <w:p w14:paraId="655CFE16">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排放执行广东省《水污染物排放限值》（DB44/26-2001）第二时段三级标准。生活污水排放量不超过</w:t>
      </w:r>
      <w:r>
        <w:rPr>
          <w:rFonts w:hint="eastAsia" w:ascii="仿宋_GB2312" w:eastAsia="仿宋_GB2312"/>
          <w:color w:val="auto"/>
          <w:sz w:val="32"/>
          <w:szCs w:val="32"/>
          <w:lang w:val="en-US" w:eastAsia="zh-CN"/>
        </w:rPr>
        <w:t>1350</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冷却废水排放量不超过2.4吨/年。</w:t>
      </w:r>
    </w:p>
    <w:p w14:paraId="3C8D840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有机废气</w:t>
      </w:r>
      <w:r>
        <w:rPr>
          <w:rFonts w:hint="eastAsia" w:ascii="仿宋_GB2312" w:eastAsia="仿宋_GB2312"/>
          <w:color w:val="auto"/>
          <w:sz w:val="32"/>
          <w:szCs w:val="32"/>
        </w:rPr>
        <w:t>排放执行《合成树脂工业污染物排放标准》（GB31572-2015</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含</w:t>
      </w:r>
      <w:r>
        <w:rPr>
          <w:rFonts w:hint="eastAsia" w:ascii="仿宋_GB2312" w:eastAsia="仿宋_GB2312"/>
          <w:color w:val="auto"/>
          <w:sz w:val="32"/>
          <w:szCs w:val="32"/>
        </w:rPr>
        <w:t>2024年修改单</w:t>
      </w:r>
      <w:r>
        <w:rPr>
          <w:rFonts w:hint="eastAsia" w:ascii="仿宋_GB2312" w:eastAsia="仿宋_GB2312"/>
          <w:color w:val="auto"/>
          <w:sz w:val="32"/>
          <w:szCs w:val="32"/>
          <w:lang w:eastAsia="zh-CN"/>
        </w:rPr>
        <w:t>）</w:t>
      </w:r>
      <w:r>
        <w:rPr>
          <w:rFonts w:hint="eastAsia" w:ascii="仿宋_GB2312" w:eastAsia="仿宋_GB2312"/>
          <w:color w:val="auto"/>
          <w:sz w:val="32"/>
          <w:szCs w:val="32"/>
        </w:rPr>
        <w:t>表5大气污染物特别排放限值</w:t>
      </w:r>
      <w:r>
        <w:rPr>
          <w:rFonts w:hint="eastAsia" w:ascii="仿宋_GB2312" w:eastAsia="仿宋_GB2312"/>
          <w:color w:val="auto"/>
          <w:sz w:val="32"/>
          <w:szCs w:val="32"/>
          <w:lang w:val="en-US" w:eastAsia="zh-CN"/>
        </w:rPr>
        <w:t>及</w:t>
      </w:r>
      <w:r>
        <w:rPr>
          <w:rFonts w:hint="eastAsia" w:ascii="仿宋_GB2312" w:eastAsia="仿宋_GB2312"/>
          <w:color w:val="auto"/>
          <w:sz w:val="32"/>
          <w:szCs w:val="32"/>
        </w:rPr>
        <w:t>广东省《固定污染源挥发性有机物综合排放标准》（DB44/2367-2022）表3厂区内VOCs无组织排放限值</w:t>
      </w:r>
      <w:r>
        <w:rPr>
          <w:rFonts w:hint="eastAsia" w:ascii="仿宋_GB2312" w:eastAsia="仿宋_GB2312"/>
          <w:color w:val="auto"/>
          <w:sz w:val="32"/>
          <w:szCs w:val="32"/>
          <w:lang w:val="en-US" w:eastAsia="zh-CN"/>
        </w:rPr>
        <w:t>和</w:t>
      </w:r>
      <w:r>
        <w:rPr>
          <w:rFonts w:hint="eastAsia" w:ascii="仿宋_GB2312" w:eastAsia="仿宋_GB2312"/>
          <w:color w:val="auto"/>
          <w:sz w:val="32"/>
          <w:szCs w:val="32"/>
        </w:rPr>
        <w:t>表4企业边界VOCs无组织排放限值</w:t>
      </w:r>
      <w:r>
        <w:rPr>
          <w:rFonts w:hint="eastAsia" w:ascii="仿宋_GB2312" w:eastAsia="仿宋_GB2312"/>
          <w:color w:val="auto"/>
          <w:sz w:val="32"/>
          <w:szCs w:val="32"/>
          <w:lang w:eastAsia="zh-CN"/>
        </w:rPr>
        <w:t>；苯乙烯、臭气浓度排放执行《恶臭污染物排放标准》（GB14554-93）表1厂界新扩改建二级标准限值和表2排放标准值；</w:t>
      </w:r>
      <w:r>
        <w:rPr>
          <w:rFonts w:hint="eastAsia" w:ascii="仿宋_GB2312" w:eastAsia="仿宋_GB2312"/>
          <w:color w:val="auto"/>
          <w:sz w:val="32"/>
          <w:szCs w:val="32"/>
          <w:lang w:val="en-US" w:eastAsia="zh-CN"/>
        </w:rPr>
        <w:t>颗粒物排放执行广东省《大气污染物排放限值》（DB44/27-2001）第二时段无组织排放监控浓度限值要求。</w:t>
      </w:r>
    </w:p>
    <w:p w14:paraId="1C452005">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szCs w:val="32"/>
          <w:lang w:eastAsia="zh-CN"/>
        </w:rPr>
      </w:pPr>
      <w:r>
        <w:rPr>
          <w:rFonts w:hint="eastAsia" w:ascii="仿宋_GB2312" w:eastAsia="仿宋_GB2312"/>
          <w:color w:val="auto"/>
          <w:sz w:val="32"/>
          <w:szCs w:val="32"/>
        </w:rPr>
        <w:t>（三）北面厂界噪声执行《工业企业厂界环境噪声排放标准》（GB12348-2008）2类区限值</w:t>
      </w:r>
      <w:r>
        <w:rPr>
          <w:rFonts w:hint="eastAsia" w:ascii="仿宋_GB2312" w:eastAsia="仿宋_GB2312"/>
          <w:color w:val="auto"/>
          <w:sz w:val="32"/>
          <w:szCs w:val="32"/>
          <w:lang w:eastAsia="zh-CN"/>
        </w:rPr>
        <w:t>，</w:t>
      </w:r>
      <w:r>
        <w:rPr>
          <w:rFonts w:hint="eastAsia" w:ascii="仿宋_GB2312" w:eastAsia="仿宋_GB2312"/>
          <w:color w:val="auto"/>
          <w:sz w:val="32"/>
          <w:szCs w:val="32"/>
        </w:rPr>
        <w:t>即：昼间≤60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，夜间≤50</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；南面厂界噪声执行《工业企业厂界环境噪声排放标准》（GB12348-2008）4类区限值，即：昼间≤7</w:t>
      </w:r>
      <w:r>
        <w:rPr>
          <w:rFonts w:hint="eastAsia" w:ascii="仿宋_GB2312" w:eastAsia="仿宋_GB2312"/>
          <w:color w:val="auto"/>
          <w:sz w:val="32"/>
          <w:szCs w:val="32"/>
          <w:lang w:val="en-US" w:eastAsia="zh-CN"/>
        </w:rPr>
        <w:t>0dB（A）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；东面厂界、西面厂界同时涉及2类区</w:t>
      </w:r>
      <w:r>
        <w:rPr>
          <w:rFonts w:hint="eastAsia" w:ascii="仿宋_GB2312" w:eastAsia="仿宋_GB2312"/>
          <w:color w:val="auto"/>
          <w:sz w:val="32"/>
          <w:szCs w:val="32"/>
          <w:lang w:eastAsia="zh-CN"/>
        </w:rPr>
        <w:t>、</w:t>
      </w:r>
      <w:r>
        <w:rPr>
          <w:rFonts w:hint="eastAsia" w:ascii="仿宋_GB2312" w:eastAsia="仿宋_GB2312"/>
          <w:color w:val="auto"/>
          <w:sz w:val="32"/>
          <w:szCs w:val="32"/>
        </w:rPr>
        <w:t>4a类区，位于2类区执行《工业企业厂界环境噪声排放标准》（GB12348-2008）2类区限值</w:t>
      </w:r>
      <w:r>
        <w:rPr>
          <w:rFonts w:hint="eastAsia" w:ascii="仿宋_GB2312" w:eastAsia="仿宋_GB2312"/>
          <w:color w:val="auto"/>
          <w:sz w:val="32"/>
          <w:szCs w:val="32"/>
          <w:lang w:eastAsia="zh-CN"/>
        </w:rPr>
        <w:t>，</w:t>
      </w:r>
      <w:r>
        <w:rPr>
          <w:rFonts w:hint="eastAsia" w:ascii="仿宋_GB2312" w:eastAsia="仿宋_GB2312"/>
          <w:color w:val="auto"/>
          <w:sz w:val="32"/>
          <w:szCs w:val="32"/>
        </w:rPr>
        <w:t>位于4a类区域执行《工业企业厂界环境噪声排放标准》（GB12348-2008）4类区限值</w:t>
      </w:r>
      <w:r>
        <w:rPr>
          <w:rFonts w:hint="eastAsia" w:ascii="仿宋_GB2312" w:eastAsia="仿宋_GB2312"/>
          <w:color w:val="auto"/>
          <w:sz w:val="32"/>
          <w:szCs w:val="32"/>
          <w:lang w:eastAsia="zh-CN"/>
        </w:rPr>
        <w:t>。</w:t>
      </w:r>
    </w:p>
    <w:p w14:paraId="5D589B1F">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4F29FC35">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rPr>
        <w:t>（一）排水系统采用雨污分流。冷却水循环使用，定期外排。</w:t>
      </w:r>
    </w:p>
    <w:p w14:paraId="548C04D0">
      <w:pPr>
        <w:keepNext w:val="0"/>
        <w:keepLines w:val="0"/>
        <w:pageBreakBefore w:val="0"/>
        <w:kinsoku/>
        <w:wordWrap/>
        <w:overflowPunct/>
        <w:topLinePunct w:val="0"/>
        <w:autoSpaceDE/>
        <w:autoSpaceDN/>
        <w:bidi w:val="0"/>
        <w:adjustRightInd/>
        <w:snapToGrid/>
        <w:spacing w:line="540" w:lineRule="exact"/>
        <w:textAlignment w:val="auto"/>
        <w:rPr>
          <w:rFonts w:ascii="仿宋_GB2312" w:eastAsia="仿宋_GB2312"/>
          <w:color w:val="auto"/>
          <w:sz w:val="32"/>
          <w:szCs w:val="32"/>
        </w:rPr>
      </w:pPr>
      <w:r>
        <w:rPr>
          <w:rFonts w:hint="eastAsia" w:ascii="仿宋_GB2312" w:eastAsia="仿宋_GB2312"/>
          <w:color w:val="auto"/>
          <w:sz w:val="32"/>
          <w:szCs w:val="32"/>
        </w:rPr>
        <w:t>生活污水经三级化粪池预处理后与冷却水一并排入市政集污管网，送</w:t>
      </w:r>
      <w:r>
        <w:rPr>
          <w:rFonts w:hint="eastAsia" w:ascii="仿宋_GB2312" w:eastAsia="仿宋_GB2312"/>
          <w:color w:val="auto"/>
          <w:sz w:val="32"/>
          <w:szCs w:val="32"/>
          <w:lang w:val="en-US" w:eastAsia="zh-CN"/>
        </w:rPr>
        <w:t>桥南</w:t>
      </w:r>
      <w:r>
        <w:rPr>
          <w:rFonts w:hint="eastAsia" w:ascii="仿宋_GB2312" w:eastAsia="仿宋_GB2312"/>
          <w:color w:val="auto"/>
          <w:sz w:val="32"/>
          <w:szCs w:val="32"/>
        </w:rPr>
        <w:t>净水厂集中处理。项目设置废水总排口1个。</w:t>
      </w:r>
    </w:p>
    <w:p w14:paraId="10DDB55A">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注塑车间设置为密闭负压车间。注塑成型工序产生的废气和异味收集至二级活性炭吸附装置处理后通过专用管道高空排放，排放口高度不低于15米，项目设置废气排放口1个。</w:t>
      </w:r>
    </w:p>
    <w:p w14:paraId="148AB73A">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75D3641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（四）废活性炭、废润滑油、废化学品容器</w:t>
      </w:r>
      <w:r>
        <w:rPr>
          <w:rFonts w:hint="eastAsia" w:ascii="仿宋_GB2312" w:eastAsia="仿宋_GB2312"/>
          <w:color w:val="auto"/>
          <w:sz w:val="32"/>
          <w:szCs w:val="32"/>
          <w:lang w:eastAsia="zh-CN"/>
        </w:rPr>
        <w:t>、含油废抹布</w:t>
      </w:r>
      <w:r>
        <w:rPr>
          <w:rFonts w:hint="eastAsia" w:ascii="仿宋_GB2312" w:eastAsia="仿宋_GB2312"/>
          <w:color w:val="auto"/>
          <w:sz w:val="32"/>
          <w:szCs w:val="32"/>
          <w:lang w:val="en-US" w:eastAsia="zh-CN"/>
        </w:rPr>
        <w:t>等</w:t>
      </w:r>
      <w:r>
        <w:rPr>
          <w:rFonts w:hint="eastAsia" w:ascii="仿宋_GB2312" w:eastAsia="仿宋_GB2312"/>
          <w:color w:val="auto"/>
          <w:sz w:val="32"/>
          <w:szCs w:val="32"/>
        </w:rPr>
        <w:t>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6FF04D6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wordWrap/>
        <w:overflowPunct/>
        <w:topLinePunct w:val="0"/>
        <w:autoSpaceDE/>
        <w:autoSpaceDN/>
        <w:bidi w:val="0"/>
        <w:adjustRightInd/>
        <w:snapToGrid/>
        <w:spacing w:line="54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、该项目建设和运行过程中如涉及规划、土地利用、建设、水务、消防、安全等问题，应遵照相关法律法规要求到相应的行政主管部门办理有关手续。</w:t>
      </w:r>
    </w:p>
    <w:p w14:paraId="1DEC4323">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七</w:t>
      </w:r>
      <w:r>
        <w:rPr>
          <w:rFonts w:hint="eastAsia" w:ascii="仿宋_GB2312" w:eastAsia="仿宋_GB2312"/>
          <w:color w:val="auto"/>
          <w:sz w:val="32"/>
          <w:szCs w:val="32"/>
        </w:rPr>
        <w:t>、</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wordWrap/>
        <w:overflowPunct/>
        <w:topLinePunct w:val="0"/>
        <w:autoSpaceDE/>
        <w:autoSpaceDN/>
        <w:bidi w:val="0"/>
        <w:adjustRightInd/>
        <w:snapToGrid/>
        <w:spacing w:line="540" w:lineRule="exact"/>
        <w:textAlignment w:val="auto"/>
        <w:rPr>
          <w:rFonts w:ascii="仿宋_GB2312" w:eastAsia="仿宋_GB2312"/>
          <w:color w:val="auto"/>
          <w:sz w:val="32"/>
          <w:szCs w:val="32"/>
        </w:rPr>
      </w:pPr>
    </w:p>
    <w:p w14:paraId="60D15471">
      <w:pPr>
        <w:keepNext w:val="0"/>
        <w:keepLines w:val="0"/>
        <w:pageBreakBefore w:val="0"/>
        <w:kinsoku/>
        <w:wordWrap/>
        <w:overflowPunct/>
        <w:topLinePunct w:val="0"/>
        <w:autoSpaceDE/>
        <w:autoSpaceDN/>
        <w:bidi w:val="0"/>
        <w:adjustRightInd/>
        <w:snapToGrid/>
        <w:spacing w:line="540" w:lineRule="exact"/>
        <w:textAlignment w:val="auto"/>
        <w:rPr>
          <w:rFonts w:ascii="仿宋_GB2312" w:eastAsia="仿宋_GB2312"/>
          <w:color w:val="auto"/>
          <w:sz w:val="32"/>
          <w:szCs w:val="32"/>
        </w:rPr>
      </w:pPr>
    </w:p>
    <w:p w14:paraId="7E90A0C7">
      <w:pPr>
        <w:keepNext w:val="0"/>
        <w:keepLines w:val="0"/>
        <w:pageBreakBefore w:val="0"/>
        <w:kinsoku/>
        <w:wordWrap/>
        <w:overflowPunct/>
        <w:topLinePunct w:val="0"/>
        <w:autoSpaceDE/>
        <w:autoSpaceDN/>
        <w:bidi w:val="0"/>
        <w:adjustRightInd/>
        <w:snapToGrid/>
        <w:spacing w:line="54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446B541E">
      <w:pPr>
        <w:keepNext w:val="0"/>
        <w:keepLines w:val="0"/>
        <w:pageBreakBefore w:val="0"/>
        <w:kinsoku/>
        <w:wordWrap/>
        <w:overflowPunct/>
        <w:topLinePunct w:val="0"/>
        <w:autoSpaceDE/>
        <w:autoSpaceDN/>
        <w:bidi w:val="0"/>
        <w:adjustRightInd/>
        <w:snapToGrid/>
        <w:spacing w:line="54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9</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17</w:t>
      </w:r>
      <w:r>
        <w:rPr>
          <w:rFonts w:hint="eastAsia" w:ascii="仿宋_GB2312" w:eastAsia="仿宋_GB2312"/>
          <w:color w:val="auto"/>
          <w:sz w:val="32"/>
          <w:szCs w:val="32"/>
        </w:rPr>
        <w:t>日</w:t>
      </w:r>
    </w:p>
    <w:p w14:paraId="4B5413A7">
      <w:pPr>
        <w:keepNext w:val="0"/>
        <w:keepLines w:val="0"/>
        <w:pageBreakBefore w:val="0"/>
        <w:kinsoku/>
        <w:wordWrap/>
        <w:overflowPunct/>
        <w:topLinePunct w:val="0"/>
        <w:autoSpaceDE/>
        <w:autoSpaceDN/>
        <w:bidi w:val="0"/>
        <w:adjustRightInd/>
        <w:snapToGrid/>
        <w:spacing w:line="540" w:lineRule="exact"/>
        <w:textAlignment w:val="auto"/>
        <w:rPr>
          <w:rFonts w:ascii="仿宋_GB2312" w:eastAsia="仿宋_GB2312"/>
          <w:color w:val="auto"/>
          <w:sz w:val="32"/>
          <w:szCs w:val="32"/>
        </w:rPr>
      </w:pPr>
    </w:p>
    <w:p w14:paraId="326EB5F5">
      <w:pPr>
        <w:keepNext w:val="0"/>
        <w:keepLines w:val="0"/>
        <w:pageBreakBefore w:val="0"/>
        <w:kinsoku/>
        <w:wordWrap/>
        <w:overflowPunct/>
        <w:topLinePunct w:val="0"/>
        <w:autoSpaceDE/>
        <w:autoSpaceDN/>
        <w:bidi w:val="0"/>
        <w:adjustRightInd/>
        <w:snapToGrid/>
        <w:spacing w:line="540" w:lineRule="exact"/>
        <w:textAlignment w:val="auto"/>
        <w:rPr>
          <w:rFonts w:ascii="仿宋_GB2312" w:eastAsia="仿宋_GB2312"/>
          <w:color w:val="auto"/>
          <w:sz w:val="32"/>
          <w:szCs w:val="32"/>
        </w:rPr>
      </w:pPr>
    </w:p>
    <w:p w14:paraId="2442895F">
      <w:pPr>
        <w:keepNext w:val="0"/>
        <w:keepLines w:val="0"/>
        <w:pageBreakBefore w:val="0"/>
        <w:kinsoku/>
        <w:wordWrap/>
        <w:overflowPunct/>
        <w:topLinePunct w:val="0"/>
        <w:autoSpaceDE/>
        <w:autoSpaceDN/>
        <w:bidi w:val="0"/>
        <w:adjustRightInd/>
        <w:snapToGrid/>
        <w:spacing w:line="540" w:lineRule="exact"/>
        <w:textAlignment w:val="auto"/>
        <w:rPr>
          <w:rFonts w:ascii="仿宋_GB2312" w:eastAsia="仿宋_GB2312"/>
          <w:color w:val="auto"/>
          <w:sz w:val="32"/>
          <w:szCs w:val="32"/>
        </w:rPr>
      </w:pPr>
    </w:p>
    <w:p w14:paraId="1E5FDFFA">
      <w:pPr>
        <w:keepNext w:val="0"/>
        <w:keepLines w:val="0"/>
        <w:pageBreakBefore w:val="0"/>
        <w:kinsoku/>
        <w:wordWrap/>
        <w:overflowPunct/>
        <w:topLinePunct w:val="0"/>
        <w:autoSpaceDE/>
        <w:autoSpaceDN/>
        <w:bidi w:val="0"/>
        <w:adjustRightInd/>
        <w:snapToGrid/>
        <w:spacing w:line="540" w:lineRule="exact"/>
        <w:textAlignment w:val="auto"/>
        <w:rPr>
          <w:rFonts w:ascii="仿宋_GB2312" w:eastAsia="仿宋_GB2312"/>
          <w:color w:val="auto"/>
          <w:sz w:val="32"/>
          <w:szCs w:val="32"/>
        </w:rPr>
      </w:pPr>
    </w:p>
    <w:p w14:paraId="0CCA8466">
      <w:pPr>
        <w:keepNext w:val="0"/>
        <w:keepLines w:val="0"/>
        <w:pageBreakBefore w:val="0"/>
        <w:kinsoku/>
        <w:wordWrap/>
        <w:overflowPunct/>
        <w:topLinePunct w:val="0"/>
        <w:autoSpaceDE/>
        <w:autoSpaceDN/>
        <w:bidi w:val="0"/>
        <w:adjustRightInd/>
        <w:snapToGrid/>
        <w:spacing w:line="54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wordWrap/>
        <w:overflowPunct/>
        <w:topLinePunct w:val="0"/>
        <w:autoSpaceDE/>
        <w:autoSpaceDN/>
        <w:bidi w:val="0"/>
        <w:adjustRightInd/>
        <w:snapToGrid/>
        <w:spacing w:line="540" w:lineRule="exact"/>
        <w:textAlignment w:val="auto"/>
        <w:rPr>
          <w:rFonts w:ascii="仿宋_GB2312" w:eastAsia="仿宋_GB2312"/>
          <w:color w:val="auto"/>
          <w:sz w:val="32"/>
          <w:szCs w:val="32"/>
        </w:rPr>
      </w:pPr>
    </w:p>
    <w:p w14:paraId="6452DAE3">
      <w:pPr>
        <w:keepNext w:val="0"/>
        <w:keepLines w:val="0"/>
        <w:pageBreakBefore w:val="0"/>
        <w:kinsoku/>
        <w:wordWrap/>
        <w:overflowPunct/>
        <w:topLinePunct w:val="0"/>
        <w:autoSpaceDE/>
        <w:autoSpaceDN/>
        <w:bidi w:val="0"/>
        <w:adjustRightInd/>
        <w:snapToGrid/>
        <w:spacing w:line="54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32"/>
          <w:szCs w:val="32"/>
          <w:lang w:val="en-US" w:eastAsia="zh-CN"/>
        </w:rPr>
        <w:t>二</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32"/>
          <w:szCs w:val="32"/>
          <w:lang w:val="en-US" w:eastAsia="zh-CN"/>
        </w:rPr>
        <w:t>五</w:t>
      </w:r>
      <w:r>
        <w:rPr>
          <w:rFonts w:hint="eastAsia" w:ascii="仿宋_GB2312" w:eastAsia="仿宋_GB2312"/>
          <w:color w:val="auto"/>
          <w:sz w:val="28"/>
          <w:szCs w:val="28"/>
        </w:rPr>
        <w:t>环保所，广州市番禺环境科学研究所有限公司。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27819AF"/>
    <w:rsid w:val="0316501C"/>
    <w:rsid w:val="035F3318"/>
    <w:rsid w:val="039E0DF7"/>
    <w:rsid w:val="04F0022B"/>
    <w:rsid w:val="05BF1B7D"/>
    <w:rsid w:val="068948CB"/>
    <w:rsid w:val="083C20B8"/>
    <w:rsid w:val="091574A4"/>
    <w:rsid w:val="0AB6351E"/>
    <w:rsid w:val="0AEE277F"/>
    <w:rsid w:val="0B1F3303"/>
    <w:rsid w:val="0C7516B2"/>
    <w:rsid w:val="0C807692"/>
    <w:rsid w:val="0DE36B99"/>
    <w:rsid w:val="0E0B63D0"/>
    <w:rsid w:val="0E3B3C64"/>
    <w:rsid w:val="0F0A6D3C"/>
    <w:rsid w:val="0F611949"/>
    <w:rsid w:val="0FD72C0C"/>
    <w:rsid w:val="103E38B5"/>
    <w:rsid w:val="10BF38FB"/>
    <w:rsid w:val="10E93D4E"/>
    <w:rsid w:val="11B62D57"/>
    <w:rsid w:val="124E6898"/>
    <w:rsid w:val="12737E91"/>
    <w:rsid w:val="12DA5DA1"/>
    <w:rsid w:val="12E3158A"/>
    <w:rsid w:val="12FB2185"/>
    <w:rsid w:val="1549557C"/>
    <w:rsid w:val="157D650A"/>
    <w:rsid w:val="15A25C0B"/>
    <w:rsid w:val="16A128C5"/>
    <w:rsid w:val="17B57649"/>
    <w:rsid w:val="184B5B81"/>
    <w:rsid w:val="19AF0CB4"/>
    <w:rsid w:val="19F023A6"/>
    <w:rsid w:val="1BC528C4"/>
    <w:rsid w:val="1C1945A6"/>
    <w:rsid w:val="1D4266B3"/>
    <w:rsid w:val="1E537B54"/>
    <w:rsid w:val="1F3F7351"/>
    <w:rsid w:val="1F4D7EC7"/>
    <w:rsid w:val="20CF4E76"/>
    <w:rsid w:val="21BD5166"/>
    <w:rsid w:val="221365B8"/>
    <w:rsid w:val="226A3577"/>
    <w:rsid w:val="22DA593E"/>
    <w:rsid w:val="23241352"/>
    <w:rsid w:val="246C2851"/>
    <w:rsid w:val="24E06F8D"/>
    <w:rsid w:val="2537321F"/>
    <w:rsid w:val="26850942"/>
    <w:rsid w:val="26B164C1"/>
    <w:rsid w:val="27987506"/>
    <w:rsid w:val="288E5F3F"/>
    <w:rsid w:val="28AE5DA0"/>
    <w:rsid w:val="2A175959"/>
    <w:rsid w:val="2B5E1165"/>
    <w:rsid w:val="2B6910C5"/>
    <w:rsid w:val="2D4B705C"/>
    <w:rsid w:val="2D6A3A3F"/>
    <w:rsid w:val="2DCC08AF"/>
    <w:rsid w:val="2DFD4901"/>
    <w:rsid w:val="2E182F2D"/>
    <w:rsid w:val="2E9B7C83"/>
    <w:rsid w:val="2ECA65D4"/>
    <w:rsid w:val="2EE338FA"/>
    <w:rsid w:val="30357A24"/>
    <w:rsid w:val="307C5365"/>
    <w:rsid w:val="30A22B85"/>
    <w:rsid w:val="34034262"/>
    <w:rsid w:val="34A100EE"/>
    <w:rsid w:val="35D37D9D"/>
    <w:rsid w:val="36C83AF0"/>
    <w:rsid w:val="36DC47B5"/>
    <w:rsid w:val="37977641"/>
    <w:rsid w:val="385C6105"/>
    <w:rsid w:val="38EB77CC"/>
    <w:rsid w:val="3A1D0EF5"/>
    <w:rsid w:val="3AA44A54"/>
    <w:rsid w:val="3AE822E0"/>
    <w:rsid w:val="3B617677"/>
    <w:rsid w:val="3B8678B6"/>
    <w:rsid w:val="3B9C3FD8"/>
    <w:rsid w:val="3C8B0C00"/>
    <w:rsid w:val="3CC73AC6"/>
    <w:rsid w:val="3CC7607D"/>
    <w:rsid w:val="3CCA53AD"/>
    <w:rsid w:val="3CF81873"/>
    <w:rsid w:val="3D1E66D3"/>
    <w:rsid w:val="3DF84757"/>
    <w:rsid w:val="3DFC60C1"/>
    <w:rsid w:val="3EEA5570"/>
    <w:rsid w:val="3F2D1CB6"/>
    <w:rsid w:val="3FD1113F"/>
    <w:rsid w:val="41171C7F"/>
    <w:rsid w:val="418E5F9D"/>
    <w:rsid w:val="42BF1B92"/>
    <w:rsid w:val="4371664D"/>
    <w:rsid w:val="43D755DA"/>
    <w:rsid w:val="43F25407"/>
    <w:rsid w:val="440875AB"/>
    <w:rsid w:val="450F1F75"/>
    <w:rsid w:val="453C3F01"/>
    <w:rsid w:val="45520847"/>
    <w:rsid w:val="45E73322"/>
    <w:rsid w:val="46015F96"/>
    <w:rsid w:val="49383A30"/>
    <w:rsid w:val="494A394A"/>
    <w:rsid w:val="4AE22D88"/>
    <w:rsid w:val="4B5F0E37"/>
    <w:rsid w:val="4B621286"/>
    <w:rsid w:val="4CDB6B18"/>
    <w:rsid w:val="4D1D2609"/>
    <w:rsid w:val="4D8971C2"/>
    <w:rsid w:val="4E305A20"/>
    <w:rsid w:val="4EB11A7C"/>
    <w:rsid w:val="4EE6167D"/>
    <w:rsid w:val="4F136CC9"/>
    <w:rsid w:val="4F586ABA"/>
    <w:rsid w:val="4F9C166D"/>
    <w:rsid w:val="530C784E"/>
    <w:rsid w:val="53406164"/>
    <w:rsid w:val="53774CFF"/>
    <w:rsid w:val="53B170EB"/>
    <w:rsid w:val="53DE59A8"/>
    <w:rsid w:val="553B58E4"/>
    <w:rsid w:val="55AA541C"/>
    <w:rsid w:val="567E16A6"/>
    <w:rsid w:val="5728768E"/>
    <w:rsid w:val="57E809C6"/>
    <w:rsid w:val="58272CFA"/>
    <w:rsid w:val="58A00174"/>
    <w:rsid w:val="5906339C"/>
    <w:rsid w:val="596879A6"/>
    <w:rsid w:val="59F57B8E"/>
    <w:rsid w:val="5ADA0B1D"/>
    <w:rsid w:val="5B7E4A72"/>
    <w:rsid w:val="5D6C6AD3"/>
    <w:rsid w:val="5E811B87"/>
    <w:rsid w:val="5EB016E9"/>
    <w:rsid w:val="5FF25578"/>
    <w:rsid w:val="609E0F14"/>
    <w:rsid w:val="614E41B0"/>
    <w:rsid w:val="62973EAF"/>
    <w:rsid w:val="62BE08BB"/>
    <w:rsid w:val="631E222D"/>
    <w:rsid w:val="63890CAA"/>
    <w:rsid w:val="64A70A2F"/>
    <w:rsid w:val="654F3592"/>
    <w:rsid w:val="658835A0"/>
    <w:rsid w:val="65D2271B"/>
    <w:rsid w:val="66D37837"/>
    <w:rsid w:val="670A7A3E"/>
    <w:rsid w:val="679E2C8B"/>
    <w:rsid w:val="69EF3DF1"/>
    <w:rsid w:val="6B2F71CC"/>
    <w:rsid w:val="6C111CD2"/>
    <w:rsid w:val="6CF83D02"/>
    <w:rsid w:val="6D627F3E"/>
    <w:rsid w:val="6D7C272C"/>
    <w:rsid w:val="6D8B22BF"/>
    <w:rsid w:val="6EF51F98"/>
    <w:rsid w:val="6F034B31"/>
    <w:rsid w:val="6F6C545A"/>
    <w:rsid w:val="6F766087"/>
    <w:rsid w:val="70340726"/>
    <w:rsid w:val="716A2D22"/>
    <w:rsid w:val="73006EB1"/>
    <w:rsid w:val="73417714"/>
    <w:rsid w:val="7431442E"/>
    <w:rsid w:val="747D1147"/>
    <w:rsid w:val="75DD1EEC"/>
    <w:rsid w:val="762C5749"/>
    <w:rsid w:val="765C5FCF"/>
    <w:rsid w:val="7787407A"/>
    <w:rsid w:val="77A5337F"/>
    <w:rsid w:val="77D05B9F"/>
    <w:rsid w:val="780A11FC"/>
    <w:rsid w:val="781B07A0"/>
    <w:rsid w:val="78824C27"/>
    <w:rsid w:val="79442D41"/>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1935</Words>
  <Characters>2156</Characters>
  <Lines>19</Lines>
  <Paragraphs>5</Paragraphs>
  <TotalTime>9</TotalTime>
  <ScaleCrop>false</ScaleCrop>
  <LinksUpToDate>false</LinksUpToDate>
  <CharactersWithSpaces>2219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dolyzzzz</cp:lastModifiedBy>
  <cp:lastPrinted>2012-12-06T03:13:00Z</cp:lastPrinted>
  <dcterms:modified xsi:type="dcterms:W3CDTF">2025-09-17T02:29:38Z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2052-12.1.0.22529</vt:lpwstr>
  </property>
  <property fmtid="{D5CDD505-2E9C-101B-9397-08002B2CF9AE}" pid="4" name="ICV">
    <vt:lpwstr>F1EF52A147094C279C07CBB4EC01F4D2_13</vt:lpwstr>
  </property>
  <property fmtid="{D5CDD505-2E9C-101B-9397-08002B2CF9AE}" pid="5" name="KSOTemplateDocerSaveRecord">
    <vt:lpwstr>eyJoZGlkIjoiZTk3OTI2Y2Y4NTVhMDE4ZDI0NmQ3YmQxYzcwODhjOTYiLCJ1c2VySWQiOiIxMjEwNzk5MTAifQ==</vt:lpwstr>
  </property>
</Properties>
</file>