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8A5A4">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0AA29877">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128</w:t>
      </w:r>
      <w:r>
        <w:rPr>
          <w:rFonts w:hint="eastAsia" w:ascii="仿宋_GB2312" w:eastAsia="仿宋_GB2312"/>
          <w:color w:val="auto"/>
          <w:sz w:val="32"/>
          <w:szCs w:val="32"/>
        </w:rPr>
        <w:t>号</w:t>
      </w:r>
    </w:p>
    <w:p w14:paraId="1978C5C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766D922C">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2F19F064">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广州市生态环境局关于广州市威利豪医疗器械有限公司迁改项目</w:t>
      </w:r>
      <w:r>
        <w:rPr>
          <w:rFonts w:hint="eastAsia" w:ascii="Times New Roman" w:hAnsi="Times New Roman" w:eastAsia="方正小标宋简体" w:cs="Times New Roman"/>
          <w:color w:val="auto"/>
          <w:spacing w:val="0"/>
          <w:sz w:val="44"/>
          <w:szCs w:val="44"/>
          <w:highlight w:val="none"/>
          <w:lang w:val="en-US" w:eastAsia="zh-CN"/>
        </w:rPr>
        <w:t>环境影响报告表</w:t>
      </w:r>
      <w:r>
        <w:rPr>
          <w:rFonts w:hint="eastAsia" w:ascii="方正小标宋简体" w:eastAsia="方正小标宋简体"/>
          <w:color w:val="auto"/>
          <w:sz w:val="44"/>
          <w:szCs w:val="44"/>
        </w:rPr>
        <w:t>的批复</w:t>
      </w:r>
    </w:p>
    <w:p w14:paraId="522FEEA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62FC83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广州市威利豪医疗器械有限公司（914401137577783598）：</w:t>
      </w:r>
    </w:p>
    <w:p w14:paraId="25E07FA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你单位报送的《广州市威利豪医疗器械有限公司迁改项目</w:t>
      </w:r>
      <w:r>
        <w:rPr>
          <w:rFonts w:hint="eastAsia" w:ascii="仿宋_GB2312" w:eastAsia="仿宋_GB2312"/>
          <w:color w:val="auto"/>
          <w:sz w:val="32"/>
          <w:szCs w:val="32"/>
          <w:lang w:eastAsia="zh-CN"/>
        </w:rPr>
        <w:t>环境影响报告表</w:t>
      </w:r>
      <w:r>
        <w:rPr>
          <w:rFonts w:hint="eastAsia" w:ascii="仿宋_GB2312" w:eastAsia="仿宋_GB2312"/>
          <w:color w:val="auto"/>
          <w:sz w:val="32"/>
          <w:szCs w:val="32"/>
        </w:rPr>
        <w:t>》（以下简称《报告表》）及附送资料收悉。经研究，现批复如下：</w:t>
      </w:r>
    </w:p>
    <w:p w14:paraId="494928E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一、广州市威利豪医疗器械有限公司迁改项目（以下简称“该项目”）</w:t>
      </w:r>
      <w:r>
        <w:rPr>
          <w:rFonts w:hint="eastAsia" w:ascii="仿宋_GB2312" w:eastAsia="仿宋_GB2312"/>
          <w:color w:val="auto"/>
          <w:sz w:val="32"/>
          <w:szCs w:val="32"/>
          <w:lang w:val="en-US" w:eastAsia="zh-CN"/>
        </w:rPr>
        <w:t>位于广州市番禺区钟村街市广路钟二路段45号2栋309房</w:t>
      </w:r>
      <w:r>
        <w:rPr>
          <w:rFonts w:hint="eastAsia" w:ascii="仿宋_GB2312" w:eastAsia="仿宋_GB2312"/>
          <w:color w:val="auto"/>
          <w:sz w:val="32"/>
          <w:szCs w:val="32"/>
        </w:rPr>
        <w:t>，申报内容为</w:t>
      </w:r>
      <w:r>
        <w:rPr>
          <w:rFonts w:hint="eastAsia" w:ascii="仿宋_GB2312" w:eastAsia="仿宋_GB2312"/>
          <w:color w:val="auto"/>
          <w:sz w:val="32"/>
          <w:szCs w:val="32"/>
          <w:lang w:val="en-US" w:eastAsia="zh-CN"/>
        </w:rPr>
        <w:t>从事义齿和矫治器的生产</w:t>
      </w:r>
      <w:r>
        <w:rPr>
          <w:rFonts w:hint="eastAsia" w:ascii="仿宋_GB2312" w:eastAsia="仿宋_GB2312"/>
          <w:color w:val="auto"/>
          <w:sz w:val="32"/>
          <w:szCs w:val="32"/>
          <w:lang w:eastAsia="zh-CN"/>
        </w:rPr>
        <w:t>，年产定制式固定义齿20000个、定制式活动义齿2700付、定制矫治器100付</w:t>
      </w:r>
      <w:r>
        <w:rPr>
          <w:rFonts w:hint="eastAsia" w:ascii="仿宋_GB2312" w:eastAsia="仿宋_GB2312"/>
          <w:color w:val="auto"/>
          <w:sz w:val="32"/>
          <w:szCs w:val="32"/>
        </w:rPr>
        <w:t>。该项目</w:t>
      </w:r>
      <w:r>
        <w:rPr>
          <w:rFonts w:hint="eastAsia" w:ascii="仿宋_GB2312" w:eastAsia="仿宋_GB2312"/>
          <w:color w:val="auto"/>
          <w:sz w:val="32"/>
          <w:szCs w:val="32"/>
          <w:lang w:val="en-US" w:eastAsia="zh-CN"/>
        </w:rPr>
        <w:t>租用1栋3层建筑的第3层部分区域，</w:t>
      </w:r>
      <w:r>
        <w:rPr>
          <w:rFonts w:hint="eastAsia" w:ascii="仿宋_GB2312" w:eastAsia="仿宋_GB2312"/>
          <w:color w:val="auto"/>
          <w:sz w:val="32"/>
          <w:szCs w:val="32"/>
        </w:rPr>
        <w:t>占地面积</w:t>
      </w:r>
      <w:r>
        <w:rPr>
          <w:rFonts w:hint="eastAsia" w:ascii="仿宋_GB2312" w:eastAsia="仿宋_GB2312"/>
          <w:color w:val="auto"/>
          <w:sz w:val="32"/>
          <w:szCs w:val="32"/>
          <w:lang w:val="en-US" w:eastAsia="zh-CN"/>
        </w:rPr>
        <w:t>630</w:t>
      </w:r>
      <w:r>
        <w:rPr>
          <w:rFonts w:hint="eastAsia" w:ascii="仿宋_GB2312" w:eastAsia="仿宋_GB2312"/>
          <w:color w:val="auto"/>
          <w:sz w:val="32"/>
          <w:szCs w:val="32"/>
        </w:rPr>
        <w:t>平方米，总建筑面积</w:t>
      </w:r>
      <w:r>
        <w:rPr>
          <w:rFonts w:hint="eastAsia" w:ascii="仿宋_GB2312" w:eastAsia="仿宋_GB2312"/>
          <w:color w:val="auto"/>
          <w:sz w:val="32"/>
          <w:szCs w:val="32"/>
          <w:lang w:val="en-US" w:eastAsia="zh-CN"/>
        </w:rPr>
        <w:t>630</w:t>
      </w:r>
      <w:r>
        <w:rPr>
          <w:rFonts w:hint="eastAsia" w:ascii="仿宋_GB2312" w:eastAsia="仿宋_GB2312"/>
          <w:color w:val="auto"/>
          <w:sz w:val="32"/>
          <w:szCs w:val="32"/>
        </w:rPr>
        <w:t>平方米；</w:t>
      </w:r>
      <w:r>
        <w:rPr>
          <w:rFonts w:hint="eastAsia" w:ascii="仿宋_GB2312" w:eastAsia="仿宋_GB2312"/>
          <w:color w:val="auto"/>
          <w:sz w:val="32"/>
          <w:szCs w:val="32"/>
          <w:lang w:val="en-US" w:eastAsia="zh-CN"/>
        </w:rPr>
        <w:t>新增</w:t>
      </w:r>
      <w:r>
        <w:rPr>
          <w:rFonts w:hint="eastAsia" w:ascii="仿宋_GB2312" w:eastAsia="仿宋_GB2312"/>
          <w:color w:val="auto"/>
          <w:sz w:val="32"/>
          <w:szCs w:val="32"/>
        </w:rPr>
        <w:t>主要设备有纯钛铸造机</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台</w:t>
      </w:r>
      <w:r>
        <w:rPr>
          <w:rFonts w:hint="eastAsia" w:ascii="仿宋_GB2312" w:eastAsia="仿宋_GB2312"/>
          <w:color w:val="auto"/>
          <w:sz w:val="32"/>
          <w:szCs w:val="32"/>
          <w:lang w:eastAsia="zh-CN"/>
        </w:rPr>
        <w:t>、口腔数字印模仪</w:t>
      </w:r>
      <w:r>
        <w:rPr>
          <w:rFonts w:hint="eastAsia" w:ascii="仿宋_GB2312" w:eastAsia="仿宋_GB2312"/>
          <w:color w:val="auto"/>
          <w:sz w:val="32"/>
          <w:szCs w:val="32"/>
          <w:lang w:val="en-US" w:eastAsia="zh-CN"/>
        </w:rPr>
        <w:t>2台、3D打印机2台、切削机2台、氧化锆烧结炉2台、聚合器2台、成型机1台、蒸汽煮牙机1台等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34</w:t>
      </w:r>
      <w:r>
        <w:rPr>
          <w:rFonts w:hint="eastAsia" w:ascii="仿宋_GB2312" w:eastAsia="仿宋_GB2312"/>
          <w:color w:val="auto"/>
          <w:sz w:val="32"/>
          <w:szCs w:val="32"/>
        </w:rPr>
        <w:t>名，内部不安排食宿</w:t>
      </w:r>
      <w:r>
        <w:rPr>
          <w:rFonts w:hint="eastAsia" w:ascii="仿宋_GB2312" w:eastAsia="仿宋_GB2312"/>
          <w:color w:val="auto"/>
          <w:sz w:val="32"/>
          <w:szCs w:val="32"/>
          <w:lang w:eastAsia="zh-CN"/>
        </w:rPr>
        <w:t>。</w:t>
      </w:r>
    </w:p>
    <w:p w14:paraId="3781EE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w:t>
      </w:r>
      <w:r>
        <w:rPr>
          <w:rFonts w:hint="eastAsia" w:ascii="仿宋_GB2312" w:eastAsia="仿宋_GB2312"/>
          <w:color w:val="auto"/>
          <w:sz w:val="32"/>
          <w:szCs w:val="32"/>
          <w:lang w:eastAsia="zh-CN"/>
        </w:rPr>
        <w:t>拟</w:t>
      </w:r>
      <w:r>
        <w:rPr>
          <w:rFonts w:hint="eastAsia" w:ascii="仿宋_GB2312" w:eastAsia="仿宋_GB2312"/>
          <w:color w:val="auto"/>
          <w:sz w:val="32"/>
          <w:szCs w:val="32"/>
        </w:rPr>
        <w:t>选址处建设可行。经审查，我局原则同意《报告表》评价结论。该项目应当按照《报告表》所述性质、规模、地点、生产工艺和环境保护措施进行建设。</w:t>
      </w:r>
    </w:p>
    <w:p w14:paraId="30FFD88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72CAAD5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306</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;生产废水排放量不超过</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540</w:t>
      </w:r>
      <w:r>
        <w:rPr>
          <w:rFonts w:hint="eastAsia" w:ascii="仿宋_GB2312" w:eastAsia="仿宋_GB2312"/>
          <w:color w:val="auto"/>
          <w:sz w:val="32"/>
          <w:szCs w:val="32"/>
        </w:rPr>
        <w:t>吨/年。</w:t>
      </w:r>
    </w:p>
    <w:p w14:paraId="162B227D">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highlight w:val="none"/>
          <w:lang w:val="en-US" w:eastAsia="zh-CN"/>
        </w:rPr>
        <w:t>粉尘废气中的颗粒物排放执行《铸造工业大气污染物排放标准》（GB39726-2020）表1中其他生产工序或设备、设施的颗粒物排放限值，镍及其化合物排放执行广东省《大气污染物排放限值》（DB44/27-2001）第二时段二级标准的要求；颗粒物、镍及其化合物厂界无组织排放执行广东省《大气污染物排放限值》（DB44/27-2001）第二时段无组织排放监控浓度限值的要求</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非甲烷总烃排放执行</w:t>
      </w:r>
      <w:r>
        <w:rPr>
          <w:rFonts w:hint="eastAsia" w:ascii="仿宋_GB2312" w:eastAsia="仿宋_GB2312"/>
          <w:color w:val="auto"/>
          <w:sz w:val="32"/>
          <w:szCs w:val="32"/>
          <w:lang w:eastAsia="zh-CN"/>
        </w:rPr>
        <w:t>广东省《固定污染源挥发性有机物综合排放标准》（DB 44/2367-2022）表1挥发性有机物排放限值</w:t>
      </w:r>
      <w:r>
        <w:rPr>
          <w:rFonts w:hint="eastAsia" w:ascii="仿宋_GB2312" w:eastAsia="仿宋_GB2312"/>
          <w:color w:val="auto"/>
          <w:sz w:val="32"/>
          <w:szCs w:val="32"/>
          <w:lang w:val="en-US" w:eastAsia="zh-CN"/>
        </w:rPr>
        <w:t>及</w:t>
      </w:r>
      <w:r>
        <w:rPr>
          <w:rFonts w:hint="eastAsia" w:ascii="仿宋_GB2312" w:eastAsia="仿宋_GB2312"/>
          <w:color w:val="auto"/>
          <w:sz w:val="32"/>
          <w:szCs w:val="32"/>
          <w:lang w:eastAsia="zh-CN"/>
        </w:rPr>
        <w:t>表3厂区内VOCs无组织排放限值要求</w:t>
      </w:r>
      <w:r>
        <w:rPr>
          <w:rFonts w:hint="eastAsia" w:ascii="仿宋_GB2312" w:eastAsia="仿宋_GB2312"/>
          <w:color w:val="auto"/>
          <w:sz w:val="32"/>
          <w:szCs w:val="32"/>
          <w:lang w:val="en-US" w:eastAsia="zh-CN"/>
        </w:rPr>
        <w:t>。</w:t>
      </w:r>
    </w:p>
    <w:p w14:paraId="240DFF2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类区限值，即：昼间≤6</w:t>
      </w:r>
      <w:r>
        <w:rPr>
          <w:rFonts w:hint="eastAsia" w:ascii="仿宋_GB2312" w:eastAsia="仿宋_GB2312"/>
          <w:color w:val="auto"/>
          <w:sz w:val="32"/>
          <w:szCs w:val="32"/>
          <w:lang w:val="en-US" w:eastAsia="zh-CN"/>
        </w:rPr>
        <w:t>5dB（A）</w:t>
      </w:r>
      <w:r>
        <w:rPr>
          <w:rFonts w:hint="eastAsia" w:ascii="仿宋_GB2312" w:eastAsia="仿宋_GB2312"/>
          <w:color w:val="auto"/>
          <w:sz w:val="32"/>
          <w:szCs w:val="32"/>
        </w:rPr>
        <w:t>，夜间≤5</w:t>
      </w:r>
      <w:r>
        <w:rPr>
          <w:rFonts w:hint="eastAsia" w:ascii="仿宋_GB2312" w:eastAsia="仿宋_GB2312"/>
          <w:color w:val="auto"/>
          <w:sz w:val="32"/>
          <w:szCs w:val="32"/>
          <w:lang w:val="en-US" w:eastAsia="zh-CN"/>
        </w:rPr>
        <w:t>5dB（A）</w:t>
      </w:r>
      <w:r>
        <w:rPr>
          <w:rFonts w:hint="eastAsia" w:ascii="仿宋_GB2312" w:eastAsia="仿宋_GB2312"/>
          <w:color w:val="auto"/>
          <w:sz w:val="32"/>
          <w:szCs w:val="32"/>
        </w:rPr>
        <w:t>。</w:t>
      </w:r>
    </w:p>
    <w:p w14:paraId="05407098">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4210F9E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w:t>
      </w:r>
      <w:r>
        <w:rPr>
          <w:rFonts w:hint="eastAsia" w:ascii="仿宋_GB2312" w:eastAsia="仿宋_GB2312"/>
          <w:color w:val="auto"/>
          <w:sz w:val="32"/>
          <w:szCs w:val="32"/>
          <w:lang w:val="en-US" w:eastAsia="zh-CN"/>
        </w:rPr>
        <w:t>。粉尘废气水喷淋塔用水循环使用不外排。</w:t>
      </w:r>
      <w:r>
        <w:rPr>
          <w:rFonts w:hint="eastAsia" w:ascii="仿宋_GB2312" w:eastAsia="仿宋_GB2312"/>
          <w:color w:val="auto"/>
          <w:sz w:val="32"/>
          <w:szCs w:val="32"/>
        </w:rPr>
        <w:t>生活污水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lang w:val="en-US" w:eastAsia="zh-CN"/>
        </w:rPr>
        <w:t>石膏模型打磨产生的</w:t>
      </w:r>
      <w:r>
        <w:rPr>
          <w:rFonts w:hint="eastAsia" w:ascii="仿宋_GB2312" w:eastAsia="仿宋_GB2312"/>
          <w:color w:val="auto"/>
          <w:sz w:val="32"/>
          <w:szCs w:val="32"/>
          <w:lang w:eastAsia="zh-CN"/>
        </w:rPr>
        <w:t>生产废水</w:t>
      </w:r>
      <w:r>
        <w:rPr>
          <w:rFonts w:hint="eastAsia" w:ascii="仿宋_GB2312" w:eastAsia="仿宋_GB2312"/>
          <w:color w:val="auto"/>
          <w:sz w:val="32"/>
          <w:szCs w:val="32"/>
          <w:lang w:val="en-US" w:eastAsia="zh-CN"/>
        </w:rPr>
        <w:t>经</w:t>
      </w:r>
      <w:r>
        <w:rPr>
          <w:rFonts w:hint="eastAsia" w:ascii="仿宋_GB2312" w:eastAsia="仿宋_GB2312"/>
          <w:color w:val="auto"/>
          <w:sz w:val="32"/>
          <w:szCs w:val="32"/>
          <w:lang w:eastAsia="zh-CN"/>
        </w:rPr>
        <w:t>三级沉淀箱预处理</w:t>
      </w:r>
      <w:r>
        <w:rPr>
          <w:rFonts w:hint="eastAsia" w:ascii="仿宋_GB2312" w:eastAsia="仿宋_GB2312"/>
          <w:color w:val="auto"/>
          <w:sz w:val="32"/>
          <w:szCs w:val="32"/>
          <w:lang w:val="en-US" w:eastAsia="zh-CN"/>
        </w:rPr>
        <w:t>后</w:t>
      </w:r>
      <w:r>
        <w:rPr>
          <w:rFonts w:hint="eastAsia" w:ascii="仿宋_GB2312" w:eastAsia="仿宋_GB2312"/>
          <w:color w:val="auto"/>
          <w:sz w:val="32"/>
          <w:szCs w:val="32"/>
        </w:rPr>
        <w:t>排入市政集污管网，送</w:t>
      </w:r>
      <w:r>
        <w:rPr>
          <w:rFonts w:hint="eastAsia" w:ascii="仿宋_GB2312" w:eastAsia="仿宋_GB2312"/>
          <w:color w:val="auto"/>
          <w:sz w:val="32"/>
          <w:szCs w:val="32"/>
          <w:lang w:eastAsia="zh-CN"/>
        </w:rPr>
        <w:t>钟村</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处理。项目设置</w:t>
      </w:r>
      <w:r>
        <w:rPr>
          <w:rFonts w:hint="eastAsia" w:ascii="仿宋_GB2312" w:eastAsia="仿宋_GB2312"/>
          <w:color w:val="auto"/>
          <w:sz w:val="32"/>
          <w:szCs w:val="32"/>
          <w:lang w:val="en-US" w:eastAsia="zh-CN"/>
        </w:rPr>
        <w:t>废</w:t>
      </w:r>
      <w:r>
        <w:rPr>
          <w:rFonts w:hint="eastAsia" w:ascii="仿宋_GB2312" w:eastAsia="仿宋_GB2312"/>
          <w:color w:val="auto"/>
          <w:sz w:val="32"/>
          <w:szCs w:val="32"/>
        </w:rPr>
        <w:t>水排</w:t>
      </w:r>
      <w:r>
        <w:rPr>
          <w:rFonts w:hint="eastAsia" w:ascii="仿宋_GB2312" w:eastAsia="仿宋_GB2312"/>
          <w:color w:val="auto"/>
          <w:sz w:val="32"/>
          <w:szCs w:val="32"/>
          <w:lang w:eastAsia="zh-CN"/>
        </w:rPr>
        <w:t>放</w:t>
      </w:r>
      <w:r>
        <w:rPr>
          <w:rFonts w:hint="eastAsia" w:ascii="仿宋_GB2312" w:eastAsia="仿宋_GB2312"/>
          <w:color w:val="auto"/>
          <w:sz w:val="32"/>
          <w:szCs w:val="32"/>
        </w:rPr>
        <w:t>口</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个。</w:t>
      </w:r>
    </w:p>
    <w:p w14:paraId="3F33BB36">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（二）按照</w:t>
      </w:r>
      <w:r>
        <w:rPr>
          <w:rFonts w:hint="eastAsia" w:ascii="仿宋_GB2312" w:eastAsia="仿宋_GB2312"/>
          <w:color w:val="auto"/>
          <w:sz w:val="32"/>
          <w:szCs w:val="32"/>
          <w:lang w:eastAsia="zh-CN"/>
        </w:rPr>
        <w:t>《铸造工业大气污染物排放标准</w:t>
      </w:r>
      <w:r>
        <w:rPr>
          <w:rFonts w:hint="eastAsia" w:ascii="仿宋_GB2312" w:eastAsia="仿宋_GB2312"/>
          <w:color w:val="auto"/>
          <w:sz w:val="32"/>
          <w:szCs w:val="32"/>
          <w:highlight w:val="none"/>
          <w:lang w:val="en-US" w:eastAsia="zh-CN"/>
        </w:rPr>
        <w:t>》（GB39726-2020）</w:t>
      </w:r>
      <w:r>
        <w:rPr>
          <w:rFonts w:hint="eastAsia" w:ascii="仿宋_GB2312" w:eastAsia="仿宋_GB2312"/>
          <w:color w:val="auto"/>
          <w:sz w:val="32"/>
          <w:szCs w:val="32"/>
          <w:lang w:eastAsia="zh-CN"/>
        </w:rPr>
        <w:t>、</w:t>
      </w:r>
      <w:r>
        <w:rPr>
          <w:rFonts w:hint="eastAsia" w:ascii="仿宋_GB2312" w:eastAsia="仿宋_GB2312"/>
          <w:color w:val="auto"/>
          <w:sz w:val="32"/>
          <w:szCs w:val="32"/>
        </w:rPr>
        <w:t>《固定污染源挥发性有机物综合排放标准》（DB44/2367-2022）</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铸造、打印树脂模型</w:t>
      </w:r>
      <w:r>
        <w:rPr>
          <w:rFonts w:hint="eastAsia" w:ascii="仿宋_GB2312" w:eastAsia="仿宋_GB2312"/>
          <w:color w:val="auto"/>
          <w:sz w:val="32"/>
          <w:szCs w:val="32"/>
          <w:lang w:eastAsia="zh-CN"/>
        </w:rPr>
        <w:t>工序产生的废气收集至楼顶经二级活性炭吸附装置</w:t>
      </w:r>
      <w:r>
        <w:rPr>
          <w:rFonts w:hint="eastAsia" w:ascii="仿宋_GB2312" w:eastAsia="仿宋_GB2312"/>
          <w:color w:val="auto"/>
          <w:sz w:val="32"/>
          <w:szCs w:val="32"/>
          <w:lang w:val="en-US" w:eastAsia="zh-CN"/>
        </w:rPr>
        <w:t>处理后高空排放</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排放口高度不低于15米</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修正模型、喷砂、数控切割、车金、车瓷和打磨抛光工艺产生的粉尘废气，经“旋风集尘器+水喷淋塔”处理后引至厂房天面高空排放，排放口高度不低于15米。项目设置废气排放口2个</w:t>
      </w:r>
      <w:r>
        <w:rPr>
          <w:rFonts w:hint="eastAsia" w:ascii="仿宋_GB2312" w:eastAsia="仿宋_GB2312"/>
          <w:color w:val="auto"/>
          <w:sz w:val="32"/>
          <w:szCs w:val="32"/>
        </w:rPr>
        <w:t>。</w:t>
      </w:r>
    </w:p>
    <w:p w14:paraId="29D80F9E">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3B270B6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D3E0E5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（四）废活性炭等</w:t>
      </w:r>
      <w:r>
        <w:rPr>
          <w:rFonts w:hint="eastAsia" w:ascii="仿宋_GB2312" w:eastAsia="仿宋_GB2312"/>
          <w:color w:val="auto"/>
          <w:sz w:val="32"/>
          <w:szCs w:val="32"/>
          <w:lang w:val="en-US" w:eastAsia="zh-CN"/>
        </w:rPr>
        <w:t>属于</w:t>
      </w:r>
      <w:r>
        <w:rPr>
          <w:rFonts w:hint="eastAsia" w:ascii="仿宋_GB2312" w:eastAsia="仿宋_GB2312"/>
          <w:color w:val="auto"/>
          <w:sz w:val="32"/>
          <w:szCs w:val="32"/>
        </w:rPr>
        <w:t>危险废物</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26409185">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4E371D08">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sz w:val="32"/>
          <w:szCs w:val="32"/>
        </w:rPr>
        <w:t>五、自《报告表》批准之日起超过五年，方决定该项目开工建设的，《报告表》应当在开工建设前报我局重新审核。未经我局重新审核同意的，不得擅自开工建设。</w:t>
      </w:r>
    </w:p>
    <w:p w14:paraId="7DD2AC5B">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24FC4721">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623B2E59">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4535B857">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359B9971">
      <w:pPr>
        <w:pStyle w:val="8"/>
        <w:keepNext w:val="0"/>
        <w:keepLines w:val="0"/>
        <w:pageBreakBefore w:val="0"/>
        <w:kinsoku/>
        <w:overflowPunct/>
        <w:topLinePunct w:val="0"/>
        <w:autoSpaceDE/>
        <w:autoSpaceDN/>
        <w:bidi w:val="0"/>
        <w:spacing w:line="240" w:lineRule="auto"/>
        <w:ind w:firstLine="636"/>
        <w:textAlignment w:val="auto"/>
        <w:rPr>
          <w:rFonts w:hint="eastAsia" w:ascii="仿宋_GB2312" w:hAnsi="仿宋" w:eastAsia="仿宋_GB2312"/>
          <w:color w:val="auto"/>
          <w:sz w:val="32"/>
        </w:rPr>
      </w:pPr>
      <w:r>
        <w:rPr>
          <w:rFonts w:hint="eastAsia" w:ascii="仿宋_GB2312" w:eastAsia="仿宋_GB2312"/>
          <w:color w:val="auto"/>
          <w:sz w:val="32"/>
          <w:szCs w:val="32"/>
          <w:lang w:val="en-US" w:eastAsia="zh-CN"/>
        </w:rPr>
        <w:t>八</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7D2BADD5">
      <w:pPr>
        <w:pStyle w:val="8"/>
        <w:keepNext w:val="0"/>
        <w:keepLines w:val="0"/>
        <w:pageBreakBefore w:val="0"/>
        <w:kinsoku/>
        <w:overflowPunct/>
        <w:topLinePunct w:val="0"/>
        <w:autoSpaceDE/>
        <w:autoSpaceDN/>
        <w:bidi w:val="0"/>
        <w:spacing w:line="240" w:lineRule="auto"/>
        <w:ind w:firstLine="636"/>
        <w:textAlignment w:val="auto"/>
        <w:rPr>
          <w:rFonts w:hint="eastAsia" w:ascii="仿宋_GB2312" w:hAnsi="仿宋" w:eastAsia="仿宋_GB2312"/>
          <w:color w:val="auto"/>
          <w:sz w:val="32"/>
        </w:rPr>
      </w:pPr>
      <w:r>
        <w:rPr>
          <w:rFonts w:hint="eastAsia" w:ascii="仿宋_GB2312" w:eastAsia="仿宋_GB2312"/>
          <w:color w:val="auto"/>
          <w:sz w:val="32"/>
          <w:szCs w:val="32"/>
          <w:lang w:val="en-US" w:eastAsia="zh-CN"/>
        </w:rPr>
        <w:t>九</w:t>
      </w:r>
      <w:r>
        <w:rPr>
          <w:rFonts w:hint="eastAsia" w:ascii="仿宋_GB2312" w:eastAsia="仿宋_GB2312"/>
          <w:color w:val="auto"/>
          <w:sz w:val="32"/>
          <w:szCs w:val="32"/>
        </w:rPr>
        <w:t>、</w:t>
      </w:r>
      <w:r>
        <w:rPr>
          <w:rFonts w:hint="eastAsia" w:ascii="仿宋_GB2312" w:hAnsi="仿宋" w:eastAsia="仿宋_GB2312"/>
          <w:color w:val="auto"/>
          <w:sz w:val="32"/>
        </w:rPr>
        <w:t>自本批复批准之日起，原批复文件穗（番）环管影〔20</w:t>
      </w:r>
      <w:r>
        <w:rPr>
          <w:rFonts w:hint="eastAsia" w:ascii="仿宋_GB2312" w:hAnsi="仿宋" w:eastAsia="仿宋_GB2312"/>
          <w:color w:val="auto"/>
          <w:sz w:val="32"/>
          <w:lang w:val="en-US" w:eastAsia="zh-CN"/>
        </w:rPr>
        <w:t>16</w:t>
      </w:r>
      <w:r>
        <w:rPr>
          <w:rFonts w:hint="eastAsia" w:ascii="仿宋_GB2312" w:hAnsi="仿宋" w:eastAsia="仿宋_GB2312"/>
          <w:color w:val="auto"/>
          <w:sz w:val="32"/>
        </w:rPr>
        <w:t>〕</w:t>
      </w:r>
      <w:r>
        <w:rPr>
          <w:rFonts w:hint="eastAsia" w:ascii="仿宋_GB2312" w:hAnsi="仿宋" w:eastAsia="仿宋_GB2312"/>
          <w:color w:val="auto"/>
          <w:sz w:val="32"/>
          <w:lang w:val="en-US" w:eastAsia="zh-CN"/>
        </w:rPr>
        <w:t>200</w:t>
      </w:r>
      <w:r>
        <w:rPr>
          <w:rFonts w:hint="eastAsia" w:ascii="仿宋_GB2312" w:hAnsi="仿宋" w:eastAsia="仿宋_GB2312"/>
          <w:color w:val="auto"/>
          <w:sz w:val="32"/>
        </w:rPr>
        <w:t>号同时废止。</w:t>
      </w:r>
    </w:p>
    <w:p w14:paraId="49913197">
      <w:pPr>
        <w:keepNext w:val="0"/>
        <w:keepLines w:val="0"/>
        <w:pageBreakBefore w:val="0"/>
        <w:kinsoku/>
        <w:overflowPunct/>
        <w:topLinePunct w:val="0"/>
        <w:autoSpaceDE/>
        <w:autoSpaceDN/>
        <w:bidi w:val="0"/>
        <w:spacing w:line="560" w:lineRule="exact"/>
        <w:ind w:firstLine="0" w:firstLineChars="0"/>
        <w:textAlignment w:val="auto"/>
        <w:rPr>
          <w:rFonts w:ascii="仿宋_GB2312" w:eastAsia="仿宋_GB2312"/>
          <w:color w:val="auto"/>
          <w:sz w:val="32"/>
          <w:szCs w:val="32"/>
        </w:rPr>
      </w:pPr>
    </w:p>
    <w:p w14:paraId="74EBAD5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29A26305">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F29DD9E">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日</w:t>
      </w:r>
    </w:p>
    <w:p w14:paraId="4F233EE2">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084C079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9EC74C9">
      <w:pPr>
        <w:spacing w:line="560" w:lineRule="exact"/>
        <w:ind w:left="1133" w:leftChars="201" w:hanging="711" w:hangingChars="254"/>
        <w:rPr>
          <w:color w:val="auto"/>
          <w:sz w:val="28"/>
          <w:szCs w:val="28"/>
        </w:rPr>
      </w:pPr>
      <w:r>
        <w:rPr>
          <w:rFonts w:hint="eastAsia" w:ascii="仿宋_GB2312" w:hAnsi="仿宋" w:eastAsia="仿宋_GB2312"/>
          <w:color w:val="auto"/>
          <w:sz w:val="28"/>
          <w:szCs w:val="28"/>
        </w:rPr>
        <w:t>抄送：广州市生态环境局番禺分局</w:t>
      </w:r>
      <w:r>
        <w:rPr>
          <w:rFonts w:hint="eastAsia" w:ascii="仿宋_GB2312" w:hAnsi="仿宋" w:eastAsia="仿宋_GB2312" w:cs="Times New Roman"/>
          <w:color w:val="auto"/>
          <w:sz w:val="28"/>
          <w:szCs w:val="28"/>
        </w:rPr>
        <w:t>执法</w:t>
      </w:r>
      <w:r>
        <w:rPr>
          <w:rFonts w:hint="eastAsia" w:ascii="仿宋_GB2312" w:hAnsi="仿宋" w:eastAsia="仿宋_GB2312" w:cs="Times New Roman"/>
          <w:color w:val="auto"/>
          <w:sz w:val="28"/>
          <w:szCs w:val="28"/>
          <w:lang w:val="en-US" w:eastAsia="zh-CN"/>
        </w:rPr>
        <w:t>一</w:t>
      </w:r>
      <w:r>
        <w:rPr>
          <w:rFonts w:hint="eastAsia" w:ascii="仿宋_GB2312" w:hAnsi="仿宋" w:eastAsia="仿宋_GB2312" w:cs="Times New Roman"/>
          <w:color w:val="auto"/>
          <w:sz w:val="28"/>
          <w:szCs w:val="28"/>
        </w:rPr>
        <w:t>科、</w:t>
      </w:r>
      <w:r>
        <w:rPr>
          <w:rFonts w:hint="eastAsia" w:ascii="仿宋_GB2312" w:hAnsi="仿宋" w:eastAsia="仿宋_GB2312" w:cs="Times New Roman"/>
          <w:color w:val="auto"/>
          <w:sz w:val="28"/>
          <w:szCs w:val="28"/>
          <w:lang w:eastAsia="zh-CN"/>
        </w:rPr>
        <w:t>番禺</w:t>
      </w:r>
      <w:r>
        <w:rPr>
          <w:rFonts w:hint="eastAsia" w:ascii="仿宋_GB2312" w:hAnsi="仿宋" w:eastAsia="仿宋_GB2312" w:cs="Times New Roman"/>
          <w:color w:val="auto"/>
          <w:sz w:val="28"/>
          <w:szCs w:val="28"/>
        </w:rPr>
        <w:t>第</w:t>
      </w:r>
      <w:r>
        <w:rPr>
          <w:rFonts w:hint="eastAsia" w:ascii="仿宋_GB2312" w:hAnsi="仿宋" w:eastAsia="仿宋_GB2312" w:cs="Times New Roman"/>
          <w:color w:val="auto"/>
          <w:sz w:val="28"/>
          <w:szCs w:val="28"/>
          <w:lang w:val="en-US" w:eastAsia="zh-CN"/>
        </w:rPr>
        <w:t>二</w:t>
      </w:r>
      <w:r>
        <w:rPr>
          <w:rFonts w:hint="eastAsia" w:ascii="仿宋_GB2312" w:hAnsi="仿宋" w:eastAsia="仿宋_GB2312" w:cs="Times New Roman"/>
          <w:color w:val="auto"/>
          <w:sz w:val="28"/>
          <w:szCs w:val="28"/>
        </w:rPr>
        <w:t>环保所</w:t>
      </w:r>
      <w:r>
        <w:rPr>
          <w:rFonts w:hint="eastAsia" w:ascii="仿宋_GB2312" w:hAnsi="仿宋" w:eastAsia="仿宋_GB2312"/>
          <w:color w:val="auto"/>
          <w:sz w:val="28"/>
          <w:szCs w:val="28"/>
        </w:rPr>
        <w:t>，广州中鹏环保实业有限公司</w:t>
      </w:r>
      <w:bookmarkStart w:id="0" w:name="_GoBack"/>
      <w:bookmarkEnd w:id="0"/>
      <w:r>
        <w:rPr>
          <w:rFonts w:hint="eastAsia" w:ascii="仿宋_GB2312" w:hAnsi="仿宋" w:eastAsia="仿宋_GB2312"/>
          <w:color w:val="auto"/>
          <w:sz w:val="28"/>
          <w:szCs w:val="28"/>
        </w:rPr>
        <w:t>。</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新宋体-1803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公文小标宋简">
    <w:altName w:val="宋体"/>
    <w:panose1 w:val="02010609010101010101"/>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5DC91">
    <w:pPr>
      <w:pStyle w:val="4"/>
      <w:framePr w:wrap="around" w:vAnchor="text" w:hAnchor="margin" w:xAlign="outside" w:y="1"/>
      <w:rPr>
        <w:rStyle w:val="7"/>
        <w:rFonts w:ascii="宋体" w:hAnsi="宋体"/>
        <w:sz w:val="28"/>
        <w:szCs w:val="28"/>
      </w:rPr>
    </w:pPr>
    <w:r>
      <w:rPr>
        <w:rStyle w:val="7"/>
        <w:rFonts w:hint="eastAsia" w:ascii="宋体" w:hAnsi="宋体"/>
        <w:sz w:val="28"/>
        <w:szCs w:val="28"/>
      </w:rPr>
      <w:t xml:space="preserve">— </w:t>
    </w: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3</w:t>
    </w:r>
    <w:r>
      <w:rPr>
        <w:rStyle w:val="7"/>
        <w:rFonts w:ascii="宋体" w:hAnsi="宋体"/>
        <w:sz w:val="28"/>
        <w:szCs w:val="28"/>
      </w:rPr>
      <w:fldChar w:fldCharType="end"/>
    </w:r>
    <w:r>
      <w:rPr>
        <w:rStyle w:val="7"/>
        <w:rFonts w:hint="eastAsia" w:ascii="宋体" w:hAnsi="宋体"/>
        <w:sz w:val="28"/>
        <w:szCs w:val="28"/>
      </w:rPr>
      <w:t xml:space="preserve"> —</w:t>
    </w:r>
  </w:p>
  <w:p w14:paraId="48DE3797">
    <w:pPr>
      <w:pStyle w:val="4"/>
      <w:ind w:right="360" w:firstLine="360"/>
      <w:jc w:val="center"/>
      <w:rPr>
        <w:rFonts w:ascii="Times New Roman" w:hAnsi="Times New Roman"/>
        <w:sz w:val="28"/>
        <w:szCs w:val="28"/>
      </w:rPr>
    </w:pPr>
  </w:p>
  <w:p w14:paraId="3B967C6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2ED8E">
    <w:pPr>
      <w:pStyle w:val="4"/>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14:paraId="4AA547C0">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57469F"/>
    <w:rsid w:val="025B104D"/>
    <w:rsid w:val="109B1A09"/>
    <w:rsid w:val="12111C2F"/>
    <w:rsid w:val="18C83393"/>
    <w:rsid w:val="1C57469F"/>
    <w:rsid w:val="2F5D55B9"/>
    <w:rsid w:val="2FE249C1"/>
    <w:rsid w:val="3B4413CB"/>
    <w:rsid w:val="43955500"/>
    <w:rsid w:val="4AB94E26"/>
    <w:rsid w:val="4CAE41A1"/>
    <w:rsid w:val="4FE15215"/>
    <w:rsid w:val="60DD643C"/>
    <w:rsid w:val="69407E24"/>
    <w:rsid w:val="734C3DD1"/>
    <w:rsid w:val="7F322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Calibri" w:hAnsi="Calibri" w:eastAsia="宋体" w:cs="Times New Roman"/>
    </w:rPr>
  </w:style>
  <w:style w:type="paragraph" w:customStyle="1" w:styleId="3">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4">
    <w:name w:val="footer"/>
    <w:basedOn w:val="1"/>
    <w:unhideWhenUsed/>
    <w:qFormat/>
    <w:uiPriority w:val="99"/>
    <w:pPr>
      <w:tabs>
        <w:tab w:val="center" w:pos="4153"/>
        <w:tab w:val="right" w:pos="8306"/>
      </w:tabs>
      <w:snapToGrid w:val="0"/>
      <w:jc w:val="left"/>
    </w:pPr>
    <w:rPr>
      <w:sz w:val="18"/>
      <w:szCs w:val="18"/>
    </w:rPr>
  </w:style>
  <w:style w:type="character" w:styleId="7">
    <w:name w:val="page number"/>
    <w:basedOn w:val="6"/>
    <w:qFormat/>
    <w:uiPriority w:val="0"/>
  </w:style>
  <w:style w:type="paragraph" w:customStyle="1" w:styleId="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区委办</Company>
  <Pages>4</Pages>
  <Words>1909</Words>
  <Characters>2086</Characters>
  <Lines>0</Lines>
  <Paragraphs>0</Paragraphs>
  <TotalTime>0</TotalTime>
  <ScaleCrop>false</ScaleCrop>
  <LinksUpToDate>false</LinksUpToDate>
  <CharactersWithSpaces>2152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2025-08-08T08:57:00Z</dcterms:created>
  <dc:creator>圆圈圈儿 ࿔</dc:creator>
  <cp:lastModifiedBy>圆圈圈儿 ࿔</cp:lastModifiedBy>
  <dcterms:modified xsi:type="dcterms:W3CDTF">2025-09-12T02:38:05Z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E32876D8BD6F4AAA9BEC30E31BF5CC9D_13</vt:lpwstr>
  </property>
  <property fmtid="{D5CDD505-2E9C-101B-9397-08002B2CF9AE}" pid="4" name="KSOTemplateDocerSaveRecord">
    <vt:lpwstr>eyJoZGlkIjoiODdkOTNkZGUwYWU4YWU0YzViNWEwNmQ1ODczOTg2ZTkiLCJ1c2VySWQiOiIxNzIzMDIxNzY5In0=</vt:lpwstr>
  </property>
</Properties>
</file>