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bookmarkStart w:id="0" w:name="_GoBack"/>
      <w:bookmarkEnd w:id="0"/>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125</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广州市生态环境局关于广州天玺首饰有限公司改扩建项目环境影响报告表的批复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00" w:lineRule="exact"/>
        <w:textAlignment w:val="auto"/>
        <w:rPr>
          <w:rFonts w:ascii="仿宋_GB2312" w:eastAsia="仿宋_GB2312"/>
          <w:color w:val="auto"/>
          <w:sz w:val="32"/>
          <w:szCs w:val="32"/>
        </w:rPr>
      </w:pPr>
      <w:r>
        <w:rPr>
          <w:rFonts w:hint="eastAsia" w:ascii="仿宋_GB2312" w:eastAsia="仿宋_GB2312"/>
          <w:color w:val="auto"/>
          <w:sz w:val="32"/>
          <w:szCs w:val="32"/>
        </w:rPr>
        <w:t>广州天玺首饰有限公司（91440101MA5CLRGW9N）：</w:t>
      </w:r>
    </w:p>
    <w:p w14:paraId="06F98241">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你单位报送的《广州天玺首饰有限公司改扩建项目环境影响报告表》（以下简称《报告表》）及附送资料收悉。经研究，现批复如下：</w:t>
      </w:r>
    </w:p>
    <w:p w14:paraId="6234E811">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一、广州天玺首饰有限公司改扩建项目（以下简称“该项目”）位于广州市番禺区沙湾</w:t>
      </w:r>
      <w:r>
        <w:rPr>
          <w:rFonts w:hint="eastAsia" w:ascii="仿宋_GB2312" w:eastAsia="仿宋_GB2312"/>
          <w:color w:val="auto"/>
          <w:sz w:val="32"/>
          <w:szCs w:val="32"/>
          <w:lang w:val="en-US" w:eastAsia="zh-CN"/>
        </w:rPr>
        <w:t>街</w:t>
      </w:r>
      <w:r>
        <w:rPr>
          <w:rFonts w:hint="eastAsia" w:ascii="仿宋_GB2312" w:eastAsia="仿宋_GB2312"/>
          <w:color w:val="auto"/>
          <w:sz w:val="32"/>
          <w:szCs w:val="32"/>
        </w:rPr>
        <w:t>福龙路999号25座二层、四层，申报内容为</w:t>
      </w:r>
      <w:r>
        <w:rPr>
          <w:rFonts w:hint="eastAsia" w:ascii="仿宋_GB2312" w:eastAsia="仿宋_GB2312"/>
          <w:color w:val="auto"/>
          <w:sz w:val="32"/>
          <w:szCs w:val="32"/>
          <w:lang w:val="en-US" w:eastAsia="zh-CN"/>
        </w:rPr>
        <w:t>从</w:t>
      </w:r>
      <w:r>
        <w:rPr>
          <w:rFonts w:hint="eastAsia" w:ascii="仿宋_GB2312" w:eastAsia="仿宋_GB2312"/>
          <w:color w:val="auto"/>
          <w:sz w:val="32"/>
          <w:szCs w:val="32"/>
        </w:rPr>
        <w:t>事银首饰、铜首饰的加工</w:t>
      </w:r>
      <w:r>
        <w:rPr>
          <w:rFonts w:hint="eastAsia" w:ascii="仿宋_GB2312" w:eastAsia="仿宋_GB2312"/>
          <w:color w:val="auto"/>
          <w:sz w:val="32"/>
          <w:szCs w:val="32"/>
          <w:lang w:eastAsia="zh-CN"/>
        </w:rPr>
        <w:t>，年产银首饰2550kg、铜首饰1500kg</w:t>
      </w:r>
      <w:r>
        <w:rPr>
          <w:rFonts w:hint="eastAsia" w:ascii="仿宋_GB2312" w:eastAsia="仿宋_GB2312"/>
          <w:color w:val="auto"/>
          <w:sz w:val="32"/>
          <w:szCs w:val="32"/>
        </w:rPr>
        <w:t>。该项目占地面积</w:t>
      </w:r>
      <w:r>
        <w:rPr>
          <w:rFonts w:hint="eastAsia" w:ascii="仿宋_GB2312" w:eastAsia="仿宋_GB2312"/>
          <w:color w:val="auto"/>
          <w:sz w:val="32"/>
          <w:szCs w:val="32"/>
          <w:lang w:val="en-US" w:eastAsia="zh-CN"/>
        </w:rPr>
        <w:t>1595.97</w:t>
      </w:r>
      <w:r>
        <w:rPr>
          <w:rFonts w:hint="eastAsia" w:ascii="仿宋_GB2312" w:eastAsia="仿宋_GB2312"/>
          <w:color w:val="auto"/>
          <w:sz w:val="32"/>
          <w:szCs w:val="32"/>
        </w:rPr>
        <w:t>平方米，总建筑面积3191.94平方米，</w:t>
      </w:r>
      <w:r>
        <w:rPr>
          <w:rFonts w:hint="eastAsia" w:ascii="仿宋_GB2312" w:eastAsia="仿宋_GB2312"/>
          <w:color w:val="auto"/>
          <w:sz w:val="32"/>
          <w:szCs w:val="32"/>
          <w:lang w:val="en-US" w:eastAsia="zh-CN"/>
        </w:rPr>
        <w:t>租用一幢四层厂房的第二层、第四层进行建设</w:t>
      </w:r>
      <w:r>
        <w:rPr>
          <w:rFonts w:hint="eastAsia" w:ascii="仿宋_GB2312" w:eastAsia="仿宋_GB2312"/>
          <w:color w:val="auto"/>
          <w:sz w:val="32"/>
          <w:szCs w:val="32"/>
        </w:rPr>
        <w:t>；主要设备有3D喷蜡机4台、压模机4台、唧蜡机13台、电烙铁6台、倒模机3台、熔金机3台、开粉机4台、真空机2台、高压冲洗机2台、剪金机2台、焗炉7台、</w:t>
      </w:r>
      <w:r>
        <w:rPr>
          <w:rFonts w:hint="eastAsia" w:ascii="仿宋_GB2312" w:eastAsia="仿宋_GB2312"/>
          <w:color w:val="auto"/>
          <w:sz w:val="32"/>
          <w:szCs w:val="32"/>
          <w:lang w:val="en-US" w:eastAsia="zh-CN"/>
        </w:rPr>
        <w:t>倒模</w:t>
      </w:r>
      <w:r>
        <w:rPr>
          <w:rFonts w:hint="eastAsia" w:ascii="仿宋_GB2312" w:eastAsia="仿宋_GB2312"/>
          <w:color w:val="auto"/>
          <w:sz w:val="32"/>
          <w:szCs w:val="32"/>
        </w:rPr>
        <w:t>熔金火枪2</w:t>
      </w:r>
      <w:r>
        <w:rPr>
          <w:rFonts w:hint="eastAsia" w:ascii="仿宋_GB2312" w:eastAsia="仿宋_GB2312"/>
          <w:color w:val="auto"/>
          <w:sz w:val="32"/>
          <w:szCs w:val="32"/>
          <w:lang w:val="en-US" w:eastAsia="zh-CN"/>
        </w:rPr>
        <w:t>把</w:t>
      </w:r>
      <w:r>
        <w:rPr>
          <w:rFonts w:hint="eastAsia" w:ascii="仿宋_GB2312" w:eastAsia="仿宋_GB2312"/>
          <w:color w:val="auto"/>
          <w:sz w:val="32"/>
          <w:szCs w:val="32"/>
        </w:rPr>
        <w:t>、烘箱</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台、执模台56台、吊机56台、打孔机3台</w:t>
      </w:r>
      <w:r>
        <w:rPr>
          <w:rFonts w:hint="eastAsia" w:ascii="仿宋_GB2312" w:eastAsia="仿宋_GB2312"/>
          <w:color w:val="auto"/>
          <w:sz w:val="32"/>
          <w:szCs w:val="32"/>
          <w:lang w:eastAsia="zh-CN"/>
        </w:rPr>
        <w:t>、</w:t>
      </w:r>
      <w:r>
        <w:rPr>
          <w:rFonts w:hint="eastAsia" w:ascii="仿宋_GB2312" w:eastAsia="仿宋_GB2312"/>
          <w:color w:val="auto"/>
          <w:sz w:val="32"/>
          <w:szCs w:val="32"/>
        </w:rPr>
        <w:t>压片机2台、超声清洗机5台、执模焊接、镶石火枪5</w:t>
      </w:r>
      <w:r>
        <w:rPr>
          <w:rFonts w:hint="eastAsia" w:ascii="仿宋_GB2312" w:eastAsia="仿宋_GB2312"/>
          <w:color w:val="auto"/>
          <w:sz w:val="32"/>
          <w:szCs w:val="32"/>
          <w:lang w:val="en-US" w:eastAsia="zh-CN"/>
        </w:rPr>
        <w:t>把</w:t>
      </w:r>
      <w:r>
        <w:rPr>
          <w:rFonts w:hint="eastAsia" w:ascii="仿宋_GB2312" w:eastAsia="仿宋_GB2312"/>
          <w:color w:val="auto"/>
          <w:sz w:val="32"/>
          <w:szCs w:val="32"/>
        </w:rPr>
        <w:t>、磁力抛光机11台、湿式研磨机13台、干式研磨机5台、</w:t>
      </w:r>
      <w:r>
        <w:rPr>
          <w:rFonts w:hint="eastAsia" w:ascii="仿宋_GB2312" w:eastAsia="仿宋_GB2312"/>
          <w:color w:val="auto"/>
          <w:sz w:val="32"/>
          <w:szCs w:val="32"/>
          <w:lang w:eastAsia="zh-CN"/>
        </w:rPr>
        <w:t>蒸汽机</w:t>
      </w:r>
      <w:r>
        <w:rPr>
          <w:rFonts w:hint="eastAsia" w:ascii="仿宋_GB2312" w:eastAsia="仿宋_GB2312"/>
          <w:color w:val="auto"/>
          <w:sz w:val="32"/>
          <w:szCs w:val="32"/>
        </w:rPr>
        <w:t>5台、恒温烘干机1台、镭射字印机5台、镭射机12台、镶石台57台、全自动蜡镶机4台、么打机10台、抛光机60台、飞碟机8台、砂轮机3台、喷砂机4台、真空机1台、活塞式空压机3台</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280</w:t>
      </w:r>
      <w:r>
        <w:rPr>
          <w:rFonts w:hint="eastAsia" w:ascii="仿宋_GB2312" w:eastAsia="仿宋_GB2312"/>
          <w:color w:val="auto"/>
          <w:sz w:val="32"/>
          <w:szCs w:val="32"/>
        </w:rPr>
        <w:t>名，内部不安排食宿。项目不设炸色、电解抛光、熔金回收等工序，不使用氰化物及含镍、铅等原辅材料。</w:t>
      </w:r>
    </w:p>
    <w:p w14:paraId="0B64A3CC">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655CFE16">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2520</w:t>
      </w:r>
      <w:r>
        <w:rPr>
          <w:rFonts w:hint="eastAsia" w:ascii="仿宋_GB2312" w:eastAsia="仿宋_GB2312"/>
          <w:color w:val="auto"/>
          <w:sz w:val="32"/>
          <w:szCs w:val="32"/>
        </w:rPr>
        <w:t>吨/年；生产废水排放量不超过</w:t>
      </w:r>
      <w:r>
        <w:rPr>
          <w:rFonts w:hint="eastAsia" w:ascii="仿宋_GB2312" w:eastAsia="仿宋_GB2312"/>
          <w:color w:val="auto"/>
          <w:sz w:val="32"/>
          <w:szCs w:val="32"/>
          <w:lang w:val="en-US" w:eastAsia="zh-CN"/>
        </w:rPr>
        <w:t>2519</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p>
    <w:p w14:paraId="04BA147E">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颗粒物</w:t>
      </w:r>
      <w:r>
        <w:rPr>
          <w:rFonts w:hint="eastAsia" w:ascii="仿宋_GB2312" w:eastAsia="仿宋_GB2312"/>
          <w:color w:val="auto"/>
          <w:sz w:val="32"/>
          <w:szCs w:val="32"/>
        </w:rPr>
        <w:t>有组织排放执行广东省《大气污染物排放限值》（DB44/27-2001）第二时段二级标准及《铸造工业大气污染物排放标准》（GB39726-2020）表1排放浓度限值较严值，无组织排放执行《大气污染物排放限值》（DB44/27-2001）第二时段无组织排放监控浓度限值；</w:t>
      </w:r>
      <w:r>
        <w:rPr>
          <w:rFonts w:hint="eastAsia" w:ascii="仿宋_GB2312" w:eastAsia="仿宋_GB2312"/>
          <w:color w:val="auto"/>
          <w:sz w:val="32"/>
          <w:szCs w:val="32"/>
          <w:lang w:val="en-US" w:eastAsia="zh-CN"/>
        </w:rPr>
        <w:t>挥发性有机物</w:t>
      </w:r>
      <w:r>
        <w:rPr>
          <w:rFonts w:hint="eastAsia" w:ascii="仿宋_GB2312" w:eastAsia="仿宋_GB2312"/>
          <w:color w:val="auto"/>
          <w:sz w:val="32"/>
          <w:szCs w:val="32"/>
        </w:rPr>
        <w:t>排放执行广东省《固定污染源挥发性有机物综合排放标准》（DB44/2367-2022）表1、表3排放限值；其他大气污染物排放执行广东省《大气污染物排放限值》（DB44/27-2001）第二时段二级标准及无组织排放监控浓度限值。氮氧化物排放量不超过0.0140吨/年。</w:t>
      </w:r>
    </w:p>
    <w:p w14:paraId="2B747704">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（三）边界噪声排放执行《工业企业厂界环境噪声排放标准》（GB12348-2008）3类区限值，即：昼间≤65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（一）排水系统采用雨污分流。生活污水经三级化粪池预处理；研磨抛光废水、超声清洗废水、员工洗手废水经沉淀箱预处理；倒模废水、喷淋塔废水经三级沉淀池预处理；</w:t>
      </w:r>
      <w:r>
        <w:rPr>
          <w:rFonts w:hint="eastAsia" w:ascii="仿宋_GB2312" w:eastAsia="仿宋_GB2312"/>
          <w:color w:val="auto"/>
          <w:sz w:val="32"/>
          <w:szCs w:val="32"/>
          <w:lang w:val="en-US" w:eastAsia="zh-CN"/>
        </w:rPr>
        <w:t>上述废水</w:t>
      </w:r>
      <w:r>
        <w:rPr>
          <w:rFonts w:hint="eastAsia" w:ascii="仿宋_GB2312" w:eastAsia="仿宋_GB2312"/>
          <w:color w:val="auto"/>
          <w:sz w:val="32"/>
          <w:szCs w:val="32"/>
        </w:rPr>
        <w:t>一并排入项目所在威乐珠宝产业园的废水处理站处理后，再排入市政集污管网，送前锋净水厂集中处理。项目设置废水排放口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3A96B3D2">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（二）倒模熔金工序使用液化石油气为燃料。</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倒模、清洗房</w:t>
      </w:r>
      <w:r>
        <w:rPr>
          <w:rFonts w:hint="eastAsia" w:ascii="仿宋_GB2312" w:eastAsia="仿宋_GB2312"/>
          <w:color w:val="auto"/>
          <w:sz w:val="32"/>
          <w:szCs w:val="32"/>
        </w:rPr>
        <w:t>设置在密闭的车间内。熔蜡废气</w:t>
      </w:r>
      <w:r>
        <w:rPr>
          <w:rFonts w:hint="eastAsia" w:ascii="仿宋_GB2312" w:eastAsia="仿宋_GB2312"/>
          <w:color w:val="auto"/>
          <w:sz w:val="32"/>
          <w:szCs w:val="32"/>
          <w:lang w:val="en-US" w:eastAsia="zh-CN"/>
        </w:rPr>
        <w:t>经电焗炉</w:t>
      </w:r>
      <w:r>
        <w:rPr>
          <w:rFonts w:hint="eastAsia" w:ascii="仿宋_GB2312" w:eastAsia="仿宋_GB2312"/>
          <w:color w:val="auto"/>
          <w:sz w:val="32"/>
          <w:szCs w:val="32"/>
        </w:rPr>
        <w:t>配套</w:t>
      </w:r>
      <w:r>
        <w:rPr>
          <w:rFonts w:hint="eastAsia" w:ascii="仿宋_GB2312" w:eastAsia="仿宋_GB2312"/>
          <w:color w:val="auto"/>
          <w:sz w:val="32"/>
          <w:szCs w:val="32"/>
          <w:lang w:val="en-US" w:eastAsia="zh-CN"/>
        </w:rPr>
        <w:t>的</w:t>
      </w:r>
      <w:r>
        <w:rPr>
          <w:rFonts w:hint="eastAsia" w:ascii="仿宋_GB2312" w:eastAsia="仿宋_GB2312"/>
          <w:color w:val="auto"/>
          <w:sz w:val="32"/>
          <w:szCs w:val="32"/>
        </w:rPr>
        <w:t>直接燃烧器预处理后</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与倒模、火漆</w:t>
      </w:r>
      <w:r>
        <w:rPr>
          <w:rFonts w:hint="eastAsia" w:ascii="仿宋_GB2312" w:eastAsia="仿宋_GB2312"/>
          <w:color w:val="auto"/>
          <w:sz w:val="32"/>
          <w:szCs w:val="32"/>
        </w:rPr>
        <w:t>清洗</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质检清洗产生的</w:t>
      </w:r>
      <w:r>
        <w:rPr>
          <w:rFonts w:hint="eastAsia" w:ascii="仿宋_GB2312" w:eastAsia="仿宋_GB2312"/>
          <w:color w:val="auto"/>
          <w:sz w:val="32"/>
          <w:szCs w:val="32"/>
        </w:rPr>
        <w:t>废气</w:t>
      </w:r>
      <w:r>
        <w:rPr>
          <w:rFonts w:hint="eastAsia" w:ascii="仿宋_GB2312" w:eastAsia="仿宋_GB2312"/>
          <w:color w:val="auto"/>
          <w:sz w:val="32"/>
          <w:szCs w:val="32"/>
          <w:lang w:val="en-US" w:eastAsia="zh-CN"/>
        </w:rPr>
        <w:t>一并</w:t>
      </w:r>
      <w:r>
        <w:rPr>
          <w:rFonts w:hint="eastAsia" w:ascii="仿宋_GB2312" w:eastAsia="仿宋_GB2312"/>
          <w:color w:val="auto"/>
          <w:sz w:val="32"/>
          <w:szCs w:val="32"/>
        </w:rPr>
        <w:t>经</w:t>
      </w:r>
      <w:r>
        <w:rPr>
          <w:rFonts w:hint="eastAsia" w:ascii="仿宋_GB2312" w:eastAsia="仿宋_GB2312"/>
          <w:color w:val="auto"/>
          <w:sz w:val="32"/>
          <w:szCs w:val="32"/>
          <w:lang w:eastAsia="zh-CN"/>
        </w:rPr>
        <w:t>“</w:t>
      </w:r>
      <w:r>
        <w:rPr>
          <w:rFonts w:hint="eastAsia" w:ascii="仿宋_GB2312" w:eastAsia="仿宋_GB2312"/>
          <w:color w:val="auto"/>
          <w:sz w:val="32"/>
          <w:szCs w:val="32"/>
        </w:rPr>
        <w:t>水喷淋（</w:t>
      </w:r>
      <w:r>
        <w:rPr>
          <w:rFonts w:hint="eastAsia" w:ascii="仿宋_GB2312" w:eastAsia="仿宋_GB2312"/>
          <w:color w:val="auto"/>
          <w:sz w:val="32"/>
          <w:szCs w:val="32"/>
          <w:lang w:val="en-US" w:eastAsia="zh-CN"/>
        </w:rPr>
        <w:t>含</w:t>
      </w:r>
      <w:r>
        <w:rPr>
          <w:rFonts w:hint="eastAsia" w:ascii="仿宋_GB2312" w:eastAsia="仿宋_GB2312"/>
          <w:color w:val="auto"/>
          <w:sz w:val="32"/>
          <w:szCs w:val="32"/>
        </w:rPr>
        <w:t>除雾装置）+活性炭吸附</w:t>
      </w:r>
      <w:r>
        <w:rPr>
          <w:rFonts w:hint="eastAsia" w:ascii="仿宋_GB2312" w:eastAsia="仿宋_GB2312"/>
          <w:color w:val="auto"/>
          <w:sz w:val="32"/>
          <w:szCs w:val="32"/>
          <w:lang w:val="en-US" w:eastAsia="zh-CN"/>
        </w:rPr>
        <w:t>装置</w:t>
      </w:r>
      <w:r>
        <w:rPr>
          <w:rFonts w:hint="eastAsia" w:ascii="仿宋_GB2312" w:eastAsia="仿宋_GB2312"/>
          <w:color w:val="auto"/>
          <w:sz w:val="32"/>
          <w:szCs w:val="32"/>
          <w:lang w:eastAsia="zh-CN"/>
        </w:rPr>
        <w:t>”</w:t>
      </w:r>
      <w:r>
        <w:rPr>
          <w:rFonts w:hint="eastAsia" w:ascii="仿宋_GB2312" w:eastAsia="仿宋_GB2312"/>
          <w:color w:val="auto"/>
          <w:sz w:val="32"/>
          <w:szCs w:val="32"/>
        </w:rPr>
        <w:t>处理</w:t>
      </w:r>
      <w:r>
        <w:rPr>
          <w:rFonts w:hint="eastAsia" w:ascii="仿宋_GB2312" w:eastAsia="仿宋_GB2312"/>
          <w:color w:val="auto"/>
          <w:sz w:val="32"/>
          <w:szCs w:val="32"/>
          <w:lang w:val="en-US" w:eastAsia="zh-CN"/>
        </w:rPr>
        <w:t>达标</w:t>
      </w:r>
      <w:r>
        <w:rPr>
          <w:rFonts w:hint="eastAsia" w:ascii="仿宋_GB2312" w:eastAsia="仿宋_GB2312"/>
          <w:color w:val="auto"/>
          <w:sz w:val="32"/>
          <w:szCs w:val="32"/>
        </w:rPr>
        <w:t>后</w:t>
      </w:r>
      <w:r>
        <w:rPr>
          <w:rFonts w:hint="eastAsia" w:ascii="仿宋_GB2312" w:eastAsia="仿宋_GB2312"/>
          <w:color w:val="auto"/>
          <w:sz w:val="32"/>
          <w:szCs w:val="32"/>
          <w:lang w:eastAsia="zh-CN"/>
        </w:rPr>
        <w:t>，通过专用管道引至</w:t>
      </w:r>
      <w:r>
        <w:rPr>
          <w:rFonts w:hint="eastAsia" w:ascii="仿宋_GB2312" w:eastAsia="仿宋_GB2312"/>
          <w:color w:val="auto"/>
          <w:sz w:val="32"/>
          <w:szCs w:val="32"/>
          <w:lang w:val="en-US" w:eastAsia="zh-CN"/>
        </w:rPr>
        <w:t>所</w:t>
      </w:r>
      <w:r>
        <w:rPr>
          <w:rFonts w:hint="eastAsia" w:ascii="仿宋_GB2312" w:eastAsia="仿宋_GB2312"/>
          <w:color w:val="auto"/>
          <w:sz w:val="32"/>
          <w:szCs w:val="32"/>
        </w:rPr>
        <w:t>在建筑物楼顶高空排放，</w:t>
      </w:r>
      <w:r>
        <w:rPr>
          <w:rFonts w:hint="eastAsia" w:ascii="仿宋_GB2312" w:eastAsia="仿宋_GB2312"/>
          <w:color w:val="auto"/>
          <w:sz w:val="32"/>
          <w:szCs w:val="32"/>
          <w:lang w:val="en-US" w:eastAsia="zh-CN"/>
        </w:rPr>
        <w:t>排放口高度不低于15米，</w:t>
      </w:r>
      <w:r>
        <w:rPr>
          <w:rFonts w:hint="eastAsia" w:ascii="仿宋_GB2312" w:eastAsia="仿宋_GB2312"/>
          <w:color w:val="auto"/>
          <w:sz w:val="32"/>
          <w:szCs w:val="32"/>
        </w:rPr>
        <w:t>项目设置废气排放口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148AB73A">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0A6372C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（四）废天那水、废丙酮、废包装容器、废活性炭、废抹布等危险废物须设置符合《危险废物贮存污染控制标准》（GB18597-20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75E76E29">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wordWrap/>
        <w:overflowPunct/>
        <w:topLinePunct w:val="0"/>
        <w:autoSpaceDE/>
        <w:autoSpaceDN/>
        <w:bidi w:val="0"/>
        <w:adjustRightInd/>
        <w:snapToGrid/>
        <w:spacing w:line="50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59C5D8D3">
      <w:pPr>
        <w:pStyle w:val="18"/>
        <w:keepNext w:val="0"/>
        <w:keepLines w:val="0"/>
        <w:pageBreakBefore w:val="0"/>
        <w:kinsoku/>
        <w:wordWrap/>
        <w:overflowPunct/>
        <w:topLinePunct w:val="0"/>
        <w:autoSpaceDE/>
        <w:autoSpaceDN/>
        <w:bidi w:val="0"/>
        <w:adjustRightInd/>
        <w:snapToGrid/>
        <w:spacing w:line="500" w:lineRule="exact"/>
        <w:ind w:firstLine="636"/>
        <w:textAlignment w:val="auto"/>
        <w:rPr>
          <w:rFonts w:hint="eastAsia" w:eastAsia="仿宋_GB2312"/>
          <w:color w:val="auto"/>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1DEC4323">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九、</w:t>
      </w:r>
      <w:r>
        <w:rPr>
          <w:rFonts w:hint="eastAsia" w:ascii="仿宋_GB2312" w:eastAsia="仿宋_GB2312"/>
          <w:color w:val="auto"/>
          <w:sz w:val="32"/>
          <w:szCs w:val="32"/>
        </w:rPr>
        <w:t>自本批复批准之日起，原批复文件穗</w:t>
      </w:r>
      <w:r>
        <w:rPr>
          <w:rFonts w:hint="eastAsia" w:ascii="仿宋_GB2312" w:eastAsia="仿宋_GB2312"/>
          <w:color w:val="auto"/>
          <w:sz w:val="32"/>
          <w:szCs w:val="32"/>
          <w:lang w:eastAsia="zh-CN"/>
        </w:rPr>
        <w:t>（</w:t>
      </w:r>
      <w:r>
        <w:rPr>
          <w:rFonts w:hint="eastAsia" w:ascii="仿宋_GB2312" w:eastAsia="仿宋_GB2312"/>
          <w:color w:val="auto"/>
          <w:sz w:val="32"/>
          <w:szCs w:val="32"/>
        </w:rPr>
        <w:t>番</w:t>
      </w:r>
      <w:r>
        <w:rPr>
          <w:rFonts w:hint="eastAsia" w:ascii="仿宋_GB2312" w:eastAsia="仿宋_GB2312"/>
          <w:color w:val="auto"/>
          <w:sz w:val="32"/>
          <w:szCs w:val="32"/>
          <w:lang w:eastAsia="zh-CN"/>
        </w:rPr>
        <w:t>）</w:t>
      </w:r>
      <w:r>
        <w:rPr>
          <w:rFonts w:hint="eastAsia" w:ascii="仿宋_GB2312" w:eastAsia="仿宋_GB2312"/>
          <w:color w:val="auto"/>
          <w:sz w:val="32"/>
          <w:szCs w:val="32"/>
        </w:rPr>
        <w:t>环管影〔</w:t>
      </w:r>
      <w:r>
        <w:rPr>
          <w:rFonts w:hint="eastAsia" w:ascii="仿宋_GB2312" w:eastAsia="仿宋_GB2312"/>
          <w:color w:val="auto"/>
          <w:sz w:val="32"/>
          <w:szCs w:val="32"/>
          <w:lang w:val="en-US" w:eastAsia="zh-CN"/>
        </w:rPr>
        <w:t>2019</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197</w:t>
      </w:r>
      <w:r>
        <w:rPr>
          <w:rFonts w:hint="eastAsia" w:ascii="仿宋_GB2312" w:eastAsia="仿宋_GB2312"/>
          <w:color w:val="auto"/>
          <w:sz w:val="32"/>
          <w:szCs w:val="32"/>
        </w:rPr>
        <w:t>号同时废止。</w:t>
      </w:r>
    </w:p>
    <w:p w14:paraId="0A04E271">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wordWrap/>
        <w:overflowPunct/>
        <w:topLinePunct w:val="0"/>
        <w:autoSpaceDE/>
        <w:autoSpaceDN/>
        <w:bidi w:val="0"/>
        <w:adjustRightInd/>
        <w:snapToGrid/>
        <w:spacing w:line="480" w:lineRule="exact"/>
        <w:textAlignment w:val="auto"/>
        <w:rPr>
          <w:rFonts w:ascii="仿宋_GB2312" w:eastAsia="仿宋_GB2312"/>
          <w:color w:val="auto"/>
          <w:sz w:val="32"/>
          <w:szCs w:val="32"/>
        </w:rPr>
      </w:pPr>
    </w:p>
    <w:p w14:paraId="7E90A0C7">
      <w:pPr>
        <w:keepNext w:val="0"/>
        <w:keepLines w:val="0"/>
        <w:pageBreakBefore w:val="0"/>
        <w:kinsoku/>
        <w:wordWrap/>
        <w:overflowPunct/>
        <w:topLinePunct w:val="0"/>
        <w:autoSpaceDE/>
        <w:autoSpaceDN/>
        <w:bidi w:val="0"/>
        <w:adjustRightInd/>
        <w:snapToGrid/>
        <w:spacing w:line="48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2ADADE41">
      <w:pPr>
        <w:keepNext w:val="0"/>
        <w:keepLines w:val="0"/>
        <w:pageBreakBefore w:val="0"/>
        <w:kinsoku/>
        <w:wordWrap/>
        <w:overflowPunct/>
        <w:topLinePunct w:val="0"/>
        <w:autoSpaceDE/>
        <w:autoSpaceDN/>
        <w:bidi w:val="0"/>
        <w:adjustRightInd/>
        <w:snapToGrid/>
        <w:spacing w:line="48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日</w:t>
      </w:r>
    </w:p>
    <w:p w14:paraId="61A373A0">
      <w:pPr>
        <w:keepNext w:val="0"/>
        <w:keepLines w:val="0"/>
        <w:pageBreakBefore w:val="0"/>
        <w:kinsoku/>
        <w:wordWrap/>
        <w:overflowPunct/>
        <w:topLinePunct w:val="0"/>
        <w:autoSpaceDE/>
        <w:autoSpaceDN/>
        <w:bidi w:val="0"/>
        <w:adjustRightInd/>
        <w:snapToGrid/>
        <w:spacing w:line="480" w:lineRule="exact"/>
        <w:textAlignment w:val="auto"/>
        <w:rPr>
          <w:rFonts w:ascii="仿宋_GB2312" w:eastAsia="仿宋_GB2312"/>
          <w:color w:val="auto"/>
          <w:sz w:val="32"/>
          <w:szCs w:val="32"/>
        </w:rPr>
      </w:pPr>
    </w:p>
    <w:p w14:paraId="4B5413A7">
      <w:pPr>
        <w:keepNext w:val="0"/>
        <w:keepLines w:val="0"/>
        <w:pageBreakBefore w:val="0"/>
        <w:kinsoku/>
        <w:wordWrap/>
        <w:overflowPunct/>
        <w:topLinePunct w:val="0"/>
        <w:autoSpaceDE/>
        <w:autoSpaceDN/>
        <w:bidi w:val="0"/>
        <w:adjustRightInd/>
        <w:snapToGrid/>
        <w:spacing w:line="480" w:lineRule="exact"/>
        <w:textAlignment w:val="auto"/>
        <w:rPr>
          <w:rFonts w:ascii="仿宋_GB2312" w:eastAsia="仿宋_GB2312"/>
          <w:color w:val="auto"/>
          <w:sz w:val="32"/>
          <w:szCs w:val="32"/>
        </w:rPr>
      </w:pPr>
    </w:p>
    <w:p w14:paraId="326EB5F5">
      <w:pPr>
        <w:keepNext w:val="0"/>
        <w:keepLines w:val="0"/>
        <w:pageBreakBefore w:val="0"/>
        <w:kinsoku/>
        <w:wordWrap/>
        <w:overflowPunct/>
        <w:topLinePunct w:val="0"/>
        <w:autoSpaceDE/>
        <w:autoSpaceDN/>
        <w:bidi w:val="0"/>
        <w:adjustRightInd/>
        <w:snapToGrid/>
        <w:spacing w:line="480" w:lineRule="exact"/>
        <w:textAlignment w:val="auto"/>
        <w:rPr>
          <w:rFonts w:ascii="仿宋_GB2312" w:eastAsia="仿宋_GB2312"/>
          <w:color w:val="auto"/>
          <w:sz w:val="32"/>
          <w:szCs w:val="32"/>
        </w:rPr>
      </w:pPr>
    </w:p>
    <w:p w14:paraId="0CCA8466">
      <w:pPr>
        <w:keepNext w:val="0"/>
        <w:keepLines w:val="0"/>
        <w:pageBreakBefore w:val="0"/>
        <w:kinsoku/>
        <w:wordWrap/>
        <w:overflowPunct/>
        <w:topLinePunct w:val="0"/>
        <w:autoSpaceDE/>
        <w:autoSpaceDN/>
        <w:bidi w:val="0"/>
        <w:adjustRightInd/>
        <w:snapToGrid/>
        <w:spacing w:line="48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wordWrap/>
        <w:overflowPunct/>
        <w:topLinePunct w:val="0"/>
        <w:autoSpaceDE/>
        <w:autoSpaceDN/>
        <w:bidi w:val="0"/>
        <w:adjustRightInd/>
        <w:snapToGrid/>
        <w:spacing w:line="480" w:lineRule="exact"/>
        <w:textAlignment w:val="auto"/>
        <w:rPr>
          <w:rFonts w:ascii="仿宋_GB2312" w:eastAsia="仿宋_GB2312"/>
          <w:color w:val="auto"/>
          <w:sz w:val="32"/>
          <w:szCs w:val="32"/>
        </w:rPr>
      </w:pPr>
    </w:p>
    <w:p w14:paraId="6452DAE3">
      <w:pPr>
        <w:keepNext w:val="0"/>
        <w:keepLines w:val="0"/>
        <w:pageBreakBefore w:val="0"/>
        <w:kinsoku/>
        <w:wordWrap/>
        <w:overflowPunct/>
        <w:topLinePunct w:val="0"/>
        <w:autoSpaceDE/>
        <w:autoSpaceDN/>
        <w:bidi w:val="0"/>
        <w:adjustRightInd/>
        <w:snapToGrid/>
        <w:spacing w:line="48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五</w:t>
      </w:r>
      <w:r>
        <w:rPr>
          <w:rFonts w:hint="eastAsia" w:ascii="仿宋_GB2312" w:eastAsia="仿宋_GB2312"/>
          <w:color w:val="auto"/>
          <w:sz w:val="28"/>
          <w:szCs w:val="28"/>
        </w:rPr>
        <w:t>环保所，广州市番禺环境工程有限公司。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316501C"/>
    <w:rsid w:val="035F3318"/>
    <w:rsid w:val="039E0DF7"/>
    <w:rsid w:val="04F0022B"/>
    <w:rsid w:val="05BF1B7D"/>
    <w:rsid w:val="064A05B0"/>
    <w:rsid w:val="068948CB"/>
    <w:rsid w:val="083C20B8"/>
    <w:rsid w:val="091574A4"/>
    <w:rsid w:val="0AB6351E"/>
    <w:rsid w:val="0AEE277F"/>
    <w:rsid w:val="0B1F3303"/>
    <w:rsid w:val="0C7516B2"/>
    <w:rsid w:val="0C807692"/>
    <w:rsid w:val="0DE36B99"/>
    <w:rsid w:val="0E0B63D0"/>
    <w:rsid w:val="0E3B3C64"/>
    <w:rsid w:val="0F0A6D3C"/>
    <w:rsid w:val="0F611949"/>
    <w:rsid w:val="0FD72C0C"/>
    <w:rsid w:val="103E38B5"/>
    <w:rsid w:val="10BF38FB"/>
    <w:rsid w:val="10E93D4E"/>
    <w:rsid w:val="11B62D57"/>
    <w:rsid w:val="12737E91"/>
    <w:rsid w:val="12DA5DA1"/>
    <w:rsid w:val="12E3158A"/>
    <w:rsid w:val="1549557C"/>
    <w:rsid w:val="157D650A"/>
    <w:rsid w:val="15A25C0B"/>
    <w:rsid w:val="16A128C5"/>
    <w:rsid w:val="184B5B81"/>
    <w:rsid w:val="19AF0CB4"/>
    <w:rsid w:val="19F023A6"/>
    <w:rsid w:val="1BC528C4"/>
    <w:rsid w:val="1C1945A6"/>
    <w:rsid w:val="1D4266B3"/>
    <w:rsid w:val="1E537B54"/>
    <w:rsid w:val="1F17517D"/>
    <w:rsid w:val="1F3F7351"/>
    <w:rsid w:val="1F4D7EC7"/>
    <w:rsid w:val="20CF4E76"/>
    <w:rsid w:val="21BD5166"/>
    <w:rsid w:val="221365B8"/>
    <w:rsid w:val="226A3577"/>
    <w:rsid w:val="22DA593E"/>
    <w:rsid w:val="23241352"/>
    <w:rsid w:val="246C2851"/>
    <w:rsid w:val="24E06F8D"/>
    <w:rsid w:val="2537321F"/>
    <w:rsid w:val="2647384A"/>
    <w:rsid w:val="26850942"/>
    <w:rsid w:val="26B164C1"/>
    <w:rsid w:val="27987506"/>
    <w:rsid w:val="288E5F3F"/>
    <w:rsid w:val="28AE5DA0"/>
    <w:rsid w:val="2A175959"/>
    <w:rsid w:val="2B6910C5"/>
    <w:rsid w:val="2BB35B95"/>
    <w:rsid w:val="2D4B705C"/>
    <w:rsid w:val="2D6A3A3F"/>
    <w:rsid w:val="2DCC08AF"/>
    <w:rsid w:val="2DFD4901"/>
    <w:rsid w:val="2E182F2D"/>
    <w:rsid w:val="2E9B7C83"/>
    <w:rsid w:val="2ECA65D4"/>
    <w:rsid w:val="2EE338FA"/>
    <w:rsid w:val="30357A24"/>
    <w:rsid w:val="307C5365"/>
    <w:rsid w:val="30A22B85"/>
    <w:rsid w:val="34034262"/>
    <w:rsid w:val="34A100EE"/>
    <w:rsid w:val="35D37D9D"/>
    <w:rsid w:val="36C83AF0"/>
    <w:rsid w:val="36DC47B5"/>
    <w:rsid w:val="37977641"/>
    <w:rsid w:val="385C6105"/>
    <w:rsid w:val="38EB77CC"/>
    <w:rsid w:val="3A1D0EF5"/>
    <w:rsid w:val="3AA44A54"/>
    <w:rsid w:val="3AE822E0"/>
    <w:rsid w:val="3B617677"/>
    <w:rsid w:val="3B8678B6"/>
    <w:rsid w:val="3B9C3FD8"/>
    <w:rsid w:val="3C8B0C00"/>
    <w:rsid w:val="3CC73AC6"/>
    <w:rsid w:val="3CC7607D"/>
    <w:rsid w:val="3CCA53AD"/>
    <w:rsid w:val="3CF81873"/>
    <w:rsid w:val="3D1E66D3"/>
    <w:rsid w:val="3DF84757"/>
    <w:rsid w:val="3DFC60C1"/>
    <w:rsid w:val="3EEA5570"/>
    <w:rsid w:val="3F2D1CB6"/>
    <w:rsid w:val="3FD1113F"/>
    <w:rsid w:val="41171C7F"/>
    <w:rsid w:val="418E5F9D"/>
    <w:rsid w:val="42BF1B92"/>
    <w:rsid w:val="43D755DA"/>
    <w:rsid w:val="43F25407"/>
    <w:rsid w:val="440875AB"/>
    <w:rsid w:val="450F1F75"/>
    <w:rsid w:val="453C3F01"/>
    <w:rsid w:val="45520847"/>
    <w:rsid w:val="45D209C5"/>
    <w:rsid w:val="45E73322"/>
    <w:rsid w:val="49383A30"/>
    <w:rsid w:val="494A394A"/>
    <w:rsid w:val="4AE22D88"/>
    <w:rsid w:val="4B621286"/>
    <w:rsid w:val="4CDB6B18"/>
    <w:rsid w:val="4D1D2609"/>
    <w:rsid w:val="4D8971C2"/>
    <w:rsid w:val="4E305A20"/>
    <w:rsid w:val="4EB11A7C"/>
    <w:rsid w:val="4EE6167D"/>
    <w:rsid w:val="4F136CC9"/>
    <w:rsid w:val="4F586ABA"/>
    <w:rsid w:val="4F9C166D"/>
    <w:rsid w:val="525D3BBF"/>
    <w:rsid w:val="530C784E"/>
    <w:rsid w:val="53406164"/>
    <w:rsid w:val="53774CFF"/>
    <w:rsid w:val="53DE59A8"/>
    <w:rsid w:val="553B58E4"/>
    <w:rsid w:val="55AA541C"/>
    <w:rsid w:val="567E16A6"/>
    <w:rsid w:val="5728768E"/>
    <w:rsid w:val="57E809C6"/>
    <w:rsid w:val="58272CFA"/>
    <w:rsid w:val="586B32B6"/>
    <w:rsid w:val="58A00174"/>
    <w:rsid w:val="5906339C"/>
    <w:rsid w:val="596879A6"/>
    <w:rsid w:val="59F57B8E"/>
    <w:rsid w:val="5ADA0B1D"/>
    <w:rsid w:val="5B7E4A72"/>
    <w:rsid w:val="5D6C6AD3"/>
    <w:rsid w:val="5E811B87"/>
    <w:rsid w:val="5EB016E9"/>
    <w:rsid w:val="5FF25578"/>
    <w:rsid w:val="609E0F14"/>
    <w:rsid w:val="614E41B0"/>
    <w:rsid w:val="62973EAF"/>
    <w:rsid w:val="62BE08BB"/>
    <w:rsid w:val="631E222D"/>
    <w:rsid w:val="63890CAA"/>
    <w:rsid w:val="64A70A2F"/>
    <w:rsid w:val="654F3592"/>
    <w:rsid w:val="658835A0"/>
    <w:rsid w:val="65D2271B"/>
    <w:rsid w:val="66D37837"/>
    <w:rsid w:val="670A7A3E"/>
    <w:rsid w:val="679E2C8B"/>
    <w:rsid w:val="69EF3DF1"/>
    <w:rsid w:val="6B2F71CC"/>
    <w:rsid w:val="6CF83D02"/>
    <w:rsid w:val="6D7C272C"/>
    <w:rsid w:val="6D8B22BF"/>
    <w:rsid w:val="6EF51F98"/>
    <w:rsid w:val="6F034B31"/>
    <w:rsid w:val="6F6C545A"/>
    <w:rsid w:val="6F766087"/>
    <w:rsid w:val="70340726"/>
    <w:rsid w:val="716A2D22"/>
    <w:rsid w:val="729B7141"/>
    <w:rsid w:val="73006EB1"/>
    <w:rsid w:val="73417714"/>
    <w:rsid w:val="7431442E"/>
    <w:rsid w:val="747D1147"/>
    <w:rsid w:val="75DD1EEC"/>
    <w:rsid w:val="76253084"/>
    <w:rsid w:val="762C5749"/>
    <w:rsid w:val="765C5FCF"/>
    <w:rsid w:val="7787407A"/>
    <w:rsid w:val="77A5337F"/>
    <w:rsid w:val="77D05B9F"/>
    <w:rsid w:val="780A11FC"/>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2209</Words>
  <Characters>2411</Characters>
  <Lines>19</Lines>
  <Paragraphs>5</Paragraphs>
  <TotalTime>12</TotalTime>
  <ScaleCrop>false</ScaleCrop>
  <LinksUpToDate>false</LinksUpToDate>
  <CharactersWithSpaces>2474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dolyzzzz</cp:lastModifiedBy>
  <cp:lastPrinted>2025-09-08T02:32:00Z</cp:lastPrinted>
  <dcterms:modified xsi:type="dcterms:W3CDTF">2025-09-08T06:39:52Z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2052-12.1.0.22529</vt:lpwstr>
  </property>
  <property fmtid="{D5CDD505-2E9C-101B-9397-08002B2CF9AE}" pid="4" name="ICV">
    <vt:lpwstr>018B8501B0A848A19D629FDC6CC5804D_13</vt:lpwstr>
  </property>
  <property fmtid="{D5CDD505-2E9C-101B-9397-08002B2CF9AE}" pid="5" name="KSOTemplateDocerSaveRecord">
    <vt:lpwstr>eyJoZGlkIjoiZTk3OTI2Y2Y4NTVhMDE4ZDI0NmQ3YmQxYzcwODhjOTYiLCJ1c2VySWQiOiIxMjEwNzk5MTAifQ==</vt:lpwstr>
  </property>
</Properties>
</file>