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373B5">
      <w:pPr>
        <w:adjustRightInd w:val="0"/>
        <w:snapToGrid w:val="0"/>
        <w:ind w:right="-156" w:hanging="180"/>
        <w:jc w:val="center"/>
        <w:rPr>
          <w:rFonts w:ascii="公文小标宋简" w:eastAsia="公文小标宋简"/>
          <w:b/>
          <w:bCs/>
          <w:smallCaps/>
          <w:snapToGrid w:val="0"/>
          <w:color w:val="auto"/>
          <w:spacing w:val="56"/>
          <w:kern w:val="0"/>
          <w:sz w:val="72"/>
          <w:szCs w:val="72"/>
        </w:rPr>
      </w:pPr>
    </w:p>
    <w:p w14:paraId="1AA5779C">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ascii="仿宋_GB2312"/>
          <w:color w:val="auto"/>
        </w:rPr>
      </w:pPr>
      <w:r>
        <w:rPr>
          <w:rFonts w:hint="eastAsia" w:ascii="仿宋_GB2312"/>
          <w:color w:val="auto"/>
        </w:rPr>
        <w:t xml:space="preserve">                                       </w:t>
      </w:r>
      <w:r>
        <w:rPr>
          <w:rFonts w:hint="eastAsia" w:ascii="仿宋_GB2312" w:eastAsia="仿宋_GB2312"/>
          <w:color w:val="auto"/>
          <w:sz w:val="32"/>
          <w:szCs w:val="32"/>
        </w:rPr>
        <w:t>穗环管影（番）〔202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123</w:t>
      </w:r>
      <w:r>
        <w:rPr>
          <w:rFonts w:hint="eastAsia" w:ascii="仿宋_GB2312" w:eastAsia="仿宋_GB2312"/>
          <w:color w:val="auto"/>
          <w:sz w:val="32"/>
          <w:szCs w:val="32"/>
        </w:rPr>
        <w:t>号</w:t>
      </w:r>
    </w:p>
    <w:p w14:paraId="0D9D23AD">
      <w:pPr>
        <w:keepNext w:val="0"/>
        <w:keepLines w:val="0"/>
        <w:pageBreakBefore w:val="0"/>
        <w:kinsoku/>
        <w:overflowPunct/>
        <w:topLinePunct w:val="0"/>
        <w:autoSpaceDE/>
        <w:autoSpaceDN/>
        <w:bidi w:val="0"/>
        <w:spacing w:line="560" w:lineRule="exact"/>
        <w:textAlignment w:val="auto"/>
        <w:rPr>
          <w:rFonts w:ascii="黑体" w:eastAsia="黑体"/>
          <w:color w:val="auto"/>
        </w:rPr>
      </w:pPr>
    </w:p>
    <w:p w14:paraId="0AC8BEF1">
      <w:pPr>
        <w:keepNext w:val="0"/>
        <w:keepLines w:val="0"/>
        <w:pageBreakBefore w:val="0"/>
        <w:kinsoku/>
        <w:overflowPunct/>
        <w:topLinePunct w:val="0"/>
        <w:autoSpaceDE/>
        <w:autoSpaceDN/>
        <w:bidi w:val="0"/>
        <w:adjustRightInd w:val="0"/>
        <w:snapToGrid w:val="0"/>
        <w:spacing w:line="560" w:lineRule="exact"/>
        <w:textAlignment w:val="auto"/>
        <w:rPr>
          <w:rFonts w:ascii="仿宋_GB2312"/>
          <w:color w:val="auto"/>
        </w:rPr>
      </w:pPr>
    </w:p>
    <w:p w14:paraId="781FD6AA">
      <w:pPr>
        <w:keepNext w:val="0"/>
        <w:keepLines w:val="0"/>
        <w:pageBreakBefore w:val="0"/>
        <w:kinsoku/>
        <w:overflowPunct/>
        <w:topLinePunct w:val="0"/>
        <w:autoSpaceDE/>
        <w:autoSpaceDN/>
        <w:bidi w:val="0"/>
        <w:spacing w:line="560" w:lineRule="exact"/>
        <w:jc w:val="center"/>
        <w:textAlignment w:val="auto"/>
        <w:rPr>
          <w:rFonts w:hint="eastAsia" w:ascii="方正小标宋简体" w:eastAsia="方正小标宋简体"/>
          <w:color w:val="auto"/>
          <w:sz w:val="44"/>
          <w:szCs w:val="44"/>
        </w:rPr>
      </w:pPr>
      <w:r>
        <w:rPr>
          <w:rFonts w:hint="eastAsia" w:ascii="方正小标宋简体" w:eastAsia="方正小标宋简体"/>
          <w:color w:val="auto"/>
          <w:sz w:val="44"/>
          <w:szCs w:val="44"/>
        </w:rPr>
        <w:t>广州市生态环境局关于广州市番禺区国多</w:t>
      </w:r>
    </w:p>
    <w:p w14:paraId="206ACC62">
      <w:pPr>
        <w:keepNext w:val="0"/>
        <w:keepLines w:val="0"/>
        <w:pageBreakBefore w:val="0"/>
        <w:kinsoku/>
        <w:overflowPunct/>
        <w:topLinePunct w:val="0"/>
        <w:autoSpaceDE/>
        <w:autoSpaceDN/>
        <w:bidi w:val="0"/>
        <w:spacing w:line="560" w:lineRule="exact"/>
        <w:jc w:val="center"/>
        <w:textAlignment w:val="auto"/>
        <w:rPr>
          <w:rFonts w:hint="eastAsia" w:ascii="方正小标宋简体" w:eastAsia="方正小标宋简体"/>
          <w:color w:val="auto"/>
          <w:sz w:val="44"/>
          <w:szCs w:val="44"/>
        </w:rPr>
      </w:pPr>
      <w:r>
        <w:rPr>
          <w:rFonts w:hint="eastAsia" w:ascii="方正小标宋简体" w:eastAsia="方正小标宋简体"/>
          <w:color w:val="auto"/>
          <w:sz w:val="44"/>
          <w:szCs w:val="44"/>
        </w:rPr>
        <w:t>塑料制品厂年产180t塑料制品建设项目</w:t>
      </w:r>
    </w:p>
    <w:p w14:paraId="03173BE7">
      <w:pPr>
        <w:keepNext w:val="0"/>
        <w:keepLines w:val="0"/>
        <w:pageBreakBefore w:val="0"/>
        <w:kinsoku/>
        <w:overflowPunct/>
        <w:topLinePunct w:val="0"/>
        <w:autoSpaceDE/>
        <w:autoSpaceDN/>
        <w:bidi w:val="0"/>
        <w:spacing w:line="560" w:lineRule="exact"/>
        <w:jc w:val="center"/>
        <w:textAlignment w:val="auto"/>
        <w:rPr>
          <w:rFonts w:ascii="方正小标宋简体" w:eastAsia="方正小标宋简体"/>
          <w:color w:val="auto"/>
          <w:sz w:val="44"/>
          <w:szCs w:val="44"/>
        </w:rPr>
      </w:pPr>
      <w:r>
        <w:rPr>
          <w:rFonts w:hint="eastAsia" w:ascii="方正小标宋简体" w:eastAsia="方正小标宋简体"/>
          <w:color w:val="auto"/>
          <w:sz w:val="44"/>
          <w:szCs w:val="44"/>
        </w:rPr>
        <w:t>环境影响报告表的批复</w:t>
      </w:r>
    </w:p>
    <w:p w14:paraId="00880D9C">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D947783">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r>
        <w:rPr>
          <w:rFonts w:hint="eastAsia" w:ascii="仿宋_GB2312" w:eastAsia="仿宋_GB2312"/>
          <w:color w:val="auto"/>
          <w:sz w:val="32"/>
          <w:szCs w:val="32"/>
        </w:rPr>
        <w:t>广州市番禺区国多塑料制品厂（92440101L24984465X）：</w:t>
      </w:r>
    </w:p>
    <w:p w14:paraId="06F9824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你单位报送的《广州市番禺区国多塑料制品厂年产180t塑料制品建设项目环境影响报告表》（以下简称《报告表》）及附送资料收悉。经研究，现批复如下：</w:t>
      </w:r>
    </w:p>
    <w:p w14:paraId="6234E81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一、广州市番禺区国多塑料制品厂年产180t塑料制品建设项目（以下简称“该项目”）位于广东</w:t>
      </w:r>
      <w:r>
        <w:rPr>
          <w:rFonts w:hint="eastAsia" w:ascii="仿宋_GB2312" w:eastAsia="仿宋_GB2312"/>
          <w:color w:val="auto"/>
          <w:sz w:val="32"/>
          <w:szCs w:val="32"/>
          <w:lang w:val="en-US" w:eastAsia="zh-CN"/>
        </w:rPr>
        <w:t>省</w:t>
      </w:r>
      <w:r>
        <w:rPr>
          <w:rFonts w:hint="eastAsia" w:ascii="仿宋_GB2312" w:eastAsia="仿宋_GB2312"/>
          <w:color w:val="auto"/>
          <w:sz w:val="32"/>
          <w:szCs w:val="32"/>
        </w:rPr>
        <w:t>广</w:t>
      </w:r>
      <w:r>
        <w:rPr>
          <w:rFonts w:hint="eastAsia" w:ascii="仿宋_GB2312" w:eastAsia="仿宋_GB2312"/>
          <w:color w:val="auto"/>
          <w:sz w:val="32"/>
          <w:szCs w:val="32"/>
          <w:lang w:eastAsia="zh-CN"/>
        </w:rPr>
        <w:t>州市</w:t>
      </w:r>
      <w:r>
        <w:rPr>
          <w:rFonts w:hint="eastAsia" w:ascii="仿宋_GB2312" w:eastAsia="仿宋_GB2312"/>
          <w:color w:val="auto"/>
          <w:sz w:val="32"/>
          <w:szCs w:val="32"/>
        </w:rPr>
        <w:t>番禺区</w:t>
      </w:r>
      <w:bookmarkStart w:id="0" w:name="_GoBack"/>
      <w:bookmarkEnd w:id="0"/>
      <w:r>
        <w:rPr>
          <w:rFonts w:hint="eastAsia" w:ascii="仿宋_GB2312" w:eastAsia="仿宋_GB2312"/>
          <w:color w:val="auto"/>
          <w:sz w:val="32"/>
          <w:szCs w:val="32"/>
        </w:rPr>
        <w:t>桥南</w:t>
      </w:r>
      <w:r>
        <w:rPr>
          <w:rFonts w:hint="eastAsia" w:ascii="仿宋_GB2312" w:eastAsia="仿宋_GB2312"/>
          <w:color w:val="auto"/>
          <w:sz w:val="32"/>
          <w:szCs w:val="32"/>
          <w:lang w:eastAsia="zh-CN"/>
        </w:rPr>
        <w:t>街道</w:t>
      </w:r>
      <w:r>
        <w:rPr>
          <w:rFonts w:hint="eastAsia" w:ascii="仿宋_GB2312" w:eastAsia="仿宋_GB2312"/>
          <w:color w:val="auto"/>
          <w:sz w:val="32"/>
          <w:szCs w:val="32"/>
        </w:rPr>
        <w:t>陈涌村兴业大道西六横路北自编4号，申报内容为从事塑料制品的生产，年产180</w:t>
      </w:r>
      <w:r>
        <w:rPr>
          <w:rFonts w:hint="eastAsia" w:ascii="仿宋_GB2312" w:eastAsia="仿宋_GB2312"/>
          <w:color w:val="auto"/>
          <w:sz w:val="32"/>
          <w:szCs w:val="32"/>
          <w:lang w:val="en-US" w:eastAsia="zh-CN"/>
        </w:rPr>
        <w:t>吨</w:t>
      </w:r>
      <w:r>
        <w:rPr>
          <w:rFonts w:hint="eastAsia" w:ascii="仿宋_GB2312" w:eastAsia="仿宋_GB2312"/>
          <w:color w:val="auto"/>
          <w:sz w:val="32"/>
          <w:szCs w:val="32"/>
        </w:rPr>
        <w:t>塑料制品。该项目占地面积</w:t>
      </w:r>
      <w:r>
        <w:rPr>
          <w:rFonts w:hint="eastAsia" w:ascii="仿宋_GB2312" w:eastAsia="仿宋_GB2312"/>
          <w:color w:val="auto"/>
          <w:sz w:val="32"/>
          <w:szCs w:val="32"/>
          <w:lang w:val="en-US" w:eastAsia="zh-CN"/>
        </w:rPr>
        <w:t>1003</w:t>
      </w:r>
      <w:r>
        <w:rPr>
          <w:rFonts w:hint="eastAsia" w:ascii="仿宋_GB2312" w:eastAsia="仿宋_GB2312"/>
          <w:color w:val="auto"/>
          <w:sz w:val="32"/>
          <w:szCs w:val="32"/>
        </w:rPr>
        <w:t>平方米，总建筑面积</w:t>
      </w:r>
      <w:r>
        <w:rPr>
          <w:rFonts w:hint="eastAsia" w:ascii="仿宋_GB2312" w:eastAsia="仿宋_GB2312"/>
          <w:color w:val="auto"/>
          <w:sz w:val="32"/>
          <w:szCs w:val="32"/>
          <w:lang w:val="en-US" w:eastAsia="zh-CN"/>
        </w:rPr>
        <w:t>3009</w:t>
      </w:r>
      <w:r>
        <w:rPr>
          <w:rFonts w:hint="eastAsia" w:ascii="仿宋_GB2312" w:eastAsia="仿宋_GB2312"/>
          <w:color w:val="auto"/>
          <w:sz w:val="32"/>
          <w:szCs w:val="32"/>
        </w:rPr>
        <w:t>平方米，</w:t>
      </w:r>
      <w:r>
        <w:rPr>
          <w:rFonts w:hint="eastAsia" w:ascii="仿宋_GB2312" w:eastAsia="仿宋_GB2312"/>
          <w:color w:val="auto"/>
          <w:sz w:val="32"/>
          <w:szCs w:val="32"/>
          <w:lang w:val="en-US" w:eastAsia="zh-CN"/>
        </w:rPr>
        <w:t>租用一幢3层厂房进行建设</w:t>
      </w:r>
      <w:r>
        <w:rPr>
          <w:rFonts w:hint="eastAsia" w:ascii="仿宋_GB2312" w:eastAsia="仿宋_GB2312"/>
          <w:color w:val="auto"/>
          <w:sz w:val="32"/>
          <w:szCs w:val="32"/>
          <w:lang w:eastAsia="zh-CN"/>
        </w:rPr>
        <w:t>，</w:t>
      </w:r>
      <w:r>
        <w:rPr>
          <w:rFonts w:hint="eastAsia" w:ascii="仿宋_GB2312" w:eastAsia="仿宋_GB2312"/>
          <w:color w:val="auto"/>
          <w:sz w:val="32"/>
          <w:szCs w:val="32"/>
        </w:rPr>
        <w:t>主要设备有注塑机9台、混料机2台、破碎机4台、冷却塔1台、空压机1台、龙门吊2台</w:t>
      </w:r>
      <w:r>
        <w:rPr>
          <w:rFonts w:hint="eastAsia" w:ascii="仿宋_GB2312" w:eastAsia="仿宋_GB2312"/>
          <w:color w:val="auto"/>
          <w:sz w:val="32"/>
          <w:szCs w:val="32"/>
          <w:lang w:eastAsia="zh-CN"/>
        </w:rPr>
        <w:t>。</w:t>
      </w:r>
      <w:r>
        <w:rPr>
          <w:rFonts w:hint="eastAsia" w:ascii="仿宋_GB2312" w:eastAsia="仿宋_GB2312"/>
          <w:color w:val="auto"/>
          <w:sz w:val="32"/>
          <w:szCs w:val="32"/>
        </w:rPr>
        <w:t>员工</w:t>
      </w:r>
      <w:r>
        <w:rPr>
          <w:rFonts w:hint="eastAsia" w:ascii="仿宋_GB2312" w:eastAsia="仿宋_GB2312"/>
          <w:color w:val="auto"/>
          <w:sz w:val="32"/>
          <w:szCs w:val="32"/>
          <w:lang w:val="en-US" w:eastAsia="zh-CN"/>
        </w:rPr>
        <w:t>12</w:t>
      </w:r>
      <w:r>
        <w:rPr>
          <w:rFonts w:hint="eastAsia" w:ascii="仿宋_GB2312" w:eastAsia="仿宋_GB2312"/>
          <w:color w:val="auto"/>
          <w:sz w:val="32"/>
          <w:szCs w:val="32"/>
        </w:rPr>
        <w:t>名，内部不安排食宿。该项目注塑只使用P</w:t>
      </w:r>
      <w:r>
        <w:rPr>
          <w:rFonts w:hint="eastAsia" w:ascii="仿宋_GB2312" w:eastAsia="仿宋_GB2312"/>
          <w:color w:val="auto"/>
          <w:sz w:val="32"/>
          <w:szCs w:val="32"/>
          <w:lang w:val="en-US" w:eastAsia="zh-CN"/>
        </w:rPr>
        <w:t>P</w:t>
      </w:r>
      <w:r>
        <w:rPr>
          <w:rFonts w:hint="eastAsia" w:ascii="仿宋_GB2312" w:eastAsia="仿宋_GB2312"/>
          <w:color w:val="auto"/>
          <w:sz w:val="32"/>
          <w:szCs w:val="32"/>
        </w:rPr>
        <w:t>，不使用再生塑料。</w:t>
      </w:r>
    </w:p>
    <w:p w14:paraId="0B64A3CC">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按照《报告表》的评价结论，在落实各项环境保护措施后，该项目产生的污染物及不良环境影响能够得到有效控制，从环境保护角度，在现选址处建设可行。经审查，我局原则同意《报告表》评价结论。该项目应当按照《报告表》所述性质、规模、地点、生产工艺和环境保护措施进行建设。</w:t>
      </w:r>
    </w:p>
    <w:p w14:paraId="655CFE16">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二、该项目各类污染物排放控制要求如下：</w:t>
      </w:r>
    </w:p>
    <w:p w14:paraId="4A77641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水污染物</w:t>
      </w:r>
      <w:r>
        <w:rPr>
          <w:rFonts w:hint="eastAsia" w:ascii="仿宋_GB2312" w:eastAsia="仿宋_GB2312"/>
          <w:color w:val="auto"/>
          <w:sz w:val="32"/>
          <w:szCs w:val="32"/>
        </w:rPr>
        <w:t>排放执行广东省《水污染物排放限值》（DB44/26-2001）第二时段三级标准。生活污水排放量不超过</w:t>
      </w:r>
      <w:r>
        <w:rPr>
          <w:rFonts w:hint="eastAsia" w:ascii="仿宋_GB2312" w:eastAsia="仿宋_GB2312"/>
          <w:color w:val="auto"/>
          <w:sz w:val="32"/>
          <w:szCs w:val="32"/>
          <w:lang w:val="en-US" w:eastAsia="zh-CN"/>
        </w:rPr>
        <w:t>108</w:t>
      </w:r>
      <w:r>
        <w:rPr>
          <w:rFonts w:hint="eastAsia" w:ascii="仿宋_GB2312" w:eastAsia="仿宋_GB2312"/>
          <w:color w:val="auto"/>
          <w:sz w:val="32"/>
          <w:szCs w:val="32"/>
        </w:rPr>
        <w:t>吨/年；</w:t>
      </w:r>
      <w:r>
        <w:rPr>
          <w:rFonts w:hint="eastAsia" w:ascii="仿宋_GB2312" w:eastAsia="仿宋_GB2312"/>
          <w:color w:val="auto"/>
          <w:sz w:val="32"/>
          <w:szCs w:val="32"/>
          <w:lang w:val="en-US" w:eastAsia="zh-CN"/>
        </w:rPr>
        <w:t>冷却</w:t>
      </w:r>
      <w:r>
        <w:rPr>
          <w:rFonts w:hint="eastAsia" w:ascii="仿宋_GB2312" w:eastAsia="仿宋_GB2312"/>
          <w:color w:val="auto"/>
          <w:sz w:val="32"/>
          <w:szCs w:val="32"/>
        </w:rPr>
        <w:t>废水排放量不超过</w:t>
      </w:r>
      <w:r>
        <w:rPr>
          <w:rFonts w:hint="eastAsia" w:ascii="仿宋_GB2312" w:eastAsia="仿宋_GB2312"/>
          <w:color w:val="auto"/>
          <w:sz w:val="32"/>
          <w:szCs w:val="32"/>
          <w:lang w:val="en-US" w:eastAsia="zh-CN"/>
        </w:rPr>
        <w:t>807.3</w:t>
      </w:r>
      <w:r>
        <w:rPr>
          <w:rFonts w:hint="eastAsia" w:ascii="仿宋_GB2312" w:eastAsia="仿宋_GB2312"/>
          <w:color w:val="auto"/>
          <w:sz w:val="32"/>
          <w:szCs w:val="32"/>
        </w:rPr>
        <w:t>吨/年。</w:t>
      </w:r>
    </w:p>
    <w:p w14:paraId="5C2993F3">
      <w:pPr>
        <w:keepNext w:val="0"/>
        <w:keepLines w:val="0"/>
        <w:pageBreakBefore w:val="0"/>
        <w:kinsoku/>
        <w:overflowPunct/>
        <w:topLinePunct w:val="0"/>
        <w:autoSpaceDE/>
        <w:autoSpaceDN/>
        <w:bidi w:val="0"/>
        <w:spacing w:line="560" w:lineRule="exact"/>
        <w:ind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rPr>
        <w:t>（二）非甲烷总烃排放执行《合成树脂工业污染物排放标准》（GB31572-2015）及2024年修改单表5大气污染物特别排放限值</w:t>
      </w:r>
      <w:r>
        <w:rPr>
          <w:rFonts w:hint="eastAsia" w:ascii="仿宋_GB2312" w:eastAsia="仿宋_GB2312"/>
          <w:color w:val="auto"/>
          <w:sz w:val="32"/>
          <w:szCs w:val="32"/>
          <w:lang w:eastAsia="zh-CN"/>
        </w:rPr>
        <w:t>；</w:t>
      </w:r>
      <w:r>
        <w:rPr>
          <w:rFonts w:hint="eastAsia" w:ascii="仿宋_GB2312" w:eastAsia="仿宋_GB2312"/>
          <w:color w:val="auto"/>
          <w:sz w:val="32"/>
          <w:szCs w:val="32"/>
        </w:rPr>
        <w:t>臭气浓度排放执行《恶臭污染物排放标准》（GB14554-93）表1厂界新扩改建二级标准限值和表2排放标准值；</w:t>
      </w:r>
      <w:r>
        <w:rPr>
          <w:rFonts w:hint="eastAsia" w:ascii="仿宋_GB2312" w:eastAsia="仿宋_GB2312"/>
          <w:color w:val="auto"/>
          <w:sz w:val="32"/>
          <w:szCs w:val="32"/>
          <w:lang w:val="en-US" w:eastAsia="zh-CN"/>
        </w:rPr>
        <w:t>颗粒物排放执行广东省《大气污染物排放限值》（DB 44/27-2001）第二时段无组织排放监控浓度限值；</w:t>
      </w:r>
      <w:r>
        <w:rPr>
          <w:rFonts w:hint="eastAsia" w:ascii="仿宋_GB2312" w:eastAsia="仿宋_GB2312"/>
          <w:color w:val="auto"/>
          <w:sz w:val="32"/>
          <w:szCs w:val="32"/>
        </w:rPr>
        <w:t>厂区内非甲烷总烃排放执行广东省《固定污染源挥发性有机物综合排放标准》（DB44/2367-2022）表3厂区内VOCs无组织排放限值</w:t>
      </w:r>
      <w:r>
        <w:rPr>
          <w:rFonts w:hint="eastAsia" w:ascii="仿宋_GB2312" w:eastAsia="仿宋_GB2312"/>
          <w:color w:val="auto"/>
          <w:sz w:val="32"/>
          <w:szCs w:val="32"/>
          <w:lang w:val="en-US" w:eastAsia="zh-CN"/>
        </w:rPr>
        <w:t>。</w:t>
      </w:r>
    </w:p>
    <w:p w14:paraId="1C452005">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（三）边界噪声排放执行《工业企业厂界环境噪声排放标准》（GB12348-2008）2类区限值，即：昼间≤60</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，夜间≤50</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w:t>
      </w:r>
    </w:p>
    <w:p w14:paraId="7EECF5E5">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三、该项目应当认真落实《报告表》提出的各项环境保护措施，重点做好以下工作：</w:t>
      </w:r>
    </w:p>
    <w:p w14:paraId="0BCF1BF3">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（一）排水系统采用雨污分流。生活污水</w:t>
      </w:r>
      <w:r>
        <w:rPr>
          <w:rFonts w:hint="eastAsia" w:ascii="仿宋_GB2312" w:eastAsia="仿宋_GB2312"/>
          <w:color w:val="auto"/>
          <w:sz w:val="32"/>
          <w:szCs w:val="32"/>
          <w:lang w:eastAsia="zh-CN"/>
        </w:rPr>
        <w:t>经三级化粪池预处理后</w:t>
      </w:r>
      <w:r>
        <w:rPr>
          <w:rFonts w:hint="eastAsia" w:ascii="仿宋_GB2312" w:eastAsia="仿宋_GB2312"/>
          <w:color w:val="auto"/>
          <w:sz w:val="32"/>
          <w:szCs w:val="32"/>
          <w:lang w:val="en-US" w:eastAsia="zh-CN"/>
        </w:rPr>
        <w:t>与冷却废水一并</w:t>
      </w:r>
      <w:r>
        <w:rPr>
          <w:rFonts w:hint="eastAsia" w:ascii="仿宋_GB2312" w:eastAsia="仿宋_GB2312"/>
          <w:color w:val="auto"/>
          <w:sz w:val="32"/>
          <w:szCs w:val="32"/>
        </w:rPr>
        <w:t>排入市政集污管网</w:t>
      </w:r>
      <w:r>
        <w:rPr>
          <w:rFonts w:hint="eastAsia" w:ascii="仿宋_GB2312" w:eastAsia="仿宋_GB2312"/>
          <w:color w:val="auto"/>
          <w:sz w:val="32"/>
          <w:szCs w:val="32"/>
          <w:lang w:eastAsia="zh-CN"/>
        </w:rPr>
        <w:t>，</w:t>
      </w:r>
      <w:r>
        <w:rPr>
          <w:rFonts w:hint="eastAsia" w:ascii="仿宋_GB2312" w:eastAsia="仿宋_GB2312"/>
          <w:color w:val="auto"/>
          <w:sz w:val="32"/>
          <w:szCs w:val="32"/>
        </w:rPr>
        <w:t>送</w:t>
      </w:r>
      <w:r>
        <w:rPr>
          <w:rFonts w:hint="eastAsia" w:ascii="仿宋_GB2312" w:eastAsia="仿宋_GB2312"/>
          <w:color w:val="auto"/>
          <w:sz w:val="32"/>
          <w:szCs w:val="32"/>
          <w:lang w:val="en-US" w:eastAsia="zh-CN"/>
        </w:rPr>
        <w:t>前锋</w:t>
      </w:r>
      <w:r>
        <w:rPr>
          <w:rFonts w:hint="eastAsia" w:ascii="仿宋_GB2312" w:eastAsia="仿宋_GB2312"/>
          <w:color w:val="auto"/>
          <w:sz w:val="32"/>
          <w:szCs w:val="32"/>
        </w:rPr>
        <w:t>净水厂处理。项目设置</w:t>
      </w:r>
      <w:r>
        <w:rPr>
          <w:rFonts w:hint="eastAsia" w:ascii="仿宋_GB2312" w:eastAsia="仿宋_GB2312"/>
          <w:color w:val="auto"/>
          <w:sz w:val="32"/>
          <w:szCs w:val="32"/>
          <w:lang w:val="en-US" w:eastAsia="zh-CN"/>
        </w:rPr>
        <w:t>废水排放口1个</w:t>
      </w:r>
      <w:r>
        <w:rPr>
          <w:rFonts w:hint="eastAsia" w:ascii="仿宋_GB2312" w:eastAsia="仿宋_GB2312"/>
          <w:color w:val="auto"/>
          <w:sz w:val="32"/>
          <w:szCs w:val="32"/>
        </w:rPr>
        <w:t>。</w:t>
      </w:r>
    </w:p>
    <w:p w14:paraId="3A96B3D2">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w:t>
      </w:r>
      <w:r>
        <w:rPr>
          <w:rFonts w:hint="eastAsia" w:ascii="仿宋_GB2312" w:eastAsia="仿宋_GB2312"/>
          <w:color w:val="auto"/>
          <w:sz w:val="32"/>
          <w:szCs w:val="32"/>
          <w:lang w:val="en-US" w:eastAsia="zh-CN"/>
        </w:rPr>
        <w:t>按照</w:t>
      </w:r>
      <w:r>
        <w:rPr>
          <w:rFonts w:hint="eastAsia" w:ascii="仿宋_GB2312" w:eastAsia="仿宋_GB2312"/>
          <w:color w:val="auto"/>
          <w:sz w:val="32"/>
          <w:szCs w:val="32"/>
          <w:lang w:eastAsia="zh-CN"/>
        </w:rPr>
        <w:t>广东省</w:t>
      </w:r>
      <w:r>
        <w:rPr>
          <w:rFonts w:hint="eastAsia" w:ascii="仿宋_GB2312" w:eastAsia="仿宋_GB2312"/>
          <w:color w:val="auto"/>
          <w:sz w:val="32"/>
          <w:szCs w:val="32"/>
        </w:rPr>
        <w:t>《固定污染源挥发性有机物综合排放标准》（DB44</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2367-2022）的无组织排放控制要求落实相关措施</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注塑废气收集至活性炭吸附装置处理，通过专用管道引至高空排放</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排放口高度不低于15米</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项目设置废气排放口1个</w:t>
      </w:r>
      <w:r>
        <w:rPr>
          <w:rFonts w:hint="eastAsia" w:ascii="仿宋_GB2312" w:eastAsia="仿宋_GB2312"/>
          <w:color w:val="auto"/>
          <w:sz w:val="32"/>
          <w:szCs w:val="32"/>
        </w:rPr>
        <w:t>。</w:t>
      </w:r>
    </w:p>
    <w:p w14:paraId="148AB73A">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hAnsi="仿宋_GB2312" w:eastAsia="仿宋_GB2312" w:cs="仿宋_GB2312"/>
          <w:color w:val="auto"/>
          <w:sz w:val="32"/>
          <w:szCs w:val="32"/>
        </w:rPr>
        <w:t>加强</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废气的监控，确保</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监控点的废气达到相应标准限值的要求，监测超标时应</w:t>
      </w:r>
      <w:r>
        <w:rPr>
          <w:rFonts w:hint="eastAsia" w:ascii="仿宋_GB2312" w:hAnsi="仿宋_GB2312" w:eastAsia="仿宋_GB2312" w:cs="仿宋_GB2312"/>
          <w:color w:val="auto"/>
          <w:sz w:val="32"/>
          <w:szCs w:val="32"/>
          <w:lang w:eastAsia="zh-CN"/>
        </w:rPr>
        <w:t>加强</w:t>
      </w:r>
      <w:r>
        <w:rPr>
          <w:rFonts w:hint="eastAsia" w:ascii="仿宋_GB2312" w:hAnsi="仿宋_GB2312" w:eastAsia="仿宋_GB2312" w:cs="仿宋_GB2312"/>
          <w:color w:val="auto"/>
          <w:sz w:val="32"/>
          <w:szCs w:val="32"/>
        </w:rPr>
        <w:t>对无组织排放废气进行收集、净化处理。</w:t>
      </w:r>
    </w:p>
    <w:p w14:paraId="089C39E3">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（三）选用低噪声设备，合理布设生产车间，对噪声源采取隔声、减振等措施，定期检修设备。</w:t>
      </w:r>
    </w:p>
    <w:p w14:paraId="0A6372C0">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rPr>
        <w:t>（四）废机油、废机油桶</w:t>
      </w:r>
      <w:r>
        <w:rPr>
          <w:rFonts w:hint="eastAsia" w:ascii="仿宋_GB2312" w:eastAsia="仿宋_GB2312"/>
          <w:color w:val="auto"/>
          <w:sz w:val="32"/>
          <w:szCs w:val="32"/>
          <w:lang w:eastAsia="zh-CN"/>
        </w:rPr>
        <w:t>、废</w:t>
      </w:r>
      <w:r>
        <w:rPr>
          <w:rFonts w:hint="eastAsia" w:ascii="仿宋_GB2312" w:eastAsia="仿宋_GB2312"/>
          <w:color w:val="auto"/>
          <w:sz w:val="32"/>
          <w:szCs w:val="32"/>
          <w:lang w:val="en-US" w:eastAsia="zh-CN"/>
        </w:rPr>
        <w:t>活性炭</w:t>
      </w:r>
      <w:r>
        <w:rPr>
          <w:rFonts w:hint="eastAsia" w:ascii="仿宋_GB2312" w:eastAsia="仿宋_GB2312"/>
          <w:color w:val="auto"/>
          <w:sz w:val="32"/>
          <w:szCs w:val="32"/>
          <w:lang w:eastAsia="zh-CN"/>
        </w:rPr>
        <w:t>、含油</w:t>
      </w:r>
      <w:r>
        <w:rPr>
          <w:rFonts w:hint="eastAsia" w:ascii="仿宋_GB2312" w:eastAsia="仿宋_GB2312"/>
          <w:color w:val="auto"/>
          <w:sz w:val="32"/>
          <w:szCs w:val="32"/>
          <w:lang w:val="en-US" w:eastAsia="zh-CN"/>
        </w:rPr>
        <w:t>废</w:t>
      </w:r>
      <w:r>
        <w:rPr>
          <w:rFonts w:hint="eastAsia" w:ascii="仿宋_GB2312" w:eastAsia="仿宋_GB2312"/>
          <w:color w:val="auto"/>
          <w:sz w:val="32"/>
          <w:szCs w:val="32"/>
          <w:lang w:eastAsia="zh-CN"/>
        </w:rPr>
        <w:t>抹布及手套</w:t>
      </w:r>
      <w:r>
        <w:rPr>
          <w:rFonts w:hint="eastAsia" w:ascii="仿宋_GB2312" w:eastAsia="仿宋_GB2312"/>
          <w:color w:val="auto"/>
          <w:sz w:val="32"/>
          <w:szCs w:val="32"/>
        </w:rPr>
        <w:t>等危险废物须设置符合《危险废物贮存污染控制标准》（GB18597-20</w:t>
      </w:r>
      <w:r>
        <w:rPr>
          <w:rFonts w:hint="eastAsia" w:ascii="仿宋_GB2312" w:eastAsia="仿宋_GB2312"/>
          <w:color w:val="auto"/>
          <w:sz w:val="32"/>
          <w:szCs w:val="32"/>
          <w:lang w:val="en-US" w:eastAsia="zh-CN"/>
        </w:rPr>
        <w:t>23</w:t>
      </w:r>
      <w:r>
        <w:rPr>
          <w:rFonts w:hint="eastAsia" w:ascii="仿宋_GB2312" w:eastAsia="仿宋_GB2312"/>
          <w:color w:val="auto"/>
          <w:sz w:val="32"/>
          <w:szCs w:val="32"/>
        </w:rPr>
        <w:t>）要求的专用贮存场所存放并委托具备危险废物处理资质的机构处理。</w:t>
      </w:r>
    </w:p>
    <w:p w14:paraId="73B05BF2">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四、该项目的性质、规模、地点、采用的生产工艺或者防治污染、防止生态破坏的措施发生重大变动的，你单位应当重新报批环境影响评价文件。</w:t>
      </w:r>
    </w:p>
    <w:p w14:paraId="6FF04D6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五</w:t>
      </w:r>
      <w:r>
        <w:rPr>
          <w:rFonts w:hint="eastAsia" w:ascii="仿宋_GB2312" w:eastAsia="仿宋_GB2312"/>
          <w:color w:val="auto"/>
          <w:sz w:val="32"/>
          <w:szCs w:val="32"/>
        </w:rPr>
        <w:t>、该项目建设应严格执行配套建设的环境保护设施与主体工程同时设计、同时施工、同时投产使用的环境保护“三同时”制度，具体要求如下：</w:t>
      </w:r>
    </w:p>
    <w:p w14:paraId="085CFB9D">
      <w:pPr>
        <w:keepNext w:val="0"/>
        <w:keepLines w:val="0"/>
        <w:pageBreakBefore w:val="0"/>
        <w:widowControl/>
        <w:tabs>
          <w:tab w:val="left" w:pos="1418"/>
        </w:tabs>
        <w:kinsoku/>
        <w:overflowPunct/>
        <w:topLinePunct w:val="0"/>
        <w:autoSpaceDE/>
        <w:autoSpaceDN/>
        <w:bidi w:val="0"/>
        <w:spacing w:line="560" w:lineRule="exact"/>
        <w:ind w:firstLine="640"/>
        <w:textAlignment w:val="auto"/>
        <w:rPr>
          <w:rFonts w:hint="eastAsia" w:ascii="仿宋_GB2312" w:eastAsia="仿宋_GB2312"/>
          <w:color w:val="auto"/>
          <w:sz w:val="32"/>
          <w:szCs w:val="32"/>
        </w:rPr>
      </w:pPr>
      <w:r>
        <w:rPr>
          <w:rFonts w:hint="eastAsia" w:ascii="仿宋_GB2312" w:eastAsia="仿宋_GB2312"/>
          <w:color w:val="auto"/>
          <w:sz w:val="32"/>
          <w:szCs w:val="32"/>
        </w:rPr>
        <w:t>（一）项目竣工后，你单位应按规定申请取得排污许可证或填报排污登记表，并按照规定的标准、程序和时限，对配套建设的环境保护设施进行验收，编制验收报告，依法向社会公开。</w:t>
      </w:r>
    </w:p>
    <w:p w14:paraId="49DAD142">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（二）项目配套建设的环境保护设施经验收合格后，方可投入生产或者使用。</w:t>
      </w:r>
    </w:p>
    <w:p w14:paraId="3564EFEA">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六</w:t>
      </w:r>
      <w:r>
        <w:rPr>
          <w:rFonts w:hint="eastAsia" w:ascii="仿宋_GB2312" w:eastAsia="仿宋_GB2312"/>
          <w:color w:val="auto"/>
          <w:sz w:val="32"/>
          <w:szCs w:val="32"/>
        </w:rPr>
        <w:t>、该项目建设和运行过程中如涉及规划、土地利用、建设、水务、消防、安全等问题，应遵照相关法律法规要求到相应的行政主管部门办理有关手续。</w:t>
      </w:r>
    </w:p>
    <w:p w14:paraId="1DEC4323">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val="en-US" w:eastAsia="zh-CN"/>
        </w:rPr>
        <w:t>七</w:t>
      </w:r>
      <w:r>
        <w:rPr>
          <w:rFonts w:hint="eastAsia" w:ascii="仿宋_GB2312" w:eastAsia="仿宋_GB2312"/>
          <w:color w:val="auto"/>
          <w:sz w:val="32"/>
          <w:szCs w:val="32"/>
        </w:rPr>
        <w:t>、</w:t>
      </w:r>
      <w:r>
        <w:rPr>
          <w:rFonts w:hint="eastAsia" w:ascii="仿宋_GB2312" w:hAnsi="仿宋" w:eastAsia="仿宋_GB2312"/>
          <w:color w:val="auto"/>
          <w:sz w:val="32"/>
        </w:rPr>
        <w:t>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0A04E27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p>
    <w:p w14:paraId="2799DFF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p>
    <w:p w14:paraId="60D15471">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7E90A0C7">
      <w:pPr>
        <w:keepNext w:val="0"/>
        <w:keepLines w:val="0"/>
        <w:pageBreakBefore w:val="0"/>
        <w:kinsoku/>
        <w:overflowPunct/>
        <w:topLinePunct w:val="0"/>
        <w:autoSpaceDE/>
        <w:autoSpaceDN/>
        <w:bidi w:val="0"/>
        <w:spacing w:line="560" w:lineRule="exact"/>
        <w:jc w:val="center"/>
        <w:textAlignment w:val="auto"/>
        <w:rPr>
          <w:rFonts w:ascii="仿宋_GB2312" w:eastAsia="仿宋_GB2312"/>
          <w:color w:val="auto"/>
          <w:sz w:val="32"/>
          <w:szCs w:val="32"/>
        </w:rPr>
      </w:pPr>
      <w:r>
        <w:rPr>
          <w:rFonts w:hint="eastAsia" w:ascii="仿宋_GB2312" w:eastAsia="仿宋_GB2312"/>
          <w:color w:val="auto"/>
          <w:sz w:val="32"/>
          <w:szCs w:val="32"/>
        </w:rPr>
        <w:t xml:space="preserve">                        广州市生态环境局</w:t>
      </w:r>
    </w:p>
    <w:p w14:paraId="7BC6E7C2">
      <w:pPr>
        <w:keepNext w:val="0"/>
        <w:keepLines w:val="0"/>
        <w:pageBreakBefore w:val="0"/>
        <w:kinsoku/>
        <w:overflowPunct/>
        <w:topLinePunct w:val="0"/>
        <w:autoSpaceDE/>
        <w:autoSpaceDN/>
        <w:bidi w:val="0"/>
        <w:spacing w:line="560" w:lineRule="exact"/>
        <w:ind w:right="4" w:rightChars="0" w:firstLine="5120" w:firstLineChars="1600"/>
        <w:textAlignment w:val="auto"/>
        <w:rPr>
          <w:rFonts w:ascii="仿宋_GB2312" w:eastAsia="仿宋_GB2312"/>
          <w:color w:val="auto"/>
          <w:sz w:val="32"/>
          <w:szCs w:val="32"/>
        </w:rPr>
      </w:pPr>
      <w:r>
        <w:rPr>
          <w:rFonts w:hint="eastAsia" w:ascii="仿宋_GB2312" w:eastAsia="仿宋_GB2312"/>
          <w:color w:val="auto"/>
          <w:sz w:val="32"/>
          <w:szCs w:val="32"/>
        </w:rPr>
        <w:t>20</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9</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日</w:t>
      </w:r>
    </w:p>
    <w:p w14:paraId="372AA674">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5BAB33CE">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46B541E">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C99B1C4">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2E672618">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2ADADE41">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61A373A0">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B5413A7">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326EB5F5">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0CCA8466">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r>
        <w:rPr>
          <w:rFonts w:hint="eastAsia" w:ascii="黑体" w:eastAsia="黑体"/>
          <w:color w:val="auto"/>
          <w:sz w:val="32"/>
          <w:szCs w:val="32"/>
        </w:rPr>
        <w:t>公开方式：</w:t>
      </w:r>
      <w:r>
        <w:rPr>
          <w:rFonts w:hint="eastAsia" w:ascii="仿宋_GB2312" w:eastAsia="仿宋_GB2312"/>
          <w:color w:val="auto"/>
          <w:sz w:val="32"/>
          <w:szCs w:val="32"/>
        </w:rPr>
        <w:t>主动公开</w:t>
      </w:r>
    </w:p>
    <w:p w14:paraId="22184C5B">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6452DAE3">
      <w:pPr>
        <w:keepNext w:val="0"/>
        <w:keepLines w:val="0"/>
        <w:pageBreakBefore w:val="0"/>
        <w:kinsoku/>
        <w:overflowPunct/>
        <w:topLinePunct w:val="0"/>
        <w:autoSpaceDE/>
        <w:autoSpaceDN/>
        <w:bidi w:val="0"/>
        <w:spacing w:line="560" w:lineRule="exact"/>
        <w:ind w:left="1133" w:leftChars="201" w:hanging="711" w:hangingChars="254"/>
        <w:textAlignment w:val="auto"/>
        <w:rPr>
          <w:rFonts w:ascii="仿宋_GB2312" w:eastAsia="仿宋_GB2312"/>
          <w:color w:val="auto"/>
          <w:sz w:val="28"/>
          <w:szCs w:val="28"/>
        </w:rPr>
      </w:pPr>
      <w:r>
        <w:rPr>
          <w:rFonts w:hint="eastAsia" w:ascii="仿宋_GB2312" w:eastAsia="仿宋_GB2312"/>
          <w:color w:val="auto"/>
          <w:sz w:val="28"/>
          <w:szCs w:val="28"/>
        </w:rPr>
        <w:t>抄送：广州市生态环境局番禺分局执法</w:t>
      </w:r>
      <w:r>
        <w:rPr>
          <w:rFonts w:hint="eastAsia" w:ascii="仿宋_GB2312" w:eastAsia="仿宋_GB2312"/>
          <w:color w:val="auto"/>
          <w:sz w:val="32"/>
          <w:szCs w:val="32"/>
          <w:lang w:val="en-US" w:eastAsia="zh-CN"/>
        </w:rPr>
        <w:t>二科</w:t>
      </w:r>
      <w:r>
        <w:rPr>
          <w:rFonts w:hint="eastAsia" w:ascii="仿宋_GB2312" w:eastAsia="仿宋_GB2312"/>
          <w:color w:val="auto"/>
          <w:sz w:val="28"/>
          <w:szCs w:val="28"/>
        </w:rPr>
        <w:t>、</w:t>
      </w:r>
      <w:r>
        <w:rPr>
          <w:rFonts w:hint="eastAsia" w:ascii="仿宋_GB2312" w:eastAsia="仿宋_GB2312"/>
          <w:color w:val="auto"/>
          <w:sz w:val="28"/>
          <w:szCs w:val="28"/>
          <w:lang w:eastAsia="zh-CN"/>
        </w:rPr>
        <w:t>番禺</w:t>
      </w:r>
      <w:r>
        <w:rPr>
          <w:rFonts w:hint="eastAsia" w:ascii="仿宋_GB2312" w:eastAsia="仿宋_GB2312"/>
          <w:color w:val="auto"/>
          <w:sz w:val="28"/>
          <w:szCs w:val="28"/>
        </w:rPr>
        <w:t>第</w:t>
      </w:r>
      <w:r>
        <w:rPr>
          <w:rFonts w:hint="eastAsia" w:ascii="仿宋_GB2312" w:eastAsia="仿宋_GB2312"/>
          <w:color w:val="auto"/>
          <w:sz w:val="32"/>
          <w:szCs w:val="32"/>
          <w:lang w:val="en-US" w:eastAsia="zh-CN"/>
        </w:rPr>
        <w:t>五</w:t>
      </w:r>
      <w:r>
        <w:rPr>
          <w:rFonts w:hint="eastAsia" w:ascii="仿宋_GB2312" w:eastAsia="仿宋_GB2312"/>
          <w:color w:val="auto"/>
          <w:sz w:val="28"/>
          <w:szCs w:val="28"/>
        </w:rPr>
        <w:t>环保所，广州颐景环保科技有限公司。</w:t>
      </w:r>
    </w:p>
    <w:sectPr>
      <w:footerReference r:id="rId3" w:type="default"/>
      <w:footerReference r:id="rId4" w:type="even"/>
      <w:pgSz w:w="11906" w:h="16838"/>
      <w:pgMar w:top="1588" w:right="1474" w:bottom="1134" w:left="1588" w:header="851" w:footer="624" w:gutter="0"/>
      <w:cols w:space="425"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公文小标宋简">
    <w:panose1 w:val="02010609010101010101"/>
    <w:charset w:val="86"/>
    <w:family w:val="moder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82500">
    <w:pPr>
      <w:pStyle w:val="4"/>
      <w:framePr w:wrap="around" w:vAnchor="text" w:hAnchor="margin" w:xAlign="outside" w:y="1"/>
      <w:rPr>
        <w:rStyle w:val="9"/>
        <w:rFonts w:ascii="宋体" w:hAnsi="宋体"/>
        <w:sz w:val="28"/>
        <w:szCs w:val="28"/>
      </w:rPr>
    </w:pPr>
    <w:r>
      <w:rPr>
        <w:rStyle w:val="9"/>
        <w:rFonts w:hint="eastAsia" w:ascii="宋体" w:hAnsi="宋体"/>
        <w:sz w:val="28"/>
        <w:szCs w:val="28"/>
      </w:rPr>
      <w:t xml:space="preserve">— </w:t>
    </w: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3</w:t>
    </w:r>
    <w:r>
      <w:rPr>
        <w:rStyle w:val="9"/>
        <w:rFonts w:ascii="宋体" w:hAnsi="宋体"/>
        <w:sz w:val="28"/>
        <w:szCs w:val="28"/>
      </w:rPr>
      <w:fldChar w:fldCharType="end"/>
    </w:r>
    <w:r>
      <w:rPr>
        <w:rStyle w:val="9"/>
        <w:rFonts w:hint="eastAsia" w:ascii="宋体" w:hAnsi="宋体"/>
        <w:sz w:val="28"/>
        <w:szCs w:val="28"/>
      </w:rPr>
      <w:t xml:space="preserve"> —</w:t>
    </w:r>
  </w:p>
  <w:p w14:paraId="2C3B46C2">
    <w:pPr>
      <w:pStyle w:val="4"/>
      <w:ind w:right="360" w:firstLine="360"/>
      <w:jc w:val="center"/>
      <w:rPr>
        <w:rFonts w:ascii="Times New Roman" w:hAnsi="Times New Roman"/>
        <w:sz w:val="28"/>
        <w:szCs w:val="28"/>
      </w:rPr>
    </w:pPr>
  </w:p>
  <w:p w14:paraId="1F0202FA">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CDDBE">
    <w:pPr>
      <w:pStyle w:val="4"/>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14:paraId="75A86EC9">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documentProtection w:enforcement="0"/>
  <w:defaultTabStop w:val="420"/>
  <w:drawingGridHorizontalSpacing w:val="158"/>
  <w:drawingGridVerticalSpacing w:val="61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2ZGFmMGVmYWFiODk5YTFiNTc2ZWNlODI1MTcyOTMifQ=="/>
  </w:docVars>
  <w:rsids>
    <w:rsidRoot w:val="000F2DCB"/>
    <w:rsid w:val="00001C85"/>
    <w:rsid w:val="00003EFB"/>
    <w:rsid w:val="00047670"/>
    <w:rsid w:val="00067C13"/>
    <w:rsid w:val="00082A5C"/>
    <w:rsid w:val="000832FD"/>
    <w:rsid w:val="000852F9"/>
    <w:rsid w:val="00090CE7"/>
    <w:rsid w:val="00097289"/>
    <w:rsid w:val="000A03AB"/>
    <w:rsid w:val="000B070F"/>
    <w:rsid w:val="000C18A8"/>
    <w:rsid w:val="000C301C"/>
    <w:rsid w:val="000C3889"/>
    <w:rsid w:val="000C3ADC"/>
    <w:rsid w:val="000C3CB8"/>
    <w:rsid w:val="000D6A43"/>
    <w:rsid w:val="000F2DCB"/>
    <w:rsid w:val="00104C9C"/>
    <w:rsid w:val="0012593F"/>
    <w:rsid w:val="00145974"/>
    <w:rsid w:val="00163612"/>
    <w:rsid w:val="00173803"/>
    <w:rsid w:val="00185235"/>
    <w:rsid w:val="001C347F"/>
    <w:rsid w:val="001E17DB"/>
    <w:rsid w:val="001F12B9"/>
    <w:rsid w:val="001F60AA"/>
    <w:rsid w:val="001F7ECF"/>
    <w:rsid w:val="00207F01"/>
    <w:rsid w:val="00212861"/>
    <w:rsid w:val="00212DD9"/>
    <w:rsid w:val="00214473"/>
    <w:rsid w:val="00225893"/>
    <w:rsid w:val="002513F3"/>
    <w:rsid w:val="0027017E"/>
    <w:rsid w:val="0027079B"/>
    <w:rsid w:val="00283EC7"/>
    <w:rsid w:val="002840F5"/>
    <w:rsid w:val="00290A95"/>
    <w:rsid w:val="002915FD"/>
    <w:rsid w:val="002A78A2"/>
    <w:rsid w:val="002B3756"/>
    <w:rsid w:val="002C0C0E"/>
    <w:rsid w:val="002C13BB"/>
    <w:rsid w:val="002D01F1"/>
    <w:rsid w:val="002D6E72"/>
    <w:rsid w:val="002D73CB"/>
    <w:rsid w:val="002F222A"/>
    <w:rsid w:val="003016C4"/>
    <w:rsid w:val="00310275"/>
    <w:rsid w:val="00323D70"/>
    <w:rsid w:val="003275AA"/>
    <w:rsid w:val="00334F3A"/>
    <w:rsid w:val="0035299E"/>
    <w:rsid w:val="003551D8"/>
    <w:rsid w:val="003804CF"/>
    <w:rsid w:val="00396136"/>
    <w:rsid w:val="003A396F"/>
    <w:rsid w:val="003D6927"/>
    <w:rsid w:val="003E6957"/>
    <w:rsid w:val="003F0936"/>
    <w:rsid w:val="003F0E80"/>
    <w:rsid w:val="003F1D2D"/>
    <w:rsid w:val="0042675C"/>
    <w:rsid w:val="004366AD"/>
    <w:rsid w:val="00436E68"/>
    <w:rsid w:val="004422C8"/>
    <w:rsid w:val="00446DB5"/>
    <w:rsid w:val="00464587"/>
    <w:rsid w:val="00466E9D"/>
    <w:rsid w:val="0047490D"/>
    <w:rsid w:val="004A38CF"/>
    <w:rsid w:val="004A62BA"/>
    <w:rsid w:val="004B3994"/>
    <w:rsid w:val="004B3A73"/>
    <w:rsid w:val="004C5EFD"/>
    <w:rsid w:val="004C6230"/>
    <w:rsid w:val="004D0859"/>
    <w:rsid w:val="004D4458"/>
    <w:rsid w:val="004D586D"/>
    <w:rsid w:val="004E13C9"/>
    <w:rsid w:val="004E567A"/>
    <w:rsid w:val="00501F40"/>
    <w:rsid w:val="00511456"/>
    <w:rsid w:val="00521A96"/>
    <w:rsid w:val="00527C59"/>
    <w:rsid w:val="0053095F"/>
    <w:rsid w:val="0053590B"/>
    <w:rsid w:val="00562DAC"/>
    <w:rsid w:val="00564EB8"/>
    <w:rsid w:val="0059052A"/>
    <w:rsid w:val="005A149B"/>
    <w:rsid w:val="005B12AD"/>
    <w:rsid w:val="005B60C8"/>
    <w:rsid w:val="005B6D04"/>
    <w:rsid w:val="005C24D6"/>
    <w:rsid w:val="005C69AB"/>
    <w:rsid w:val="005D060E"/>
    <w:rsid w:val="005E3B4A"/>
    <w:rsid w:val="005E49C1"/>
    <w:rsid w:val="005F76D5"/>
    <w:rsid w:val="0062245C"/>
    <w:rsid w:val="00635EAB"/>
    <w:rsid w:val="00640DE7"/>
    <w:rsid w:val="00641192"/>
    <w:rsid w:val="006576FA"/>
    <w:rsid w:val="00677228"/>
    <w:rsid w:val="00693BD5"/>
    <w:rsid w:val="006A28F5"/>
    <w:rsid w:val="006A6965"/>
    <w:rsid w:val="006B2BAD"/>
    <w:rsid w:val="006D0170"/>
    <w:rsid w:val="006D7C57"/>
    <w:rsid w:val="006E5889"/>
    <w:rsid w:val="006F049D"/>
    <w:rsid w:val="006F15BA"/>
    <w:rsid w:val="006F18AD"/>
    <w:rsid w:val="006F29B5"/>
    <w:rsid w:val="00707832"/>
    <w:rsid w:val="007158E4"/>
    <w:rsid w:val="00716C4E"/>
    <w:rsid w:val="00730C65"/>
    <w:rsid w:val="00740ADC"/>
    <w:rsid w:val="007443DC"/>
    <w:rsid w:val="00750DBF"/>
    <w:rsid w:val="00753DD4"/>
    <w:rsid w:val="00753DDF"/>
    <w:rsid w:val="0077498B"/>
    <w:rsid w:val="007847A3"/>
    <w:rsid w:val="00786866"/>
    <w:rsid w:val="007B29D0"/>
    <w:rsid w:val="007B438D"/>
    <w:rsid w:val="007B5088"/>
    <w:rsid w:val="007C55F7"/>
    <w:rsid w:val="007C5CB3"/>
    <w:rsid w:val="00802F15"/>
    <w:rsid w:val="008170AC"/>
    <w:rsid w:val="008372CA"/>
    <w:rsid w:val="00860EEE"/>
    <w:rsid w:val="00884916"/>
    <w:rsid w:val="008865F4"/>
    <w:rsid w:val="0089220A"/>
    <w:rsid w:val="0089687C"/>
    <w:rsid w:val="008B3E8D"/>
    <w:rsid w:val="008C31B7"/>
    <w:rsid w:val="008D16D3"/>
    <w:rsid w:val="008D701C"/>
    <w:rsid w:val="008E07FB"/>
    <w:rsid w:val="008F580D"/>
    <w:rsid w:val="00902C55"/>
    <w:rsid w:val="00932FC7"/>
    <w:rsid w:val="0093611D"/>
    <w:rsid w:val="009473C5"/>
    <w:rsid w:val="009544A8"/>
    <w:rsid w:val="0096566C"/>
    <w:rsid w:val="00970837"/>
    <w:rsid w:val="00972A29"/>
    <w:rsid w:val="00974E8C"/>
    <w:rsid w:val="009A3DB2"/>
    <w:rsid w:val="009B21A4"/>
    <w:rsid w:val="009C5976"/>
    <w:rsid w:val="009C5EB5"/>
    <w:rsid w:val="009C790D"/>
    <w:rsid w:val="009D272F"/>
    <w:rsid w:val="009D34AC"/>
    <w:rsid w:val="009E0D72"/>
    <w:rsid w:val="009E1AD4"/>
    <w:rsid w:val="00A262B0"/>
    <w:rsid w:val="00A36142"/>
    <w:rsid w:val="00A40AFA"/>
    <w:rsid w:val="00A56A9B"/>
    <w:rsid w:val="00AC34E1"/>
    <w:rsid w:val="00AC648A"/>
    <w:rsid w:val="00AC7BAA"/>
    <w:rsid w:val="00AD33EF"/>
    <w:rsid w:val="00AE0762"/>
    <w:rsid w:val="00AE5E03"/>
    <w:rsid w:val="00AF7F2C"/>
    <w:rsid w:val="00AF7F99"/>
    <w:rsid w:val="00B10676"/>
    <w:rsid w:val="00B15884"/>
    <w:rsid w:val="00B30042"/>
    <w:rsid w:val="00B31FB2"/>
    <w:rsid w:val="00B42B25"/>
    <w:rsid w:val="00B45736"/>
    <w:rsid w:val="00B5742B"/>
    <w:rsid w:val="00B71F4F"/>
    <w:rsid w:val="00B805AF"/>
    <w:rsid w:val="00B837BD"/>
    <w:rsid w:val="00B95160"/>
    <w:rsid w:val="00B95EC7"/>
    <w:rsid w:val="00BA78FA"/>
    <w:rsid w:val="00BB16F4"/>
    <w:rsid w:val="00BB1A3F"/>
    <w:rsid w:val="00BB1C8A"/>
    <w:rsid w:val="00BB73EF"/>
    <w:rsid w:val="00BD014D"/>
    <w:rsid w:val="00C013B9"/>
    <w:rsid w:val="00C046AB"/>
    <w:rsid w:val="00C12A22"/>
    <w:rsid w:val="00C1575A"/>
    <w:rsid w:val="00C2000C"/>
    <w:rsid w:val="00C25D4D"/>
    <w:rsid w:val="00C331EC"/>
    <w:rsid w:val="00C35028"/>
    <w:rsid w:val="00C41EC5"/>
    <w:rsid w:val="00C45C92"/>
    <w:rsid w:val="00C47559"/>
    <w:rsid w:val="00C50129"/>
    <w:rsid w:val="00C577CF"/>
    <w:rsid w:val="00C61143"/>
    <w:rsid w:val="00C61368"/>
    <w:rsid w:val="00C76BD4"/>
    <w:rsid w:val="00C850D2"/>
    <w:rsid w:val="00CC469B"/>
    <w:rsid w:val="00CC70BC"/>
    <w:rsid w:val="00CD225F"/>
    <w:rsid w:val="00CD3097"/>
    <w:rsid w:val="00CD5ECF"/>
    <w:rsid w:val="00CF1B16"/>
    <w:rsid w:val="00D01DA0"/>
    <w:rsid w:val="00D02618"/>
    <w:rsid w:val="00D0455B"/>
    <w:rsid w:val="00D205FC"/>
    <w:rsid w:val="00D37BB0"/>
    <w:rsid w:val="00D44326"/>
    <w:rsid w:val="00D55BFA"/>
    <w:rsid w:val="00D70C73"/>
    <w:rsid w:val="00D74A06"/>
    <w:rsid w:val="00D75AAE"/>
    <w:rsid w:val="00D76AC3"/>
    <w:rsid w:val="00D8050D"/>
    <w:rsid w:val="00D87223"/>
    <w:rsid w:val="00DA096B"/>
    <w:rsid w:val="00DB438D"/>
    <w:rsid w:val="00DD3F0C"/>
    <w:rsid w:val="00DF26FF"/>
    <w:rsid w:val="00DF7771"/>
    <w:rsid w:val="00E06F40"/>
    <w:rsid w:val="00E16205"/>
    <w:rsid w:val="00E23AD5"/>
    <w:rsid w:val="00E44B98"/>
    <w:rsid w:val="00E52C18"/>
    <w:rsid w:val="00E9508B"/>
    <w:rsid w:val="00E95F22"/>
    <w:rsid w:val="00EA1AB8"/>
    <w:rsid w:val="00EB0FC1"/>
    <w:rsid w:val="00EC4EBA"/>
    <w:rsid w:val="00ED3E23"/>
    <w:rsid w:val="00ED426B"/>
    <w:rsid w:val="00ED656B"/>
    <w:rsid w:val="00EE0C36"/>
    <w:rsid w:val="00EE5C65"/>
    <w:rsid w:val="00EE5F9D"/>
    <w:rsid w:val="00F02188"/>
    <w:rsid w:val="00F02F63"/>
    <w:rsid w:val="00F05A97"/>
    <w:rsid w:val="00F1261C"/>
    <w:rsid w:val="00F27B34"/>
    <w:rsid w:val="00F8191D"/>
    <w:rsid w:val="00FA4830"/>
    <w:rsid w:val="00FB1867"/>
    <w:rsid w:val="00FB5B94"/>
    <w:rsid w:val="00FC49F0"/>
    <w:rsid w:val="00FD7864"/>
    <w:rsid w:val="00FF05C9"/>
    <w:rsid w:val="00FF121F"/>
    <w:rsid w:val="020C3600"/>
    <w:rsid w:val="02EC2D8F"/>
    <w:rsid w:val="0316501C"/>
    <w:rsid w:val="035F3318"/>
    <w:rsid w:val="039E0DF7"/>
    <w:rsid w:val="04F0022B"/>
    <w:rsid w:val="05BF1B7D"/>
    <w:rsid w:val="068948CB"/>
    <w:rsid w:val="07616607"/>
    <w:rsid w:val="083C20B8"/>
    <w:rsid w:val="091574A4"/>
    <w:rsid w:val="0A943317"/>
    <w:rsid w:val="0AB6351E"/>
    <w:rsid w:val="0AEE277F"/>
    <w:rsid w:val="0B1F3303"/>
    <w:rsid w:val="0C7516B2"/>
    <w:rsid w:val="0C807692"/>
    <w:rsid w:val="0DE36B99"/>
    <w:rsid w:val="0E0B63D0"/>
    <w:rsid w:val="0E3B3C64"/>
    <w:rsid w:val="0F0A6D3C"/>
    <w:rsid w:val="0F611949"/>
    <w:rsid w:val="0FD72C0C"/>
    <w:rsid w:val="103E38B5"/>
    <w:rsid w:val="10BF38FB"/>
    <w:rsid w:val="10E93D4E"/>
    <w:rsid w:val="11B62D57"/>
    <w:rsid w:val="12737E91"/>
    <w:rsid w:val="12DA5DA1"/>
    <w:rsid w:val="12E3158A"/>
    <w:rsid w:val="13195F6A"/>
    <w:rsid w:val="1549557C"/>
    <w:rsid w:val="157D650A"/>
    <w:rsid w:val="15A25C0B"/>
    <w:rsid w:val="16A128C5"/>
    <w:rsid w:val="184B5B81"/>
    <w:rsid w:val="19AF0CB4"/>
    <w:rsid w:val="19F023A6"/>
    <w:rsid w:val="1BC528C4"/>
    <w:rsid w:val="1C1945A6"/>
    <w:rsid w:val="1D4266B3"/>
    <w:rsid w:val="1E537B54"/>
    <w:rsid w:val="1F3F7351"/>
    <w:rsid w:val="1F4D7EC7"/>
    <w:rsid w:val="20CF4E76"/>
    <w:rsid w:val="212565D5"/>
    <w:rsid w:val="21BD5166"/>
    <w:rsid w:val="221365B8"/>
    <w:rsid w:val="226A3577"/>
    <w:rsid w:val="22DA593E"/>
    <w:rsid w:val="23241352"/>
    <w:rsid w:val="23912ACD"/>
    <w:rsid w:val="246C2851"/>
    <w:rsid w:val="24E06F8D"/>
    <w:rsid w:val="2537321F"/>
    <w:rsid w:val="26850942"/>
    <w:rsid w:val="26B164C1"/>
    <w:rsid w:val="27987506"/>
    <w:rsid w:val="288E5F3F"/>
    <w:rsid w:val="28AE5DA0"/>
    <w:rsid w:val="2A175959"/>
    <w:rsid w:val="2B6910C5"/>
    <w:rsid w:val="2D4B705C"/>
    <w:rsid w:val="2D6A3A3F"/>
    <w:rsid w:val="2DCC08AF"/>
    <w:rsid w:val="2DFD4901"/>
    <w:rsid w:val="2E182F2D"/>
    <w:rsid w:val="2E9B7C83"/>
    <w:rsid w:val="2ECA65D4"/>
    <w:rsid w:val="2EE338FA"/>
    <w:rsid w:val="30357A24"/>
    <w:rsid w:val="307C5365"/>
    <w:rsid w:val="30A22B85"/>
    <w:rsid w:val="34034262"/>
    <w:rsid w:val="34A100EE"/>
    <w:rsid w:val="35D37D9D"/>
    <w:rsid w:val="36C83AF0"/>
    <w:rsid w:val="36DC47B5"/>
    <w:rsid w:val="37977641"/>
    <w:rsid w:val="385C6105"/>
    <w:rsid w:val="38EB77CC"/>
    <w:rsid w:val="3A1D0EF5"/>
    <w:rsid w:val="3AA44A54"/>
    <w:rsid w:val="3AE822E0"/>
    <w:rsid w:val="3B617677"/>
    <w:rsid w:val="3B8678B6"/>
    <w:rsid w:val="3B9C3FD8"/>
    <w:rsid w:val="3C8B0C00"/>
    <w:rsid w:val="3CC73AC6"/>
    <w:rsid w:val="3CC7607D"/>
    <w:rsid w:val="3CCA53AD"/>
    <w:rsid w:val="3CF81873"/>
    <w:rsid w:val="3D1E66D3"/>
    <w:rsid w:val="3DF84757"/>
    <w:rsid w:val="3DFC60C1"/>
    <w:rsid w:val="3EEA5570"/>
    <w:rsid w:val="3F2D1CB6"/>
    <w:rsid w:val="3FD1113F"/>
    <w:rsid w:val="41171C7F"/>
    <w:rsid w:val="418E5F9D"/>
    <w:rsid w:val="42BF1B92"/>
    <w:rsid w:val="43D755DA"/>
    <w:rsid w:val="43F25407"/>
    <w:rsid w:val="440875AB"/>
    <w:rsid w:val="450F1F75"/>
    <w:rsid w:val="453C3F01"/>
    <w:rsid w:val="45520847"/>
    <w:rsid w:val="45E73322"/>
    <w:rsid w:val="49383A30"/>
    <w:rsid w:val="494A394A"/>
    <w:rsid w:val="4AE22D88"/>
    <w:rsid w:val="4B621286"/>
    <w:rsid w:val="4CDB6B18"/>
    <w:rsid w:val="4D1D2609"/>
    <w:rsid w:val="4D8971C2"/>
    <w:rsid w:val="4E305A20"/>
    <w:rsid w:val="4EB11A7C"/>
    <w:rsid w:val="4EE6167D"/>
    <w:rsid w:val="4F136CC9"/>
    <w:rsid w:val="4F586ABA"/>
    <w:rsid w:val="4F9C166D"/>
    <w:rsid w:val="530C784E"/>
    <w:rsid w:val="53406164"/>
    <w:rsid w:val="53774CFF"/>
    <w:rsid w:val="53DE59A8"/>
    <w:rsid w:val="553B58E4"/>
    <w:rsid w:val="55AA541C"/>
    <w:rsid w:val="567E16A6"/>
    <w:rsid w:val="5728768E"/>
    <w:rsid w:val="57E809C6"/>
    <w:rsid w:val="58272CFA"/>
    <w:rsid w:val="58A00174"/>
    <w:rsid w:val="5906339C"/>
    <w:rsid w:val="596879A6"/>
    <w:rsid w:val="59F57B8E"/>
    <w:rsid w:val="5ADA0B1D"/>
    <w:rsid w:val="5B7E4A72"/>
    <w:rsid w:val="5D6C6AD3"/>
    <w:rsid w:val="5E811B87"/>
    <w:rsid w:val="5EB016E9"/>
    <w:rsid w:val="5FF25578"/>
    <w:rsid w:val="609E0F14"/>
    <w:rsid w:val="614E41B0"/>
    <w:rsid w:val="62973EAF"/>
    <w:rsid w:val="62BE08BB"/>
    <w:rsid w:val="631E222D"/>
    <w:rsid w:val="63890CAA"/>
    <w:rsid w:val="64A70A2F"/>
    <w:rsid w:val="654F3592"/>
    <w:rsid w:val="658835A0"/>
    <w:rsid w:val="65D2271B"/>
    <w:rsid w:val="66D37837"/>
    <w:rsid w:val="670A7A3E"/>
    <w:rsid w:val="679E2C8B"/>
    <w:rsid w:val="69EF3DF1"/>
    <w:rsid w:val="6B2F71CC"/>
    <w:rsid w:val="6CF83D02"/>
    <w:rsid w:val="6D7C272C"/>
    <w:rsid w:val="6D8B22BF"/>
    <w:rsid w:val="6EF51F98"/>
    <w:rsid w:val="6F034B31"/>
    <w:rsid w:val="6F6C545A"/>
    <w:rsid w:val="6F766087"/>
    <w:rsid w:val="70340726"/>
    <w:rsid w:val="716A2D22"/>
    <w:rsid w:val="73006EB1"/>
    <w:rsid w:val="73417714"/>
    <w:rsid w:val="7431442E"/>
    <w:rsid w:val="747D1147"/>
    <w:rsid w:val="75DD1EEC"/>
    <w:rsid w:val="762C5749"/>
    <w:rsid w:val="765C5FCF"/>
    <w:rsid w:val="7787407A"/>
    <w:rsid w:val="77A5337F"/>
    <w:rsid w:val="77D05B9F"/>
    <w:rsid w:val="780A11FC"/>
    <w:rsid w:val="781B07A0"/>
    <w:rsid w:val="78824C27"/>
    <w:rsid w:val="79442D41"/>
    <w:rsid w:val="7B331FDF"/>
    <w:rsid w:val="7B5B3EF1"/>
    <w:rsid w:val="7B880FE4"/>
    <w:rsid w:val="7BA515D0"/>
    <w:rsid w:val="7C2E2674"/>
    <w:rsid w:val="7CB3343B"/>
    <w:rsid w:val="7E4F6A23"/>
    <w:rsid w:val="7EC00980"/>
    <w:rsid w:val="7EEC2AC9"/>
    <w:rsid w:val="7F2467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page number"/>
    <w:basedOn w:val="8"/>
    <w:qFormat/>
    <w:uiPriority w:val="0"/>
  </w:style>
  <w:style w:type="character" w:styleId="10">
    <w:name w:val="annotation reference"/>
    <w:basedOn w:val="8"/>
    <w:semiHidden/>
    <w:unhideWhenUsed/>
    <w:qFormat/>
    <w:uiPriority w:val="99"/>
    <w:rPr>
      <w:sz w:val="21"/>
      <w:szCs w:val="21"/>
    </w:rPr>
  </w:style>
  <w:style w:type="character" w:customStyle="1" w:styleId="11">
    <w:name w:val="页眉 Char"/>
    <w:basedOn w:val="8"/>
    <w:link w:val="5"/>
    <w:semiHidden/>
    <w:qFormat/>
    <w:uiPriority w:val="99"/>
    <w:rPr>
      <w:kern w:val="2"/>
      <w:sz w:val="18"/>
      <w:szCs w:val="18"/>
    </w:rPr>
  </w:style>
  <w:style w:type="character" w:customStyle="1" w:styleId="12">
    <w:name w:val="页脚 Char"/>
    <w:basedOn w:val="8"/>
    <w:link w:val="4"/>
    <w:qFormat/>
    <w:uiPriority w:val="99"/>
    <w:rPr>
      <w:kern w:val="2"/>
      <w:sz w:val="18"/>
      <w:szCs w:val="18"/>
    </w:rPr>
  </w:style>
  <w:style w:type="paragraph" w:customStyle="1" w:styleId="13">
    <w:name w:val="Char1"/>
    <w:basedOn w:val="1"/>
    <w:qFormat/>
    <w:uiPriority w:val="0"/>
    <w:pPr>
      <w:tabs>
        <w:tab w:val="left" w:pos="840"/>
      </w:tabs>
      <w:ind w:left="840" w:hanging="420"/>
    </w:pPr>
    <w:rPr>
      <w:rFonts w:ascii="Times New Roman" w:hAnsi="Times New Roman"/>
      <w:sz w:val="24"/>
      <w:szCs w:val="24"/>
    </w:rPr>
  </w:style>
  <w:style w:type="character" w:customStyle="1" w:styleId="14">
    <w:name w:val="批注文字 Char"/>
    <w:basedOn w:val="8"/>
    <w:link w:val="2"/>
    <w:semiHidden/>
    <w:qFormat/>
    <w:uiPriority w:val="99"/>
    <w:rPr>
      <w:kern w:val="2"/>
      <w:sz w:val="21"/>
      <w:szCs w:val="22"/>
    </w:rPr>
  </w:style>
  <w:style w:type="character" w:customStyle="1" w:styleId="15">
    <w:name w:val="批注主题 Char"/>
    <w:basedOn w:val="14"/>
    <w:link w:val="6"/>
    <w:semiHidden/>
    <w:qFormat/>
    <w:uiPriority w:val="99"/>
    <w:rPr>
      <w:b/>
      <w:bCs/>
    </w:rPr>
  </w:style>
  <w:style w:type="character" w:customStyle="1" w:styleId="16">
    <w:name w:val="批注框文本 Char"/>
    <w:basedOn w:val="8"/>
    <w:link w:val="3"/>
    <w:semiHidden/>
    <w:qFormat/>
    <w:uiPriority w:val="99"/>
    <w:rPr>
      <w:kern w:val="2"/>
      <w:sz w:val="18"/>
      <w:szCs w:val="18"/>
    </w:rPr>
  </w:style>
  <w:style w:type="paragraph" w:customStyle="1" w:styleId="17">
    <w:name w:val="Revision"/>
    <w:hidden/>
    <w:semiHidden/>
    <w:qFormat/>
    <w:uiPriority w:val="99"/>
    <w:rPr>
      <w:rFonts w:ascii="Calibri" w:hAnsi="Calibri" w:eastAsia="宋体" w:cs="Times New Roman"/>
      <w:kern w:val="2"/>
      <w:sz w:val="21"/>
      <w:szCs w:val="22"/>
      <w:lang w:val="en-US" w:eastAsia="zh-CN" w:bidi="ar-SA"/>
    </w:rPr>
  </w:style>
  <w:style w:type="paragraph" w:customStyle="1" w:styleId="18">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T:\xxy\&#38634;&#33721;\0.&#29615;&#35780;&#30005;&#23376;&#23457;&#26597;\2.&#29615;&#35780;&#23457;&#25209;\00%20%20&#25209;&#22797;&#12289;&#21576;&#25209;&#34920;&#27169;&#26495;\&#12304;&#29615;&#35780;&#25209;&#22797;&#27169;&#26495;&#12305;&#29615;&#35780;&#25253;&#21578;&#34920;&#65288;2017&#24180;&#29256;&#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0880F-0172-4367-9D41-5B93968F3B74}">
  <ds:schemaRefs/>
</ds:datastoreItem>
</file>

<file path=docProps/app.xml><?xml version="1.0" encoding="utf-8"?>
<Properties xmlns="http://schemas.openxmlformats.org/officeDocument/2006/extended-properties" xmlns:vt="http://schemas.openxmlformats.org/officeDocument/2006/docPropsVTypes">
  <Template>【环评批复模板】环评报告表（2017年版）.dot</Template>
  <Company>Bureau of Environment Protection</Company>
  <Pages>4</Pages>
  <Words>1740</Words>
  <Characters>1912</Characters>
  <Lines>19</Lines>
  <Paragraphs>5</Paragraphs>
  <TotalTime>64</TotalTime>
  <ScaleCrop>false</ScaleCrop>
  <LinksUpToDate>false</LinksUpToDate>
  <CharactersWithSpaces>1976</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2019-11-22T08:14:00Z</dcterms:created>
  <dc:creator>Panyu EPB</dc:creator>
  <cp:lastModifiedBy>Sherry</cp:lastModifiedBy>
  <cp:lastPrinted>2012-12-06T03:13:00Z</cp:lastPrinted>
  <dcterms:modified xsi:type="dcterms:W3CDTF">2025-09-08T02:45:01Z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ined">
    <vt:bool>true</vt:bool>
  </property>
  <property fmtid="{D5CDD505-2E9C-101B-9397-08002B2CF9AE}" pid="3" name="KSOProductBuildVer">
    <vt:lpwstr>2052-12.8.2.18606</vt:lpwstr>
  </property>
  <property fmtid="{D5CDD505-2E9C-101B-9397-08002B2CF9AE}" pid="4" name="ICV">
    <vt:lpwstr>AE0B2E82DD1E46FDAFE1C19DB134BCBB_13</vt:lpwstr>
  </property>
  <property fmtid="{D5CDD505-2E9C-101B-9397-08002B2CF9AE}" pid="5" name="KSOTemplateDocerSaveRecord">
    <vt:lpwstr>eyJoZGlkIjoiZTk3OTI2Y2Y4NTVhMDE4ZDI0NmQ3YmQxYzcwODhjOTYiLCJ1c2VySWQiOiIxMjEwNzk5MTAifQ==</vt:lpwstr>
  </property>
</Properties>
</file>