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122</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10EDF2BA">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广州市生态环境局关于广州思普柠塑胶制品</w:t>
      </w:r>
    </w:p>
    <w:p w14:paraId="41EAC2FA">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有限公司年产空调壳体405300套迁改</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扩建项目环境影响报告表的批复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广州思普柠塑胶制品有限公司（91440101MA9Y5N1HXH）：</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你单位报送的《广州思普柠塑胶制品有限公司年产空调壳体405300套迁改扩建项目环境影响报告表》（以下简称《报告表》）及附送资料收悉。经研究，现批复如下：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一、广州思普柠塑胶制品有限公司年产空调壳体405300套迁改扩建项目（以下简称“该项目”）位于广州市番禺区石楼镇浮莲路128号内厂房16、17、18栋，申报内容为从事空调壳体生产</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年产空调壳体405300套、注塑模具16.5吨</w:t>
      </w:r>
      <w:r>
        <w:rPr>
          <w:rFonts w:hint="eastAsia" w:ascii="仿宋_GB2312" w:eastAsia="仿宋_GB2312"/>
          <w:color w:val="auto"/>
          <w:sz w:val="32"/>
          <w:szCs w:val="32"/>
        </w:rPr>
        <w:t>。该项目占地面积4818平方米，总建筑面积4696平方米，</w:t>
      </w:r>
      <w:r>
        <w:rPr>
          <w:rFonts w:hint="eastAsia" w:ascii="仿宋_GB2312" w:eastAsia="仿宋_GB2312"/>
          <w:color w:val="auto"/>
          <w:sz w:val="32"/>
          <w:szCs w:val="32"/>
          <w:lang w:val="en-US" w:eastAsia="zh-CN"/>
        </w:rPr>
        <w:t>租用3栋单层</w:t>
      </w:r>
      <w:r>
        <w:rPr>
          <w:rFonts w:hint="eastAsia" w:ascii="仿宋_GB2312" w:eastAsia="仿宋_GB2312"/>
          <w:color w:val="auto"/>
          <w:sz w:val="32"/>
          <w:szCs w:val="32"/>
        </w:rPr>
        <w:t>建筑物；主要设备有</w:t>
      </w:r>
      <w:r>
        <w:rPr>
          <w:rFonts w:hint="eastAsia" w:ascii="仿宋_GB2312" w:eastAsia="仿宋_GB2312"/>
          <w:color w:val="auto"/>
          <w:sz w:val="32"/>
          <w:szCs w:val="32"/>
          <w:lang w:val="en-US" w:eastAsia="zh-CN"/>
        </w:rPr>
        <w:t>碎料机2台、注塑机18台、配套机械臂18台、配套烘料机19台、磨床1台、铣床1台、电火花机1台、钻床1台、冷却塔1台、螺杆式空压机1台</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36</w:t>
      </w:r>
      <w:r>
        <w:rPr>
          <w:rFonts w:hint="eastAsia" w:ascii="仿宋_GB2312" w:eastAsia="仿宋_GB2312"/>
          <w:color w:val="auto"/>
          <w:sz w:val="32"/>
          <w:szCs w:val="32"/>
        </w:rPr>
        <w:t>名，内部不安排食宿。该项目注塑只使用P</w:t>
      </w:r>
      <w:r>
        <w:rPr>
          <w:rFonts w:hint="eastAsia" w:ascii="仿宋_GB2312" w:eastAsia="仿宋_GB2312"/>
          <w:color w:val="auto"/>
          <w:sz w:val="32"/>
          <w:szCs w:val="32"/>
          <w:lang w:val="en-US" w:eastAsia="zh-CN"/>
        </w:rPr>
        <w:t>P</w:t>
      </w:r>
      <w:r>
        <w:rPr>
          <w:rFonts w:hint="eastAsia" w:ascii="仿宋_GB2312" w:eastAsia="仿宋_GB2312"/>
          <w:color w:val="auto"/>
          <w:sz w:val="32"/>
          <w:szCs w:val="32"/>
        </w:rPr>
        <w:t>，不使用再生塑料。</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324</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冷却</w:t>
      </w:r>
      <w:r>
        <w:rPr>
          <w:rFonts w:hint="eastAsia" w:ascii="仿宋_GB2312" w:eastAsia="仿宋_GB2312"/>
          <w:color w:val="auto"/>
          <w:sz w:val="32"/>
          <w:szCs w:val="32"/>
        </w:rPr>
        <w:t>废水排放量不超过</w:t>
      </w:r>
      <w:r>
        <w:rPr>
          <w:rFonts w:hint="eastAsia" w:ascii="仿宋_GB2312" w:eastAsia="仿宋_GB2312"/>
          <w:color w:val="auto"/>
          <w:sz w:val="32"/>
          <w:szCs w:val="32"/>
          <w:lang w:val="en-US" w:eastAsia="zh-CN"/>
        </w:rPr>
        <w:t>4.4</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（二）非甲烷总烃</w:t>
      </w:r>
      <w:r>
        <w:rPr>
          <w:rFonts w:hint="eastAsia" w:ascii="仿宋_GB2312" w:eastAsia="仿宋_GB2312"/>
          <w:color w:val="auto"/>
          <w:sz w:val="32"/>
          <w:szCs w:val="32"/>
          <w:lang w:val="en-US" w:eastAsia="zh-CN"/>
        </w:rPr>
        <w:t>排放执行《合成树脂工业污染物排放标准》（GB31572-2015）及2024年修改单表5大气污染物特别排放限值，臭气浓度排放执行《恶臭污染物排放标准》（GB14554-93）表1厂界新扩改建二级标准限值和表2排放标准值，颗粒物排放执行广东省《大气污染物排放限值》（DB44/27-2001）第二时段无组织排放监控浓度限值，厂区内非甲烷总烃排放执行广东省《固定污染源挥发性有机物综合排放标准》（DB44/2367-2022）表3厂区内VOCs无组织排放限值，挥发性有机物排放量不超过0.496吨/年。</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（一）排水系统采用雨污分流。冷却水循环使用，</w:t>
      </w:r>
      <w:r>
        <w:rPr>
          <w:rFonts w:hint="eastAsia" w:ascii="仿宋_GB2312" w:eastAsia="仿宋_GB2312"/>
          <w:color w:val="auto"/>
          <w:sz w:val="32"/>
          <w:szCs w:val="32"/>
          <w:lang w:val="en-US" w:eastAsia="zh-CN"/>
        </w:rPr>
        <w:t>定期外排；</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分别</w:t>
      </w:r>
      <w:r>
        <w:rPr>
          <w:rFonts w:hint="eastAsia" w:ascii="仿宋_GB2312" w:eastAsia="仿宋_GB2312"/>
          <w:color w:val="auto"/>
          <w:sz w:val="32"/>
          <w:szCs w:val="32"/>
        </w:rPr>
        <w:t>排入市政集污管网，送前锋净水厂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处理。项目设置废水排放口</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个。</w:t>
      </w:r>
    </w:p>
    <w:p w14:paraId="32339B9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注塑工序产生的废气经收集至二级活性炭处理设施处理达标后</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引至不低于15米高排气筒排放，</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（四）废火花油、废油瓶、废油桶、含油抹布及手套、含油废钢屑、废润滑油、废活性炭等危险废物须设置符合《危险废物贮存污染控制标准》（GB18597-20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r>
        <w:rPr>
          <w:rFonts w:hint="eastAsia" w:ascii="仿宋_GB2312" w:eastAsia="仿宋_GB2312"/>
          <w:color w:val="auto"/>
          <w:sz w:val="32"/>
          <w:szCs w:val="32"/>
          <w:lang w:eastAsia="zh-CN"/>
        </w:rPr>
        <w:t>。</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九、</w:t>
      </w:r>
      <w:r>
        <w:rPr>
          <w:rFonts w:hint="eastAsia" w:ascii="仿宋_GB2312" w:eastAsia="仿宋_GB2312"/>
          <w:color w:val="auto"/>
          <w:sz w:val="32"/>
          <w:szCs w:val="32"/>
        </w:rPr>
        <w:t>自本批复批准之日起，原批复文件穗环管影(番)〔</w:t>
      </w:r>
      <w:r>
        <w:rPr>
          <w:rFonts w:hint="eastAsia" w:ascii="仿宋_GB2312" w:eastAsia="仿宋_GB2312"/>
          <w:color w:val="auto"/>
          <w:sz w:val="32"/>
          <w:szCs w:val="32"/>
          <w:lang w:val="en-US" w:eastAsia="zh-CN"/>
        </w:rPr>
        <w:t>2022</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66</w:t>
      </w:r>
      <w:r>
        <w:rPr>
          <w:rFonts w:hint="eastAsia" w:ascii="仿宋_GB2312" w:eastAsia="仿宋_GB2312"/>
          <w:color w:val="auto"/>
          <w:sz w:val="32"/>
          <w:szCs w:val="32"/>
        </w:rPr>
        <w:t>号同时废止。</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w:t>
      </w:r>
      <w:bookmarkStart w:id="0" w:name="_GoBack"/>
      <w:r>
        <w:rPr>
          <w:rFonts w:hint="eastAsia" w:ascii="仿宋_GB2312" w:eastAsia="仿宋_GB2312"/>
          <w:color w:val="auto"/>
          <w:sz w:val="28"/>
          <w:szCs w:val="28"/>
        </w:rPr>
        <w:t>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rPr>
        <w:t>环保所，广州市中扬环保工程有限公司</w:t>
      </w:r>
      <w:bookmarkEnd w:id="0"/>
      <w:r>
        <w:rPr>
          <w:rFonts w:hint="eastAsia" w:ascii="仿宋_GB2312" w:eastAsia="仿宋_GB2312"/>
          <w:color w:val="auto"/>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A128C5"/>
    <w:rsid w:val="184B5B81"/>
    <w:rsid w:val="185C012F"/>
    <w:rsid w:val="19AF0CB4"/>
    <w:rsid w:val="19F023A6"/>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1D0EF5"/>
    <w:rsid w:val="3AA44A54"/>
    <w:rsid w:val="3AD36F09"/>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C109ED"/>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表格文字"/>
    <w:qFormat/>
    <w:uiPriority w:val="0"/>
    <w:pPr>
      <w:tabs>
        <w:tab w:val="left" w:pos="-2848"/>
      </w:tabs>
      <w:wordWrap w:val="0"/>
      <w:jc w:val="center"/>
    </w:pPr>
    <w:rPr>
      <w:rFonts w:ascii="Times New Roman" w:hAnsi="Times New Roman" w:eastAsia="宋体" w:cs="Times New Roman"/>
      <w:position w:val="-10"/>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1897</Words>
  <Characters>2088</Characters>
  <Lines>19</Lines>
  <Paragraphs>5</Paragraphs>
  <TotalTime>0</TotalTime>
  <ScaleCrop>false</ScaleCrop>
  <LinksUpToDate>false</LinksUpToDate>
  <CharactersWithSpaces>2151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2025-08-26T08:07:00Z</cp:lastPrinted>
  <dcterms:modified xsi:type="dcterms:W3CDTF">2025-09-03T03:12:48Z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2052-12.1.0.22529</vt:lpwstr>
  </property>
  <property fmtid="{D5CDD505-2E9C-101B-9397-08002B2CF9AE}" pid="4" name="ICV">
    <vt:lpwstr>AE0B2E82DD1E46FDAFE1C19DB134BCBB_13</vt:lpwstr>
  </property>
  <property fmtid="{D5CDD505-2E9C-101B-9397-08002B2CF9AE}" pid="5" name="KSOTemplateDocerSaveRecord">
    <vt:lpwstr>eyJoZGlkIjoiOTFmYTNmMGY4YzliOTEyNGRkM2M5OTJiMTUxNWY2YjkiLCJ1c2VySWQiOiIxMDI2OTE4Mzc5In0=</vt:lpwstr>
  </property>
</Properties>
</file>