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118</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广州市生态环境局关于广州番禺智能网联新能源汽车产业园金荷五路工程环境影响报告表的批复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仿宋_GB2312" w:eastAsia="仿宋_GB2312"/>
          <w:color w:val="auto"/>
          <w:sz w:val="32"/>
          <w:szCs w:val="32"/>
        </w:rPr>
        <w:t>广州市番禺区基本建设投资管理中心（124401137756785704）：</w:t>
      </w:r>
    </w:p>
    <w:p w14:paraId="06F982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你单位报送的《广州番禺智能网联新能源汽车产业园金荷五路工程环境影响报告表》（以下简称《报告表》）及附送资料收悉。经研究，现批复如下：</w:t>
      </w:r>
    </w:p>
    <w:p w14:paraId="6234E811">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一、广州番禺智能网联新能源汽车产业园金荷五路工程（以下简称“该</w:t>
      </w:r>
      <w:r>
        <w:rPr>
          <w:rFonts w:hint="eastAsia" w:ascii="仿宋_GB2312" w:eastAsia="仿宋_GB2312"/>
          <w:color w:val="auto"/>
          <w:sz w:val="32"/>
          <w:szCs w:val="32"/>
          <w:lang w:val="en-US" w:eastAsia="zh-CN"/>
        </w:rPr>
        <w:t>工程</w:t>
      </w:r>
      <w:r>
        <w:rPr>
          <w:rFonts w:hint="eastAsia" w:ascii="仿宋_GB2312" w:eastAsia="仿宋_GB2312"/>
          <w:color w:val="auto"/>
          <w:sz w:val="32"/>
          <w:szCs w:val="32"/>
        </w:rPr>
        <w:t>”）位于广州市番禺区石楼镇茭塘东村，申报内容为</w:t>
      </w:r>
      <w:r>
        <w:rPr>
          <w:rFonts w:hint="eastAsia" w:ascii="仿宋_GB2312" w:eastAsia="仿宋_GB2312"/>
          <w:color w:val="auto"/>
          <w:sz w:val="32"/>
          <w:szCs w:val="32"/>
          <w:lang w:val="en-US" w:eastAsia="zh-CN"/>
        </w:rPr>
        <w:t>新建城市主干路</w:t>
      </w:r>
      <w:r>
        <w:rPr>
          <w:rFonts w:hint="eastAsia" w:ascii="仿宋_GB2312" w:eastAsia="仿宋_GB2312"/>
          <w:color w:val="auto"/>
          <w:sz w:val="32"/>
          <w:szCs w:val="32"/>
          <w:lang w:eastAsia="zh-CN"/>
        </w:rPr>
        <w:t>，呈东西走向，</w:t>
      </w:r>
      <w:r>
        <w:rPr>
          <w:rFonts w:hint="eastAsia" w:ascii="仿宋_GB2312" w:eastAsia="仿宋_GB2312"/>
          <w:color w:val="auto"/>
          <w:sz w:val="32"/>
          <w:szCs w:val="32"/>
          <w:lang w:val="en-US" w:eastAsia="zh-CN"/>
        </w:rPr>
        <w:t>西起于兴南大道东辅道，东至规划主干路，全长约1.019km，规划标准段红线宽度50米，设计速度60km/h，双向六车道，其中包含新建跨狮子洋水闸涌中桥一座</w:t>
      </w:r>
      <w:r>
        <w:rPr>
          <w:rFonts w:hint="eastAsia" w:ascii="仿宋_GB2312" w:eastAsia="仿宋_GB2312"/>
          <w:color w:val="auto"/>
          <w:sz w:val="32"/>
          <w:szCs w:val="32"/>
        </w:rPr>
        <w:t>。</w:t>
      </w:r>
      <w:r>
        <w:rPr>
          <w:rFonts w:hint="eastAsia" w:ascii="仿宋_GB2312" w:eastAsia="仿宋_GB2312" w:cs="Times New Roman"/>
          <w:color w:val="auto"/>
          <w:sz w:val="32"/>
          <w:szCs w:val="32"/>
          <w:lang w:eastAsia="zh-CN"/>
        </w:rPr>
        <w:t>该工程建设内容</w:t>
      </w:r>
      <w:r>
        <w:rPr>
          <w:rFonts w:hint="eastAsia" w:ascii="仿宋_GB2312" w:eastAsia="仿宋_GB2312"/>
          <w:color w:val="auto"/>
          <w:sz w:val="32"/>
          <w:szCs w:val="32"/>
        </w:rPr>
        <w:t>包含道路、桥梁、交通、消防给水、排水、电力管沟、照明、绿化、海绵城市及交通疏解等</w:t>
      </w:r>
      <w:r>
        <w:rPr>
          <w:rFonts w:hint="eastAsia" w:ascii="仿宋_GB2312" w:eastAsia="仿宋_GB2312"/>
          <w:color w:val="auto"/>
          <w:sz w:val="32"/>
          <w:szCs w:val="32"/>
          <w:lang w:val="en-US" w:eastAsia="zh-CN"/>
        </w:rPr>
        <w:t>附属工程；项目</w:t>
      </w:r>
      <w:r>
        <w:rPr>
          <w:rFonts w:hint="eastAsia" w:ascii="仿宋_GB2312" w:eastAsia="仿宋_GB2312"/>
          <w:color w:val="auto"/>
          <w:sz w:val="32"/>
          <w:szCs w:val="32"/>
        </w:rPr>
        <w:t>布设一处临时施工营地</w:t>
      </w:r>
      <w:r>
        <w:rPr>
          <w:rFonts w:hint="eastAsia" w:ascii="仿宋_GB2312" w:eastAsia="仿宋_GB2312"/>
          <w:color w:val="auto"/>
          <w:sz w:val="32"/>
          <w:szCs w:val="32"/>
          <w:lang w:eastAsia="zh-CN"/>
        </w:rPr>
        <w:t>。</w:t>
      </w:r>
    </w:p>
    <w:p w14:paraId="0B64A3C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w:t>
      </w:r>
      <w:r>
        <w:rPr>
          <w:rFonts w:hint="eastAsia" w:ascii="仿宋_GB2312" w:eastAsia="仿宋_GB2312"/>
          <w:color w:val="auto"/>
          <w:sz w:val="32"/>
          <w:szCs w:val="32"/>
          <w:lang w:val="en-US" w:eastAsia="zh-CN"/>
        </w:rPr>
        <w:t>工程</w:t>
      </w:r>
      <w:r>
        <w:rPr>
          <w:rFonts w:hint="eastAsia" w:ascii="仿宋_GB2312" w:eastAsia="仿宋_GB2312"/>
          <w:color w:val="auto"/>
          <w:sz w:val="32"/>
          <w:szCs w:val="32"/>
        </w:rPr>
        <w:t>产生的污染物及不良环境影响能够得到有效控制，从环境保护角度，在拟选址处建设可行。经审查，我局原则同意《报告表》评价结论。该</w:t>
      </w:r>
      <w:r>
        <w:rPr>
          <w:rFonts w:hint="eastAsia" w:ascii="仿宋_GB2312" w:eastAsia="仿宋_GB2312"/>
          <w:color w:val="auto"/>
          <w:sz w:val="32"/>
          <w:szCs w:val="32"/>
          <w:lang w:val="en-US" w:eastAsia="zh-CN"/>
        </w:rPr>
        <w:t>工程</w:t>
      </w:r>
      <w:r>
        <w:rPr>
          <w:rFonts w:hint="eastAsia" w:ascii="仿宋_GB2312" w:eastAsia="仿宋_GB2312"/>
          <w:color w:val="auto"/>
          <w:sz w:val="32"/>
          <w:szCs w:val="32"/>
        </w:rPr>
        <w:t>应当按照《报告表》所述性质、规模、地点、使用功能和环境保护措施进行建设。</w:t>
      </w:r>
    </w:p>
    <w:p w14:paraId="655CFE1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w:t>
      </w:r>
      <w:r>
        <w:rPr>
          <w:rFonts w:hint="eastAsia" w:ascii="仿宋_GB2312" w:eastAsia="仿宋_GB2312"/>
          <w:color w:val="auto"/>
          <w:sz w:val="32"/>
          <w:szCs w:val="32"/>
          <w:lang w:val="en-US" w:eastAsia="zh-CN"/>
        </w:rPr>
        <w:t>工程</w:t>
      </w:r>
      <w:r>
        <w:rPr>
          <w:rFonts w:hint="eastAsia" w:ascii="仿宋_GB2312" w:eastAsia="仿宋_GB2312"/>
          <w:color w:val="auto"/>
          <w:sz w:val="32"/>
          <w:szCs w:val="32"/>
        </w:rPr>
        <w:t>各类污染物排放控制要求如下：</w:t>
      </w:r>
    </w:p>
    <w:p w14:paraId="1A449016">
      <w:pPr>
        <w:spacing w:line="56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rPr>
        <w:t>（一）施工期</w:t>
      </w:r>
      <w:r>
        <w:rPr>
          <w:rFonts w:hint="eastAsia" w:ascii="仿宋_GB2312" w:eastAsia="仿宋_GB2312"/>
          <w:color w:val="auto"/>
          <w:sz w:val="32"/>
          <w:szCs w:val="32"/>
          <w:lang w:val="en-US" w:eastAsia="zh-CN"/>
        </w:rPr>
        <w:t>生活污水排放执行</w:t>
      </w:r>
      <w:r>
        <w:rPr>
          <w:rFonts w:hint="eastAsia" w:ascii="仿宋_GB2312" w:eastAsia="仿宋_GB2312"/>
          <w:color w:val="auto"/>
          <w:sz w:val="32"/>
          <w:szCs w:val="32"/>
        </w:rPr>
        <w:t>广东省《水污染物排放限值》（DBB44/26-2001）第二时段三级标准</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施工废水</w:t>
      </w:r>
      <w:r>
        <w:rPr>
          <w:rFonts w:hint="eastAsia" w:ascii="仿宋_GB2312" w:eastAsia="仿宋_GB2312"/>
          <w:color w:val="auto"/>
          <w:sz w:val="32"/>
          <w:szCs w:val="32"/>
        </w:rPr>
        <w:t>执行《城市污水再生利用 城市杂用水水质》（GB/T18920-2020）冲厕、车辆冲洗限值</w:t>
      </w:r>
      <w:r>
        <w:rPr>
          <w:rFonts w:hint="eastAsia" w:ascii="仿宋_GB2312" w:eastAsia="仿宋_GB2312"/>
          <w:color w:val="auto"/>
          <w:sz w:val="32"/>
          <w:szCs w:val="32"/>
          <w:lang w:val="en-US" w:eastAsia="zh-CN"/>
        </w:rPr>
        <w:t>。</w:t>
      </w:r>
    </w:p>
    <w:p w14:paraId="1B12D1DA">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二）</w:t>
      </w:r>
      <w:r>
        <w:rPr>
          <w:rFonts w:hint="eastAsia" w:ascii="仿宋_GB2312" w:eastAsia="仿宋_GB2312"/>
          <w:color w:val="auto"/>
          <w:sz w:val="32"/>
          <w:szCs w:val="32"/>
        </w:rPr>
        <w:t>施工期施工机械燃油尾气黑度执行《非道路柴油移动机械排气烟度限值及测量方法》（GB36886-2018）中排气烟度限值</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其他</w:t>
      </w:r>
      <w:r>
        <w:rPr>
          <w:rFonts w:hint="eastAsia" w:ascii="仿宋_GB2312" w:eastAsia="仿宋_GB2312"/>
          <w:color w:val="auto"/>
          <w:sz w:val="32"/>
          <w:szCs w:val="32"/>
        </w:rPr>
        <w:t>大气污染物排放执行广东省《大气污染物排放限值》（DB44/27-2001）第二时段无组织排放监控浓度限值。</w:t>
      </w:r>
    </w:p>
    <w:p w14:paraId="69CDFE6E">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s="Times New Roman"/>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三</w:t>
      </w:r>
      <w:r>
        <w:rPr>
          <w:rFonts w:hint="eastAsia" w:ascii="仿宋_GB2312" w:eastAsia="仿宋_GB2312"/>
          <w:color w:val="auto"/>
          <w:sz w:val="32"/>
          <w:szCs w:val="32"/>
        </w:rPr>
        <w:t>）施工期场界噪声执行《建筑施工场界环境噪声排放标准》（GB12523-2011），即：昼间≤70dB(A)，夜间≤55</w:t>
      </w:r>
      <w:r>
        <w:rPr>
          <w:rFonts w:hint="eastAsia" w:ascii="仿宋_GB2312" w:eastAsia="仿宋_GB2312" w:cs="Times New Roman"/>
          <w:color w:val="auto"/>
          <w:sz w:val="32"/>
          <w:szCs w:val="32"/>
        </w:rPr>
        <w:t>dB(A)。</w:t>
      </w:r>
    </w:p>
    <w:p w14:paraId="5D589B1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w:t>
      </w:r>
      <w:r>
        <w:rPr>
          <w:rFonts w:hint="eastAsia" w:ascii="仿宋_GB2312" w:eastAsia="仿宋_GB2312"/>
          <w:color w:val="auto"/>
          <w:sz w:val="32"/>
          <w:szCs w:val="32"/>
          <w:lang w:val="en-US" w:eastAsia="zh-CN"/>
        </w:rPr>
        <w:t>工程</w:t>
      </w:r>
      <w:r>
        <w:rPr>
          <w:rFonts w:hint="eastAsia" w:ascii="仿宋_GB2312" w:eastAsia="仿宋_GB2312"/>
          <w:color w:val="auto"/>
          <w:sz w:val="32"/>
          <w:szCs w:val="32"/>
        </w:rPr>
        <w:t>应当认真落实《报告表》提出的各项环境保护措施，重点做好以下工作：</w:t>
      </w:r>
    </w:p>
    <w:p w14:paraId="7A51953D">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s="Times New Roman"/>
          <w:color w:val="auto"/>
          <w:sz w:val="32"/>
          <w:szCs w:val="32"/>
        </w:rPr>
      </w:pPr>
      <w:r>
        <w:rPr>
          <w:rFonts w:hint="eastAsia" w:ascii="仿宋_GB2312" w:eastAsia="仿宋_GB2312"/>
          <w:color w:val="auto"/>
          <w:sz w:val="32"/>
          <w:szCs w:val="32"/>
        </w:rPr>
        <w:t>（一）施</w:t>
      </w:r>
      <w:r>
        <w:rPr>
          <w:rFonts w:hint="eastAsia" w:ascii="仿宋_GB2312" w:eastAsia="仿宋_GB2312" w:cs="Times New Roman"/>
          <w:color w:val="auto"/>
          <w:sz w:val="32"/>
          <w:szCs w:val="32"/>
        </w:rPr>
        <w:t>工废水经隔油沉砂池处理达到《城市污水再生利用城市杂用水水质》（GB/T18920-2020）标准后回用于洗车和施工场地洒水等，不外排。施工期生活污水</w:t>
      </w:r>
      <w:r>
        <w:rPr>
          <w:rFonts w:hint="eastAsia" w:ascii="仿宋_GB2312" w:eastAsia="仿宋_GB2312" w:cs="Times New Roman"/>
          <w:color w:val="auto"/>
          <w:sz w:val="32"/>
          <w:szCs w:val="32"/>
          <w:lang w:val="en-US" w:eastAsia="zh-CN"/>
        </w:rPr>
        <w:t>经化粪池预处理后，定期抽至</w:t>
      </w:r>
      <w:r>
        <w:rPr>
          <w:rFonts w:hint="eastAsia" w:ascii="仿宋_GB2312" w:eastAsia="仿宋_GB2312" w:cs="Times New Roman"/>
          <w:color w:val="auto"/>
          <w:sz w:val="32"/>
          <w:szCs w:val="32"/>
        </w:rPr>
        <w:t>市政污水管网送</w:t>
      </w:r>
      <w:r>
        <w:rPr>
          <w:rFonts w:hint="eastAsia" w:ascii="仿宋_GB2312" w:eastAsia="仿宋_GB2312" w:cs="Times New Roman"/>
          <w:color w:val="auto"/>
          <w:sz w:val="32"/>
          <w:szCs w:val="32"/>
          <w:lang w:val="en-US" w:eastAsia="zh-CN"/>
        </w:rPr>
        <w:t>化龙</w:t>
      </w:r>
      <w:r>
        <w:rPr>
          <w:rFonts w:hint="eastAsia" w:ascii="仿宋_GB2312" w:eastAsia="仿宋_GB2312" w:cs="Times New Roman"/>
          <w:color w:val="auto"/>
          <w:sz w:val="32"/>
          <w:szCs w:val="32"/>
        </w:rPr>
        <w:t>净水厂集中处理。</w:t>
      </w:r>
    </w:p>
    <w:p w14:paraId="61A5619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（二）施工期严格按照《广州市住房和城乡建设委员会关于印发建设工程扬尘防治“</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个100%”管理标准细化措施的通知》（穗建质〔2018〕1394号）的要求，落实扬尘污染防治措施</w:t>
      </w:r>
      <w:r>
        <w:rPr>
          <w:rFonts w:hint="eastAsia" w:ascii="仿宋_GB2312" w:hAnsi="仿宋_GB2312" w:eastAsia="仿宋_GB2312" w:cs="仿宋_GB2312"/>
          <w:color w:val="auto"/>
          <w:sz w:val="32"/>
          <w:szCs w:val="32"/>
        </w:rPr>
        <w:t>。</w:t>
      </w:r>
    </w:p>
    <w:p w14:paraId="4D4709CB">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施工期选用低噪音施工工艺和设备，合理布局高噪音设备，采取临时隔离围栏等综合降噪措施；文明施工，合理安排施工时间，不得在休息时间从事高噪音作业；确需在夜间连续施工作业的，须按有关规定取得相关部门许可，并公告附近受影响的公众。</w:t>
      </w:r>
    </w:p>
    <w:p w14:paraId="56856B78">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s="Times New Roman"/>
          <w:color w:val="auto"/>
          <w:sz w:val="32"/>
          <w:szCs w:val="32"/>
          <w:lang w:eastAsia="zh-CN"/>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四</w:t>
      </w:r>
      <w:r>
        <w:rPr>
          <w:rFonts w:hint="eastAsia" w:ascii="仿宋_GB2312" w:eastAsia="仿宋_GB2312" w:cs="Times New Roman"/>
          <w:color w:val="auto"/>
          <w:sz w:val="32"/>
          <w:szCs w:val="32"/>
        </w:rPr>
        <w:t>）严格落实运营期噪声污染防治措施，包括：全线采用改性沥青低噪声路面；加强交通管理以及路面保养维护；加强沿线声环境敏感目标噪声影响跟踪监测，并根据监测结果及时增补和完善防治措施，避免噪声污染扰民</w:t>
      </w:r>
      <w:r>
        <w:rPr>
          <w:rFonts w:hint="eastAsia" w:ascii="仿宋_GB2312" w:eastAsia="仿宋_GB2312" w:cs="Times New Roman"/>
          <w:color w:val="auto"/>
          <w:sz w:val="32"/>
          <w:szCs w:val="32"/>
          <w:lang w:eastAsia="zh-CN"/>
        </w:rPr>
        <w:t>。</w:t>
      </w:r>
    </w:p>
    <w:p w14:paraId="0A6372C0">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五</w:t>
      </w:r>
      <w:r>
        <w:rPr>
          <w:rFonts w:hint="eastAsia" w:ascii="仿宋_GB2312" w:eastAsia="仿宋_GB2312"/>
          <w:color w:val="auto"/>
          <w:sz w:val="32"/>
          <w:szCs w:val="32"/>
          <w:lang w:eastAsia="zh-CN"/>
        </w:rPr>
        <w:t>）</w:t>
      </w:r>
      <w:r>
        <w:rPr>
          <w:rFonts w:hint="eastAsia" w:ascii="仿宋_GB2312" w:eastAsia="仿宋_GB2312"/>
          <w:color w:val="auto"/>
          <w:sz w:val="32"/>
          <w:szCs w:val="32"/>
        </w:rPr>
        <w:t>严格执行《广州市建筑废弃物管理条例》中有关建筑废弃物排放的管理规定，办理好建筑废弃物排放手续</w:t>
      </w:r>
      <w:r>
        <w:rPr>
          <w:rFonts w:hint="eastAsia" w:ascii="仿宋_GB2312" w:eastAsia="仿宋_GB2312"/>
          <w:color w:val="auto"/>
          <w:sz w:val="32"/>
          <w:szCs w:val="32"/>
          <w:lang w:eastAsia="zh-CN"/>
        </w:rPr>
        <w:t>。</w:t>
      </w:r>
    </w:p>
    <w:p w14:paraId="150ADDB5">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六</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做好</w:t>
      </w:r>
      <w:r>
        <w:rPr>
          <w:rFonts w:hint="eastAsia" w:ascii="仿宋_GB2312" w:eastAsia="仿宋_GB2312"/>
          <w:color w:val="auto"/>
          <w:sz w:val="32"/>
          <w:szCs w:val="32"/>
        </w:rPr>
        <w:t>生态保护</w:t>
      </w:r>
      <w:r>
        <w:rPr>
          <w:rFonts w:hint="eastAsia" w:ascii="仿宋_GB2312" w:eastAsia="仿宋_GB2312"/>
          <w:color w:val="auto"/>
          <w:sz w:val="32"/>
          <w:szCs w:val="32"/>
          <w:lang w:val="en-US" w:eastAsia="zh-CN"/>
        </w:rPr>
        <w:t>工作；</w:t>
      </w:r>
      <w:r>
        <w:rPr>
          <w:rFonts w:hint="eastAsia" w:ascii="仿宋_GB2312" w:eastAsia="仿宋_GB2312"/>
          <w:color w:val="auto"/>
          <w:sz w:val="32"/>
          <w:szCs w:val="32"/>
        </w:rPr>
        <w:t>合理安排工期，按计划施工；</w:t>
      </w:r>
      <w:r>
        <w:rPr>
          <w:rFonts w:hint="eastAsia" w:ascii="仿宋_GB2312" w:eastAsia="仿宋_GB2312"/>
          <w:color w:val="auto"/>
          <w:sz w:val="32"/>
          <w:szCs w:val="32"/>
          <w:lang w:eastAsia="zh-CN"/>
        </w:rPr>
        <w:t>减小项目施工期生态环境影响；施工期结束后，</w:t>
      </w:r>
      <w:r>
        <w:rPr>
          <w:rFonts w:hint="eastAsia" w:ascii="仿宋_GB2312" w:eastAsia="仿宋_GB2312"/>
          <w:color w:val="auto"/>
          <w:sz w:val="32"/>
          <w:szCs w:val="32"/>
          <w:lang w:val="en-US" w:eastAsia="zh-CN"/>
        </w:rPr>
        <w:t>应</w:t>
      </w:r>
      <w:r>
        <w:rPr>
          <w:rFonts w:hint="eastAsia" w:ascii="仿宋_GB2312" w:eastAsia="仿宋_GB2312"/>
          <w:color w:val="auto"/>
          <w:sz w:val="32"/>
          <w:szCs w:val="32"/>
        </w:rPr>
        <w:t>及时进行生态修复</w:t>
      </w:r>
      <w:r>
        <w:rPr>
          <w:rFonts w:hint="eastAsia" w:ascii="仿宋_GB2312" w:eastAsia="仿宋_GB2312"/>
          <w:color w:val="auto"/>
          <w:sz w:val="32"/>
          <w:szCs w:val="32"/>
          <w:lang w:eastAsia="zh-CN"/>
        </w:rPr>
        <w:t>。</w:t>
      </w:r>
    </w:p>
    <w:p w14:paraId="73B05BF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w:t>
      </w:r>
      <w:r>
        <w:rPr>
          <w:rFonts w:hint="eastAsia" w:ascii="仿宋_GB2312" w:eastAsia="仿宋_GB2312"/>
          <w:color w:val="auto"/>
          <w:sz w:val="32"/>
          <w:szCs w:val="32"/>
          <w:lang w:val="en-US" w:eastAsia="zh-CN"/>
        </w:rPr>
        <w:t>工程</w:t>
      </w:r>
      <w:r>
        <w:rPr>
          <w:rFonts w:hint="eastAsia" w:ascii="仿宋_GB2312" w:eastAsia="仿宋_GB2312"/>
          <w:color w:val="auto"/>
          <w:sz w:val="32"/>
          <w:szCs w:val="32"/>
        </w:rPr>
        <w:t>的性质、规模、地点、采用的使用功能或者防治污染、防止生态破坏的措施发生重大变动的，你单位应当重新报批环境影响评价文件。</w:t>
      </w:r>
    </w:p>
    <w:p w14:paraId="75E76E29">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五、自《报告表》批准之日起超过五年，方决定该</w:t>
      </w:r>
      <w:r>
        <w:rPr>
          <w:rFonts w:hint="eastAsia" w:ascii="仿宋_GB2312" w:eastAsia="仿宋_GB2312"/>
          <w:color w:val="auto"/>
          <w:sz w:val="32"/>
          <w:szCs w:val="32"/>
          <w:lang w:val="en-US" w:eastAsia="zh-CN"/>
        </w:rPr>
        <w:t>工程</w:t>
      </w:r>
      <w:r>
        <w:rPr>
          <w:rFonts w:hint="eastAsia" w:ascii="仿宋_GB2312" w:eastAsia="仿宋_GB2312"/>
          <w:color w:val="auto"/>
          <w:sz w:val="32"/>
          <w:szCs w:val="32"/>
        </w:rPr>
        <w:t>开工建设的，《报告表》应当在开工建设前报我局重新审核。未经我局重新审核同意的，不得擅自开工建设。</w:t>
      </w:r>
    </w:p>
    <w:p w14:paraId="6FF04D6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六、该</w:t>
      </w:r>
      <w:r>
        <w:rPr>
          <w:rFonts w:hint="eastAsia" w:ascii="仿宋_GB2312" w:eastAsia="仿宋_GB2312"/>
          <w:color w:val="auto"/>
          <w:sz w:val="32"/>
          <w:szCs w:val="32"/>
          <w:lang w:val="en-US" w:eastAsia="zh-CN"/>
        </w:rPr>
        <w:t>工程</w:t>
      </w:r>
      <w:r>
        <w:rPr>
          <w:rFonts w:hint="eastAsia" w:ascii="仿宋_GB2312" w:eastAsia="仿宋_GB2312"/>
          <w:color w:val="auto"/>
          <w:sz w:val="32"/>
          <w:szCs w:val="32"/>
        </w:rPr>
        <w:t>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val="en-US" w:eastAsia="zh-CN"/>
        </w:rPr>
        <w:t>工程</w:t>
      </w:r>
      <w:r>
        <w:rPr>
          <w:rFonts w:hint="eastAsia" w:ascii="仿宋_GB2312" w:eastAsia="仿宋_GB2312"/>
          <w:color w:val="auto"/>
          <w:sz w:val="32"/>
          <w:szCs w:val="32"/>
        </w:rPr>
        <w:t>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工程</w:t>
      </w:r>
      <w:r>
        <w:rPr>
          <w:rFonts w:hint="eastAsia" w:ascii="仿宋_GB2312" w:eastAsia="仿宋_GB2312"/>
          <w:color w:val="auto"/>
          <w:sz w:val="32"/>
          <w:szCs w:val="32"/>
        </w:rPr>
        <w:t>配套建设的环境保护设施经验收合格后，方可投入生产或者使用。</w:t>
      </w:r>
    </w:p>
    <w:p w14:paraId="3564EFE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七、该</w:t>
      </w:r>
      <w:r>
        <w:rPr>
          <w:rFonts w:hint="eastAsia" w:ascii="仿宋_GB2312" w:eastAsia="仿宋_GB2312"/>
          <w:color w:val="auto"/>
          <w:sz w:val="32"/>
          <w:szCs w:val="32"/>
          <w:lang w:val="en-US" w:eastAsia="zh-CN"/>
        </w:rPr>
        <w:t>工程</w:t>
      </w:r>
      <w:r>
        <w:rPr>
          <w:rFonts w:hint="eastAsia" w:ascii="仿宋_GB2312" w:eastAsia="仿宋_GB2312"/>
          <w:color w:val="auto"/>
          <w:sz w:val="32"/>
          <w:szCs w:val="32"/>
        </w:rPr>
        <w:t>建设和运行过程中如涉及规划、土地利用、建设、水务、消防、安全等问题，应遵照相关法律法规要求到相应的行政主管部门办理有关手续。</w:t>
      </w:r>
    </w:p>
    <w:p w14:paraId="59C5D8D3">
      <w:pPr>
        <w:pStyle w:val="18"/>
        <w:ind w:firstLine="636"/>
        <w:rPr>
          <w:rFonts w:hint="eastAsia" w:eastAsia="仿宋_GB2312"/>
          <w:color w:val="auto"/>
          <w:sz w:val="32"/>
          <w:szCs w:val="32"/>
        </w:rPr>
      </w:pPr>
      <w:r>
        <w:rPr>
          <w:rFonts w:hint="eastAsia" w:ascii="仿宋_GB2312" w:eastAsia="仿宋_GB2312"/>
          <w:color w:val="auto"/>
          <w:sz w:val="32"/>
          <w:szCs w:val="32"/>
        </w:rPr>
        <w:t>八、</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0A04E27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27</w:t>
      </w:r>
      <w:bookmarkStart w:id="0" w:name="_GoBack"/>
      <w:bookmarkEnd w:id="0"/>
      <w:r>
        <w:rPr>
          <w:rFonts w:hint="eastAsia" w:ascii="仿宋_GB2312" w:eastAsia="仿宋_GB2312"/>
          <w:color w:val="auto"/>
          <w:sz w:val="32"/>
          <w:szCs w:val="32"/>
        </w:rPr>
        <w:t>日</w:t>
      </w:r>
    </w:p>
    <w:p w14:paraId="372AA67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5BAB33C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46B541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26EB5F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抄送：广州市生态环境局番禺分局</w:t>
      </w:r>
      <w:r>
        <w:rPr>
          <w:rFonts w:hint="eastAsia" w:ascii="仿宋_GB2312" w:eastAsia="仿宋_GB2312" w:cs="Times New Roman"/>
          <w:color w:val="auto"/>
          <w:sz w:val="28"/>
          <w:szCs w:val="28"/>
        </w:rPr>
        <w:t>执法</w:t>
      </w:r>
      <w:r>
        <w:rPr>
          <w:rFonts w:hint="eastAsia" w:ascii="仿宋_GB2312" w:eastAsia="仿宋_GB2312" w:cs="Times New Roman"/>
          <w:color w:val="auto"/>
          <w:sz w:val="28"/>
          <w:szCs w:val="28"/>
          <w:lang w:val="en-US" w:eastAsia="zh-CN"/>
        </w:rPr>
        <w:t>二</w:t>
      </w:r>
      <w:r>
        <w:rPr>
          <w:rFonts w:hint="eastAsia" w:ascii="仿宋_GB2312" w:eastAsia="仿宋_GB2312" w:cs="Times New Roman"/>
          <w:color w:val="auto"/>
          <w:sz w:val="28"/>
          <w:szCs w:val="28"/>
        </w:rPr>
        <w:t>科、</w:t>
      </w:r>
      <w:r>
        <w:rPr>
          <w:rFonts w:hint="eastAsia" w:ascii="仿宋_GB2312" w:eastAsia="仿宋_GB2312" w:cs="Times New Roman"/>
          <w:color w:val="auto"/>
          <w:sz w:val="28"/>
          <w:szCs w:val="28"/>
          <w:lang w:eastAsia="zh-CN"/>
        </w:rPr>
        <w:t>番禺</w:t>
      </w:r>
      <w:r>
        <w:rPr>
          <w:rFonts w:hint="eastAsia" w:ascii="仿宋_GB2312" w:eastAsia="仿宋_GB2312" w:cs="Times New Roman"/>
          <w:color w:val="auto"/>
          <w:sz w:val="28"/>
          <w:szCs w:val="28"/>
        </w:rPr>
        <w:t>第</w:t>
      </w:r>
      <w:r>
        <w:rPr>
          <w:rFonts w:hint="eastAsia" w:ascii="仿宋_GB2312" w:eastAsia="仿宋_GB2312" w:cs="Times New Roman"/>
          <w:color w:val="auto"/>
          <w:sz w:val="28"/>
          <w:szCs w:val="28"/>
          <w:lang w:val="en-US" w:eastAsia="zh-CN"/>
        </w:rPr>
        <w:t>四</w:t>
      </w:r>
      <w:r>
        <w:rPr>
          <w:rFonts w:hint="eastAsia" w:ascii="仿宋_GB2312" w:eastAsia="仿宋_GB2312" w:cs="Times New Roman"/>
          <w:color w:val="auto"/>
          <w:sz w:val="28"/>
          <w:szCs w:val="28"/>
        </w:rPr>
        <w:t>环保所，</w:t>
      </w:r>
      <w:r>
        <w:rPr>
          <w:rFonts w:hint="eastAsia" w:ascii="仿宋_GB2312" w:eastAsia="仿宋_GB2312"/>
          <w:color w:val="auto"/>
          <w:sz w:val="28"/>
          <w:szCs w:val="28"/>
        </w:rPr>
        <w:t>广州市番禺环境工程有限公司。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924A88"/>
    <w:rsid w:val="020C3600"/>
    <w:rsid w:val="0316501C"/>
    <w:rsid w:val="035F3318"/>
    <w:rsid w:val="039E0DF7"/>
    <w:rsid w:val="04F0022B"/>
    <w:rsid w:val="05BF1B7D"/>
    <w:rsid w:val="068948CB"/>
    <w:rsid w:val="083C20B8"/>
    <w:rsid w:val="091574A4"/>
    <w:rsid w:val="0AB6351E"/>
    <w:rsid w:val="0AEE277F"/>
    <w:rsid w:val="0B1F3303"/>
    <w:rsid w:val="0C7516B2"/>
    <w:rsid w:val="0C807692"/>
    <w:rsid w:val="0DE36B99"/>
    <w:rsid w:val="0E0B63D0"/>
    <w:rsid w:val="0E3B3C64"/>
    <w:rsid w:val="0F0A6D3C"/>
    <w:rsid w:val="0F611949"/>
    <w:rsid w:val="0FD72C0C"/>
    <w:rsid w:val="103E38B5"/>
    <w:rsid w:val="10BF38FB"/>
    <w:rsid w:val="10E93D4E"/>
    <w:rsid w:val="11B62D57"/>
    <w:rsid w:val="12737E91"/>
    <w:rsid w:val="12DA5DA1"/>
    <w:rsid w:val="12E3158A"/>
    <w:rsid w:val="1549557C"/>
    <w:rsid w:val="157D650A"/>
    <w:rsid w:val="15A25C0B"/>
    <w:rsid w:val="16A128C5"/>
    <w:rsid w:val="17A706C1"/>
    <w:rsid w:val="184B5B81"/>
    <w:rsid w:val="19AF0CB4"/>
    <w:rsid w:val="19F023A6"/>
    <w:rsid w:val="1BC528C4"/>
    <w:rsid w:val="1C1945A6"/>
    <w:rsid w:val="1D4266B3"/>
    <w:rsid w:val="1E537B54"/>
    <w:rsid w:val="1F3F7351"/>
    <w:rsid w:val="1F4D7EC7"/>
    <w:rsid w:val="20CF4E76"/>
    <w:rsid w:val="21BD5166"/>
    <w:rsid w:val="221365B8"/>
    <w:rsid w:val="226A3577"/>
    <w:rsid w:val="22DA593E"/>
    <w:rsid w:val="23241352"/>
    <w:rsid w:val="246C2851"/>
    <w:rsid w:val="24E06F8D"/>
    <w:rsid w:val="2537321F"/>
    <w:rsid w:val="26850942"/>
    <w:rsid w:val="26B164C1"/>
    <w:rsid w:val="27987506"/>
    <w:rsid w:val="28892F0D"/>
    <w:rsid w:val="288E5F3F"/>
    <w:rsid w:val="28AE5DA0"/>
    <w:rsid w:val="2A175959"/>
    <w:rsid w:val="2B6910C5"/>
    <w:rsid w:val="2D4B705C"/>
    <w:rsid w:val="2D6A3A3F"/>
    <w:rsid w:val="2DCC08AF"/>
    <w:rsid w:val="2DFD4901"/>
    <w:rsid w:val="2E182F2D"/>
    <w:rsid w:val="2E9B7C83"/>
    <w:rsid w:val="2ECA65D4"/>
    <w:rsid w:val="2EE338FA"/>
    <w:rsid w:val="30357A24"/>
    <w:rsid w:val="307C5365"/>
    <w:rsid w:val="30A22B85"/>
    <w:rsid w:val="34034262"/>
    <w:rsid w:val="34A100EE"/>
    <w:rsid w:val="35D37D9D"/>
    <w:rsid w:val="36C83AF0"/>
    <w:rsid w:val="36DC47B5"/>
    <w:rsid w:val="37977641"/>
    <w:rsid w:val="385C6105"/>
    <w:rsid w:val="38EB77CC"/>
    <w:rsid w:val="39CE4A08"/>
    <w:rsid w:val="3A1D0EF5"/>
    <w:rsid w:val="3AA44A54"/>
    <w:rsid w:val="3ACF5848"/>
    <w:rsid w:val="3AE822E0"/>
    <w:rsid w:val="3B617677"/>
    <w:rsid w:val="3B8678B6"/>
    <w:rsid w:val="3B9C3FD8"/>
    <w:rsid w:val="3C8B0C00"/>
    <w:rsid w:val="3CC73AC6"/>
    <w:rsid w:val="3CC7607D"/>
    <w:rsid w:val="3CCA53AD"/>
    <w:rsid w:val="3CF81873"/>
    <w:rsid w:val="3D1E66D3"/>
    <w:rsid w:val="3DF84757"/>
    <w:rsid w:val="3DFC60C1"/>
    <w:rsid w:val="3EEA5570"/>
    <w:rsid w:val="3F2D1CB6"/>
    <w:rsid w:val="3FD1113F"/>
    <w:rsid w:val="41171C7F"/>
    <w:rsid w:val="418E5F9D"/>
    <w:rsid w:val="42BF1B92"/>
    <w:rsid w:val="4367540D"/>
    <w:rsid w:val="43D755DA"/>
    <w:rsid w:val="43F25407"/>
    <w:rsid w:val="440875AB"/>
    <w:rsid w:val="450F1F75"/>
    <w:rsid w:val="453C3F01"/>
    <w:rsid w:val="45520847"/>
    <w:rsid w:val="45E73322"/>
    <w:rsid w:val="49383A30"/>
    <w:rsid w:val="494A394A"/>
    <w:rsid w:val="49F92273"/>
    <w:rsid w:val="4AE22D88"/>
    <w:rsid w:val="4B621286"/>
    <w:rsid w:val="4CDB6B18"/>
    <w:rsid w:val="4D1D2609"/>
    <w:rsid w:val="4D8971C2"/>
    <w:rsid w:val="4E305A20"/>
    <w:rsid w:val="4EB11A7C"/>
    <w:rsid w:val="4EE6167D"/>
    <w:rsid w:val="4F136CC9"/>
    <w:rsid w:val="4F586ABA"/>
    <w:rsid w:val="4F9C166D"/>
    <w:rsid w:val="530C784E"/>
    <w:rsid w:val="53406164"/>
    <w:rsid w:val="53774CFF"/>
    <w:rsid w:val="53DE59A8"/>
    <w:rsid w:val="553B58E4"/>
    <w:rsid w:val="55AA541C"/>
    <w:rsid w:val="567E16A6"/>
    <w:rsid w:val="5728768E"/>
    <w:rsid w:val="57E809C6"/>
    <w:rsid w:val="58272CFA"/>
    <w:rsid w:val="58A00174"/>
    <w:rsid w:val="5906339C"/>
    <w:rsid w:val="596879A6"/>
    <w:rsid w:val="59F57B8E"/>
    <w:rsid w:val="5ADA0B1D"/>
    <w:rsid w:val="5B7E4A72"/>
    <w:rsid w:val="5D311A39"/>
    <w:rsid w:val="5D6C6AD3"/>
    <w:rsid w:val="5E811B87"/>
    <w:rsid w:val="5EB016E9"/>
    <w:rsid w:val="5FF25578"/>
    <w:rsid w:val="609E0F14"/>
    <w:rsid w:val="614E41B0"/>
    <w:rsid w:val="62973EAF"/>
    <w:rsid w:val="62BE08BB"/>
    <w:rsid w:val="631E222D"/>
    <w:rsid w:val="63890CAA"/>
    <w:rsid w:val="64A70A2F"/>
    <w:rsid w:val="654F3592"/>
    <w:rsid w:val="658835A0"/>
    <w:rsid w:val="65D2271B"/>
    <w:rsid w:val="66D37837"/>
    <w:rsid w:val="670A7A3E"/>
    <w:rsid w:val="679E2C8B"/>
    <w:rsid w:val="69EF3DF1"/>
    <w:rsid w:val="6B2F71CC"/>
    <w:rsid w:val="6CF83D02"/>
    <w:rsid w:val="6D7C272C"/>
    <w:rsid w:val="6D8B22BF"/>
    <w:rsid w:val="6EF51F98"/>
    <w:rsid w:val="6F034B31"/>
    <w:rsid w:val="6F6C545A"/>
    <w:rsid w:val="6F766087"/>
    <w:rsid w:val="70340726"/>
    <w:rsid w:val="716A2D22"/>
    <w:rsid w:val="73006EB1"/>
    <w:rsid w:val="73417714"/>
    <w:rsid w:val="7431442E"/>
    <w:rsid w:val="747D1147"/>
    <w:rsid w:val="74B7598C"/>
    <w:rsid w:val="75DD1EEC"/>
    <w:rsid w:val="762C5749"/>
    <w:rsid w:val="765C5FCF"/>
    <w:rsid w:val="7787407A"/>
    <w:rsid w:val="77A5337F"/>
    <w:rsid w:val="77D05B9F"/>
    <w:rsid w:val="780A11FC"/>
    <w:rsid w:val="781B07A0"/>
    <w:rsid w:val="78824C27"/>
    <w:rsid w:val="79442D41"/>
    <w:rsid w:val="7B331FDF"/>
    <w:rsid w:val="7B5B3EF1"/>
    <w:rsid w:val="7BA515D0"/>
    <w:rsid w:val="7C2E2674"/>
    <w:rsid w:val="7CB3343B"/>
    <w:rsid w:val="7E4F6A23"/>
    <w:rsid w:val="7EC00980"/>
    <w:rsid w:val="7EEC2AC9"/>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1824</Words>
  <Characters>1965</Characters>
  <Lines>19</Lines>
  <Paragraphs>5</Paragraphs>
  <TotalTime>116</TotalTime>
  <ScaleCrop>false</ScaleCrop>
  <LinksUpToDate>false</LinksUpToDate>
  <CharactersWithSpaces>2029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DELL</cp:lastModifiedBy>
  <cp:lastPrinted>2012-12-06T03:13:00Z</cp:lastPrinted>
  <dcterms:modified xsi:type="dcterms:W3CDTF">2025-08-27T08:15:46Z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2052-12.1.0.22529</vt:lpwstr>
  </property>
  <property fmtid="{D5CDD505-2E9C-101B-9397-08002B2CF9AE}" pid="4" name="ICV">
    <vt:lpwstr>7D4B4E21DE2341D4A86109DA82CD8C4F_13</vt:lpwstr>
  </property>
  <property fmtid="{D5CDD505-2E9C-101B-9397-08002B2CF9AE}" pid="5" name="KSOTemplateDocerSaveRecord">
    <vt:lpwstr>eyJoZGlkIjoiOTFmYTNmMGY4YzliOTEyNGRkM2M5OTJiMTUxNWY2YjkiLCJ1c2VySWQiOiIxMDI2OTE4Mzc5In0=</vt:lpwstr>
  </property>
</Properties>
</file>