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keepNext w:val="0"/>
        <w:keepLines w:val="0"/>
        <w:pageBreakBefore w:val="0"/>
        <w:kinsoku/>
        <w:overflowPunct/>
        <w:topLinePunct w:val="0"/>
        <w:autoSpaceDE/>
        <w:autoSpaceDN/>
        <w:bidi w:val="0"/>
        <w:adjustRightInd w:val="0"/>
        <w:snapToGrid w:val="0"/>
        <w:spacing w:line="520" w:lineRule="exact"/>
        <w:ind w:right="-156" w:hanging="180"/>
        <w:jc w:val="center"/>
        <w:textAlignment w:val="auto"/>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00" w:lineRule="exact"/>
        <w:ind w:firstLine="420" w:firstLineChars="200"/>
        <w:textAlignment w:val="auto"/>
        <w:rPr>
          <w:rFonts w:ascii="仿宋_GB2312"/>
          <w:color w:val="auto"/>
        </w:rPr>
      </w:pPr>
      <w:bookmarkStart w:id="0" w:name="_GoBack"/>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117</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0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0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0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广州市生态环境局关于韶关东森合成材料有限公司广州研发实验室建设项目环境影响报告表的批复</w:t>
      </w:r>
    </w:p>
    <w:p w14:paraId="00880D9C">
      <w:pPr>
        <w:keepNext w:val="0"/>
        <w:keepLines w:val="0"/>
        <w:pageBreakBefore w:val="0"/>
        <w:kinsoku/>
        <w:overflowPunct/>
        <w:topLinePunct w:val="0"/>
        <w:autoSpaceDE/>
        <w:autoSpaceDN/>
        <w:bidi w:val="0"/>
        <w:spacing w:line="50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00" w:lineRule="exact"/>
        <w:textAlignment w:val="auto"/>
        <w:rPr>
          <w:rFonts w:ascii="仿宋_GB2312" w:eastAsia="仿宋_GB2312"/>
          <w:color w:val="auto"/>
          <w:sz w:val="32"/>
          <w:szCs w:val="32"/>
        </w:rPr>
      </w:pPr>
      <w:r>
        <w:rPr>
          <w:rFonts w:hint="eastAsia" w:ascii="仿宋_GB2312" w:eastAsia="仿宋_GB2312"/>
          <w:color w:val="auto"/>
          <w:sz w:val="32"/>
          <w:szCs w:val="32"/>
        </w:rPr>
        <w:t>韶关东森合成材料有限公司（91440229337939128X）：</w:t>
      </w:r>
    </w:p>
    <w:p w14:paraId="06F98241">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你单位报送的《韶关东森合成材料有限公司广州研发实验室建设项目环境影响报告表》（以下简称《报告表》）及附送资料收悉。经研究，现批复如下：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一、韶关东森合成材料有限公司广州研发实验室建设项目（以下简称“该项目”）</w:t>
      </w:r>
      <w:r>
        <w:rPr>
          <w:rFonts w:hint="eastAsia" w:ascii="仿宋_GB2312" w:eastAsia="仿宋_GB2312"/>
          <w:color w:val="auto"/>
          <w:sz w:val="32"/>
          <w:szCs w:val="32"/>
          <w:lang w:val="en-US" w:eastAsia="zh-CN"/>
        </w:rPr>
        <w:t>拟选址</w:t>
      </w:r>
      <w:r>
        <w:rPr>
          <w:rFonts w:hint="eastAsia" w:ascii="仿宋_GB2312" w:eastAsia="仿宋_GB2312"/>
          <w:color w:val="auto"/>
          <w:sz w:val="32"/>
          <w:szCs w:val="32"/>
        </w:rPr>
        <w:t>于广州市番禺区石楼镇创启路63号创启2号楼801单元，申报内容为</w:t>
      </w:r>
      <w:r>
        <w:rPr>
          <w:rFonts w:hint="eastAsia" w:ascii="仿宋_GB2312" w:eastAsia="仿宋_GB2312"/>
          <w:color w:val="auto"/>
          <w:sz w:val="32"/>
          <w:szCs w:val="32"/>
          <w:lang w:val="en-US" w:eastAsia="zh-CN"/>
        </w:rPr>
        <w:t>从事涂料及类似产品的研发试验</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年研发水性树脂200kg，油性树脂200kg，油性异氰酸酯固化剂400kg，水性异氰酸酯固化剂100kg，油性涂料200kg，水性涂料150kg、水性油墨150kg</w:t>
      </w:r>
      <w:r>
        <w:rPr>
          <w:rFonts w:hint="eastAsia" w:ascii="仿宋_GB2312" w:eastAsia="仿宋_GB2312"/>
          <w:color w:val="auto"/>
          <w:sz w:val="32"/>
          <w:szCs w:val="32"/>
        </w:rPr>
        <w:t>。该项目占地面积722.52平方米，总建筑面积722.52平方米，</w:t>
      </w:r>
      <w:r>
        <w:rPr>
          <w:rFonts w:hint="eastAsia" w:ascii="仿宋_GB2312" w:eastAsia="仿宋_GB2312"/>
          <w:color w:val="auto"/>
          <w:sz w:val="32"/>
          <w:szCs w:val="32"/>
          <w:lang w:val="en-US" w:eastAsia="zh-CN"/>
        </w:rPr>
        <w:t>租用1栋8层</w:t>
      </w:r>
      <w:r>
        <w:rPr>
          <w:rFonts w:hint="eastAsia" w:ascii="仿宋_GB2312" w:eastAsia="仿宋_GB2312"/>
          <w:color w:val="auto"/>
          <w:sz w:val="32"/>
          <w:szCs w:val="32"/>
        </w:rPr>
        <w:t>建筑</w:t>
      </w:r>
      <w:r>
        <w:rPr>
          <w:rFonts w:hint="eastAsia" w:ascii="仿宋_GB2312" w:eastAsia="仿宋_GB2312"/>
          <w:color w:val="auto"/>
          <w:sz w:val="32"/>
          <w:szCs w:val="32"/>
          <w:lang w:val="en-US" w:eastAsia="zh-CN"/>
        </w:rPr>
        <w:t>的第8层部分区域</w:t>
      </w:r>
      <w:r>
        <w:rPr>
          <w:rFonts w:hint="eastAsia" w:ascii="仿宋_GB2312" w:eastAsia="仿宋_GB2312"/>
          <w:color w:val="auto"/>
          <w:sz w:val="32"/>
          <w:szCs w:val="32"/>
        </w:rPr>
        <w:t>；主要设备有</w:t>
      </w:r>
      <w:r>
        <w:rPr>
          <w:rFonts w:hint="eastAsia" w:ascii="仿宋_GB2312" w:eastAsia="仿宋_GB2312"/>
          <w:color w:val="auto"/>
          <w:sz w:val="32"/>
          <w:szCs w:val="32"/>
          <w:lang w:val="en-US" w:eastAsia="zh-CN"/>
        </w:rPr>
        <w:t>搅拌器5套、恒温电热套5个、电子秤5台、低温恒温水浴槽1台、均质机2台、喷涂水帘柜1台、喷枪2把、打磨台1台、烘箱4台、盐雾箱1台、凹版印刷机1台、搅拌分散机2台、高速分散机2台及其他实验设备一批等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名，内部不安排食宿。</w:t>
      </w:r>
    </w:p>
    <w:p w14:paraId="0B64A3CC">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经营范围和环境保护措施进行建设。</w:t>
      </w:r>
    </w:p>
    <w:p w14:paraId="655CFE16">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135</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实验</w:t>
      </w:r>
      <w:r>
        <w:rPr>
          <w:rFonts w:hint="eastAsia" w:ascii="仿宋_GB2312" w:eastAsia="仿宋_GB2312"/>
          <w:color w:val="auto"/>
          <w:sz w:val="32"/>
          <w:szCs w:val="32"/>
        </w:rPr>
        <w:t>废水排放量不超过65.487吨/年，</w:t>
      </w:r>
      <w:r>
        <w:rPr>
          <w:rFonts w:hint="eastAsia" w:ascii="仿宋_GB2312" w:eastAsia="仿宋_GB2312"/>
          <w:color w:val="auto"/>
          <w:sz w:val="32"/>
          <w:szCs w:val="32"/>
          <w:lang w:val="en-US" w:eastAsia="zh-CN"/>
        </w:rPr>
        <w:t>浓水排放量不超过1.51</w:t>
      </w:r>
      <w:r>
        <w:rPr>
          <w:rFonts w:hint="eastAsia" w:ascii="仿宋_GB2312" w:eastAsia="仿宋_GB2312"/>
          <w:color w:val="auto"/>
          <w:sz w:val="32"/>
          <w:szCs w:val="32"/>
        </w:rPr>
        <w:t>吨/年。</w:t>
      </w:r>
    </w:p>
    <w:p w14:paraId="5C2993F3">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（二）苯系物</w:t>
      </w:r>
      <w:r>
        <w:rPr>
          <w:rFonts w:hint="eastAsia" w:ascii="仿宋_GB2312" w:eastAsia="仿宋_GB2312"/>
          <w:color w:val="auto"/>
          <w:sz w:val="32"/>
          <w:szCs w:val="32"/>
          <w:lang w:val="en-US" w:eastAsia="zh-CN"/>
        </w:rPr>
        <w:t>排放执行广东省《固定污染源挥发性有机物综合排放标准》（DB44/2367-2022）表1挥发性有机物排放限值；NMHC、TVOC排放执行《涂料、油墨及胶粘剂工业大气污染物排放标准》（GB37824-2019）中表2大气污染物特别排放限值；总VOCs排放执行广东省地方标准《印刷行业挥发性有机化合物排放标准》（DB44/815-2010）表2中凹版印刷、凸版印刷、丝网印刷、平版印刷（以金属、陶瓷、玻璃为承印物的平版印刷排放限值；厂界NMHC排放执行《合成树脂工业污染物排放标准》（GB31572-2015，含2024年修改单）中表9企业边界大气污染物浓度限值;厂区内NMHC排放执行广东省《固定污染源挥发性有机物综合排放标准》（DB44/2367-2022）表3厂区内VOCs无组织特别排放限值；颗粒物排放执行广东省地方标准《大气污染物排放限值》（DB44/27-2001）第二时段二级标准及无组织排放监控浓度限值；氨、苯乙烯排放执行《合成树脂工业污染物排放标准》（GB31572-2015，含2024年修改单）中表5大气污染物特别排放限值及《恶臭污染物排放标准》（GB14554-93）表1厂界新扩改建二级标准限值和表2排放标准值；</w:t>
      </w:r>
      <w:r>
        <w:rPr>
          <w:rFonts w:hint="eastAsia" w:ascii="仿宋_GB2312" w:eastAsia="仿宋_GB2312"/>
          <w:color w:val="auto"/>
          <w:sz w:val="32"/>
          <w:szCs w:val="32"/>
        </w:rPr>
        <w:t>臭气浓度排放执行</w:t>
      </w:r>
      <w:r>
        <w:rPr>
          <w:rFonts w:hint="eastAsia" w:ascii="仿宋_GB2312" w:eastAsia="仿宋_GB2312"/>
          <w:color w:val="auto"/>
          <w:sz w:val="32"/>
          <w:szCs w:val="32"/>
          <w:lang w:val="en-US" w:eastAsia="zh-CN"/>
        </w:rPr>
        <w:t>《恶臭污染物排放标准》（GB14554-93）表1厂界新扩改建二级标准限值和表2排放标准值；其他大气污染物排放执行《合成树脂工业污染物排放标准》（GB31572-2015，含2024年修改单）中表5大气污染物特别排放限值。</w:t>
      </w:r>
    </w:p>
    <w:p w14:paraId="60A6FD87">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1E5FD2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（一）排水系统采用雨污分流。</w:t>
      </w:r>
      <w:r>
        <w:rPr>
          <w:rFonts w:hint="eastAsia" w:ascii="仿宋_GB2312" w:eastAsia="仿宋_GB2312"/>
          <w:color w:val="auto"/>
          <w:sz w:val="32"/>
          <w:szCs w:val="32"/>
          <w:lang w:val="en-US" w:eastAsia="zh-CN"/>
        </w:rPr>
        <w:t>生活污水经三级化粪池</w:t>
      </w:r>
      <w:r>
        <w:rPr>
          <w:rFonts w:hint="eastAsia" w:ascii="仿宋_GB2312" w:eastAsia="仿宋_GB2312"/>
          <w:color w:val="auto"/>
          <w:sz w:val="32"/>
          <w:szCs w:val="32"/>
          <w:lang w:eastAsia="zh-CN"/>
        </w:rPr>
        <w:t>预</w:t>
      </w:r>
      <w:r>
        <w:rPr>
          <w:rFonts w:hint="eastAsia" w:ascii="仿宋_GB2312" w:eastAsia="仿宋_GB2312"/>
          <w:color w:val="auto"/>
          <w:sz w:val="32"/>
          <w:szCs w:val="32"/>
          <w:lang w:val="en-US" w:eastAsia="zh-CN"/>
        </w:rPr>
        <w:t>处理后，实验废水经自建污水处理设施处理后与纯水浓水一并，分别</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化龙</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处理。项目设置废水排放口</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个。</w:t>
      </w:r>
    </w:p>
    <w:p w14:paraId="3A96B3D2">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应用测试喷板产生的有机废气经水帘柜预处理后与其他有机废气一并收集至</w:t>
      </w:r>
      <w:r>
        <w:rPr>
          <w:rFonts w:hint="eastAsia" w:ascii="仿宋_GB2312" w:eastAsia="仿宋_GB2312"/>
          <w:color w:val="auto"/>
          <w:sz w:val="32"/>
          <w:szCs w:val="32"/>
          <w:lang w:eastAsia="zh-CN"/>
        </w:rPr>
        <w:t>“干式过滤器+活性炭吸附</w:t>
      </w:r>
      <w:r>
        <w:rPr>
          <w:rFonts w:hint="eastAsia" w:ascii="仿宋_GB2312" w:eastAsia="仿宋_GB2312"/>
          <w:color w:val="auto"/>
          <w:sz w:val="32"/>
          <w:szCs w:val="32"/>
          <w:lang w:val="en-US" w:eastAsia="zh-CN"/>
        </w:rPr>
        <w:t>装置</w:t>
      </w:r>
      <w:r>
        <w:rPr>
          <w:rFonts w:hint="eastAsia" w:ascii="仿宋_GB2312" w:eastAsia="仿宋_GB2312"/>
          <w:color w:val="auto"/>
          <w:sz w:val="32"/>
          <w:szCs w:val="32"/>
          <w:lang w:eastAsia="zh-CN"/>
        </w:rPr>
        <w:t>”处理后，通过专用管道引至所在建筑物楼顶高空排放。</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w:t>
      </w:r>
      <w:r>
        <w:rPr>
          <w:rFonts w:hint="eastAsia" w:ascii="仿宋_GB2312" w:eastAsia="仿宋_GB2312"/>
          <w:color w:val="auto"/>
          <w:sz w:val="32"/>
          <w:szCs w:val="32"/>
          <w:lang w:val="en-US" w:eastAsia="zh-CN"/>
        </w:rPr>
        <w:t>布局</w:t>
      </w:r>
      <w:r>
        <w:rPr>
          <w:rFonts w:hint="eastAsia" w:ascii="仿宋_GB2312" w:eastAsia="仿宋_GB2312"/>
          <w:color w:val="auto"/>
          <w:sz w:val="32"/>
          <w:szCs w:val="32"/>
        </w:rPr>
        <w:t>，对噪声源采取隔声、减振等措施，定期检修设备。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（四）废化学品原料桶</w:t>
      </w:r>
      <w:r>
        <w:rPr>
          <w:rFonts w:hint="eastAsia" w:ascii="仿宋_GB2312" w:eastAsia="仿宋_GB2312"/>
          <w:color w:val="auto"/>
          <w:sz w:val="32"/>
          <w:szCs w:val="32"/>
          <w:lang w:eastAsia="zh-CN"/>
        </w:rPr>
        <w:t>、</w:t>
      </w:r>
      <w:r>
        <w:rPr>
          <w:rFonts w:hint="eastAsia" w:ascii="仿宋_GB2312" w:eastAsia="仿宋_GB2312"/>
          <w:color w:val="auto"/>
          <w:sz w:val="32"/>
          <w:szCs w:val="32"/>
        </w:rPr>
        <w:t>废过滤棉</w:t>
      </w:r>
      <w:r>
        <w:rPr>
          <w:rFonts w:hint="eastAsia" w:ascii="仿宋_GB2312" w:eastAsia="仿宋_GB2312"/>
          <w:color w:val="auto"/>
          <w:sz w:val="32"/>
          <w:szCs w:val="32"/>
          <w:lang w:eastAsia="zh-CN"/>
        </w:rPr>
        <w:t>、</w:t>
      </w:r>
      <w:r>
        <w:rPr>
          <w:rFonts w:hint="eastAsia" w:ascii="仿宋_GB2312" w:eastAsia="仿宋_GB2312"/>
          <w:color w:val="auto"/>
          <w:sz w:val="32"/>
          <w:szCs w:val="32"/>
        </w:rPr>
        <w:t>实验废液</w:t>
      </w:r>
      <w:r>
        <w:rPr>
          <w:rFonts w:hint="eastAsia" w:ascii="仿宋_GB2312" w:eastAsia="仿宋_GB2312"/>
          <w:color w:val="auto"/>
          <w:sz w:val="32"/>
          <w:szCs w:val="32"/>
          <w:lang w:eastAsia="zh-CN"/>
        </w:rPr>
        <w:t>、</w:t>
      </w:r>
      <w:r>
        <w:rPr>
          <w:rFonts w:hint="eastAsia" w:ascii="仿宋_GB2312" w:eastAsia="仿宋_GB2312"/>
          <w:color w:val="auto"/>
          <w:sz w:val="32"/>
          <w:szCs w:val="32"/>
        </w:rPr>
        <w:t>废水处理污泥</w:t>
      </w:r>
      <w:r>
        <w:rPr>
          <w:rFonts w:hint="eastAsia" w:ascii="仿宋_GB2312" w:eastAsia="仿宋_GB2312"/>
          <w:color w:val="auto"/>
          <w:sz w:val="32"/>
          <w:szCs w:val="32"/>
          <w:lang w:eastAsia="zh-CN"/>
        </w:rPr>
        <w:t>、</w:t>
      </w:r>
      <w:r>
        <w:rPr>
          <w:rFonts w:hint="eastAsia" w:ascii="仿宋_GB2312" w:eastAsia="仿宋_GB2312"/>
          <w:color w:val="auto"/>
          <w:sz w:val="32"/>
          <w:szCs w:val="32"/>
        </w:rPr>
        <w:t>废实验样品</w:t>
      </w:r>
      <w:r>
        <w:rPr>
          <w:rFonts w:hint="eastAsia" w:ascii="仿宋_GB2312" w:eastAsia="仿宋_GB2312"/>
          <w:color w:val="auto"/>
          <w:sz w:val="32"/>
          <w:szCs w:val="32"/>
          <w:lang w:eastAsia="zh-CN"/>
        </w:rPr>
        <w:t>、</w:t>
      </w:r>
      <w:r>
        <w:rPr>
          <w:rFonts w:hint="eastAsia" w:ascii="仿宋_GB2312" w:eastAsia="仿宋_GB2312"/>
          <w:color w:val="auto"/>
          <w:sz w:val="32"/>
          <w:szCs w:val="32"/>
        </w:rPr>
        <w:t>废活性炭等危险废物须设置符合《危险废物贮存污染控制标准》（GB18597-20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0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9"/>
        <w:keepNext w:val="0"/>
        <w:keepLines w:val="0"/>
        <w:pageBreakBefore w:val="0"/>
        <w:kinsoku/>
        <w:wordWrap/>
        <w:overflowPunct/>
        <w:topLinePunct w:val="0"/>
        <w:autoSpaceDE/>
        <w:autoSpaceDN/>
        <w:bidi w:val="0"/>
        <w:adjustRightInd/>
        <w:snapToGrid/>
        <w:spacing w:line="500" w:lineRule="exact"/>
        <w:ind w:firstLine="636"/>
        <w:textAlignment w:val="auto"/>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wordWrap/>
        <w:overflowPunct/>
        <w:topLinePunct w:val="0"/>
        <w:autoSpaceDE/>
        <w:autoSpaceDN/>
        <w:bidi w:val="0"/>
        <w:adjustRightInd/>
        <w:snapToGrid/>
        <w:spacing w:line="500" w:lineRule="exact"/>
        <w:textAlignment w:val="auto"/>
        <w:rPr>
          <w:rFonts w:ascii="仿宋_GB2312" w:eastAsia="仿宋_GB2312"/>
          <w:color w:val="auto"/>
          <w:sz w:val="32"/>
          <w:szCs w:val="32"/>
        </w:rPr>
      </w:pPr>
    </w:p>
    <w:p w14:paraId="7E90A0C7">
      <w:pPr>
        <w:keepNext w:val="0"/>
        <w:keepLines w:val="0"/>
        <w:pageBreakBefore w:val="0"/>
        <w:kinsoku/>
        <w:wordWrap/>
        <w:overflowPunct/>
        <w:topLinePunct w:val="0"/>
        <w:autoSpaceDE/>
        <w:autoSpaceDN/>
        <w:bidi w:val="0"/>
        <w:adjustRightInd/>
        <w:snapToGrid/>
        <w:spacing w:line="50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wordWrap/>
        <w:overflowPunct/>
        <w:topLinePunct w:val="0"/>
        <w:autoSpaceDE/>
        <w:autoSpaceDN/>
        <w:bidi w:val="0"/>
        <w:adjustRightInd/>
        <w:snapToGrid/>
        <w:spacing w:line="50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27</w:t>
      </w:r>
      <w:r>
        <w:rPr>
          <w:rFonts w:hint="eastAsia" w:ascii="仿宋_GB2312" w:eastAsia="仿宋_GB2312"/>
          <w:color w:val="auto"/>
          <w:sz w:val="32"/>
          <w:szCs w:val="32"/>
        </w:rPr>
        <w:t>日</w:t>
      </w:r>
    </w:p>
    <w:p w14:paraId="10D041B4">
      <w:pPr>
        <w:keepNext w:val="0"/>
        <w:keepLines w:val="0"/>
        <w:pageBreakBefore w:val="0"/>
        <w:kinsoku/>
        <w:overflowPunct/>
        <w:topLinePunct w:val="0"/>
        <w:autoSpaceDE/>
        <w:autoSpaceDN/>
        <w:bidi w:val="0"/>
        <w:spacing w:line="500" w:lineRule="exact"/>
        <w:textAlignment w:val="auto"/>
        <w:rPr>
          <w:rFonts w:hint="eastAsia" w:ascii="黑体" w:eastAsia="黑体"/>
          <w:color w:val="auto"/>
          <w:sz w:val="32"/>
          <w:szCs w:val="32"/>
        </w:rPr>
      </w:pPr>
    </w:p>
    <w:p w14:paraId="0CCA8466">
      <w:pPr>
        <w:keepNext w:val="0"/>
        <w:keepLines w:val="0"/>
        <w:pageBreakBefore w:val="0"/>
        <w:kinsoku/>
        <w:overflowPunct/>
        <w:topLinePunct w:val="0"/>
        <w:autoSpaceDE/>
        <w:autoSpaceDN/>
        <w:bidi w:val="0"/>
        <w:spacing w:line="50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0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0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四</w:t>
      </w:r>
      <w:r>
        <w:rPr>
          <w:rFonts w:hint="eastAsia" w:ascii="仿宋_GB2312" w:eastAsia="仿宋_GB2312"/>
          <w:color w:val="auto"/>
          <w:sz w:val="28"/>
          <w:szCs w:val="28"/>
        </w:rPr>
        <w:t>环保所，广州国绿环保科技有限公司。</w:t>
      </w:r>
    </w:p>
    <w:bookmarkEnd w:id="0"/>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10"/>
        <w:rFonts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3</w:t>
    </w:r>
    <w:r>
      <w:rPr>
        <w:rStyle w:val="10"/>
        <w:rFonts w:ascii="宋体" w:hAnsi="宋体"/>
        <w:sz w:val="28"/>
        <w:szCs w:val="28"/>
      </w:rPr>
      <w:fldChar w:fldCharType="end"/>
    </w:r>
    <w:r>
      <w:rPr>
        <w:rStyle w:val="10"/>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067962"/>
    <w:rsid w:val="068948CB"/>
    <w:rsid w:val="083C20B8"/>
    <w:rsid w:val="091574A4"/>
    <w:rsid w:val="0AB6351E"/>
    <w:rsid w:val="0AEE277F"/>
    <w:rsid w:val="0B1F3303"/>
    <w:rsid w:val="0C7516B2"/>
    <w:rsid w:val="0C807692"/>
    <w:rsid w:val="0DE36B99"/>
    <w:rsid w:val="0E0B63D0"/>
    <w:rsid w:val="0E3B3C64"/>
    <w:rsid w:val="0F0A6D3C"/>
    <w:rsid w:val="0F611949"/>
    <w:rsid w:val="0FD72C0C"/>
    <w:rsid w:val="10141182"/>
    <w:rsid w:val="103E38B5"/>
    <w:rsid w:val="10BF38FB"/>
    <w:rsid w:val="10E93D4E"/>
    <w:rsid w:val="10F42AFA"/>
    <w:rsid w:val="10F56479"/>
    <w:rsid w:val="11B62D57"/>
    <w:rsid w:val="12737E91"/>
    <w:rsid w:val="12B433F4"/>
    <w:rsid w:val="12DA5DA1"/>
    <w:rsid w:val="12E3158A"/>
    <w:rsid w:val="1549557C"/>
    <w:rsid w:val="157D650A"/>
    <w:rsid w:val="15A25C0B"/>
    <w:rsid w:val="16A128C5"/>
    <w:rsid w:val="184B5B81"/>
    <w:rsid w:val="19AF0CB4"/>
    <w:rsid w:val="19F023A6"/>
    <w:rsid w:val="1BC528C4"/>
    <w:rsid w:val="1C1945A6"/>
    <w:rsid w:val="1D4266B3"/>
    <w:rsid w:val="1E2B2144"/>
    <w:rsid w:val="1E537B54"/>
    <w:rsid w:val="1F3F7351"/>
    <w:rsid w:val="1F4D7EC7"/>
    <w:rsid w:val="20CF4E76"/>
    <w:rsid w:val="21BD5166"/>
    <w:rsid w:val="221365B8"/>
    <w:rsid w:val="226A3577"/>
    <w:rsid w:val="22D820BB"/>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3FB03B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19296F"/>
    <w:rsid w:val="418E5F9D"/>
    <w:rsid w:val="42BF1B92"/>
    <w:rsid w:val="43D755DA"/>
    <w:rsid w:val="43F25407"/>
    <w:rsid w:val="440875AB"/>
    <w:rsid w:val="450F1F75"/>
    <w:rsid w:val="453C3F01"/>
    <w:rsid w:val="45520847"/>
    <w:rsid w:val="45E73322"/>
    <w:rsid w:val="466F6732"/>
    <w:rsid w:val="49383A30"/>
    <w:rsid w:val="494A394A"/>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6DF4CA3"/>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87407A"/>
    <w:rsid w:val="77A5337F"/>
    <w:rsid w:val="77D05B9F"/>
    <w:rsid w:val="780A11FC"/>
    <w:rsid w:val="781B07A0"/>
    <w:rsid w:val="78692E41"/>
    <w:rsid w:val="78824C27"/>
    <w:rsid w:val="79442D41"/>
    <w:rsid w:val="7B331FDF"/>
    <w:rsid w:val="7B5B3EF1"/>
    <w:rsid w:val="7BA515D0"/>
    <w:rsid w:val="7C2E2674"/>
    <w:rsid w:val="7CA57741"/>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Char"/>
    <w:basedOn w:val="9"/>
    <w:link w:val="5"/>
    <w:semiHidden/>
    <w:qFormat/>
    <w:uiPriority w:val="99"/>
    <w:rPr>
      <w:kern w:val="2"/>
      <w:sz w:val="18"/>
      <w:szCs w:val="18"/>
    </w:rPr>
  </w:style>
  <w:style w:type="character" w:customStyle="1" w:styleId="13">
    <w:name w:val="页脚 Char"/>
    <w:basedOn w:val="9"/>
    <w:link w:val="4"/>
    <w:qFormat/>
    <w:uiPriority w:val="99"/>
    <w:rPr>
      <w:kern w:val="2"/>
      <w:sz w:val="18"/>
      <w:szCs w:val="18"/>
    </w:rPr>
  </w:style>
  <w:style w:type="paragraph" w:customStyle="1" w:styleId="14">
    <w:name w:val="Char1"/>
    <w:basedOn w:val="1"/>
    <w:qFormat/>
    <w:uiPriority w:val="0"/>
    <w:pPr>
      <w:tabs>
        <w:tab w:val="left" w:pos="840"/>
      </w:tabs>
      <w:ind w:left="840" w:hanging="420"/>
    </w:pPr>
    <w:rPr>
      <w:rFonts w:ascii="Times New Roman" w:hAnsi="Times New Roman"/>
      <w:sz w:val="24"/>
      <w:szCs w:val="24"/>
    </w:rPr>
  </w:style>
  <w:style w:type="character" w:customStyle="1" w:styleId="15">
    <w:name w:val="批注文字 Char"/>
    <w:basedOn w:val="9"/>
    <w:link w:val="2"/>
    <w:semiHidden/>
    <w:qFormat/>
    <w:uiPriority w:val="99"/>
    <w:rPr>
      <w:kern w:val="2"/>
      <w:sz w:val="21"/>
      <w:szCs w:val="22"/>
    </w:rPr>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kern w:val="2"/>
      <w:sz w:val="18"/>
      <w:szCs w:val="18"/>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表格文字"/>
    <w:qFormat/>
    <w:uiPriority w:val="0"/>
    <w:pPr>
      <w:tabs>
        <w:tab w:val="left" w:pos="538"/>
      </w:tabs>
      <w:jc w:val="center"/>
      <w:textAlignment w:val="center"/>
    </w:pPr>
    <w:rPr>
      <w:rFonts w:ascii="Times New Roman" w:hAnsi="Times New Roman" w:eastAsia="宋体" w:cs="Times New Roman"/>
      <w:color w:val="0D0D0D"/>
      <w:sz w:val="21"/>
      <w:lang w:val="en-US" w:eastAsia="zh-CN" w:bidi="ar-SA"/>
    </w:rPr>
  </w:style>
  <w:style w:type="table" w:customStyle="1" w:styleId="21">
    <w:name w:val="报告表表格"/>
    <w:basedOn w:val="8"/>
    <w:qFormat/>
    <w:uiPriority w:val="99"/>
    <w:pPr>
      <w:jc w:val="center"/>
      <w:textAlignment w:val="center"/>
    </w:pPr>
    <w:rPr>
      <w:sz w:val="21"/>
    </w:rPr>
    <w:tblPr>
      <w:jc w:val="center"/>
      <w:tblBorders>
        <w:top w:val="single" w:color="0D0D0D" w:sz="8" w:space="0"/>
        <w:bottom w:val="single" w:color="0D0D0D" w:sz="12" w:space="0"/>
        <w:insideH w:val="single" w:color="0D0D0D" w:sz="8" w:space="0"/>
        <w:insideV w:val="single" w:color="0D0D0D" w:sz="8" w:space="0"/>
      </w:tblBorders>
      <w:tblCellMar>
        <w:left w:w="57" w:type="dxa"/>
        <w:right w:w="57" w:type="dxa"/>
      </w:tblCellMar>
    </w:tblPr>
    <w:trPr>
      <w:jc w:val="center"/>
    </w:trPr>
    <w:tcPr>
      <w:vAlign w:val="center"/>
    </w:tcPr>
    <w:tblStylePr w:type="firstRow">
      <w:pPr>
        <w:wordWrap/>
        <w:spacing w:before="0" w:beforeLines="0" w:beforeAutospacing="0" w:after="0" w:afterLines="0" w:afterAutospacing="0" w:line="240" w:lineRule="auto"/>
        <w:ind w:left="0" w:leftChars="0" w:right="0" w:rightChars="0" w:firstLine="0" w:firstLineChars="0"/>
        <w:jc w:val="center"/>
        <w:textAlignment w:val="center"/>
        <w:outlineLvl w:val="9"/>
      </w:pPr>
      <w:rPr>
        <w:rFonts w:ascii="Times New Roman" w:hAnsi="Times New Roman" w:eastAsia="宋体"/>
        <w:b/>
        <w:bCs/>
        <w:i w:val="0"/>
        <w:color w:val="auto"/>
        <w:sz w:val="21"/>
      </w:rPr>
      <w:tcPr>
        <w:tcBorders>
          <w:top w:val="single" w:color="0D0D0D" w:sz="12" w:space="0"/>
          <w:left w:val="nil"/>
          <w:bottom w:val="nil"/>
          <w:right w:val="nil"/>
          <w:insideH w:val="single" w:sz="12" w:space="0"/>
          <w:insideV w:val="single" w:sz="8" w:space="0"/>
          <w:tl2br w:val="nil"/>
          <w:tr2bl w:val="nil"/>
        </w:tcBorders>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2268</Words>
  <Characters>2550</Characters>
  <Lines>19</Lines>
  <Paragraphs>5</Paragraphs>
  <TotalTime>4</TotalTime>
  <ScaleCrop>false</ScaleCrop>
  <LinksUpToDate>false</LinksUpToDate>
  <CharactersWithSpaces>2613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2025-08-27T08:08:41Z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2052-12.1.0.22529</vt:lpwstr>
  </property>
  <property fmtid="{D5CDD505-2E9C-101B-9397-08002B2CF9AE}" pid="4" name="ICV">
    <vt:lpwstr>A4124AEC463D41989618AAA8CF4CE318_13</vt:lpwstr>
  </property>
  <property fmtid="{D5CDD505-2E9C-101B-9397-08002B2CF9AE}" pid="5" name="KSOTemplateDocerSaveRecord">
    <vt:lpwstr>eyJoZGlkIjoiOTFmYTNmMGY4YzliOTEyNGRkM2M5OTJiMTUxNWY2YjkiLCJ1c2VySWQiOiIxMDI2OTE4Mzc5In0=</vt:lpwstr>
  </property>
</Properties>
</file>