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373B5">
      <w:pPr>
        <w:adjustRightInd w:val="0"/>
        <w:snapToGrid w:val="0"/>
        <w:ind w:right="-156" w:hanging="180"/>
        <w:jc w:val="center"/>
        <w:rPr>
          <w:rFonts w:ascii="公文小标宋简" w:eastAsia="公文小标宋简"/>
          <w:b/>
          <w:bCs/>
          <w:smallCaps/>
          <w:snapToGrid w:val="0"/>
          <w:color w:val="auto"/>
          <w:spacing w:val="56"/>
          <w:kern w:val="0"/>
          <w:sz w:val="72"/>
          <w:szCs w:val="72"/>
        </w:rPr>
      </w:pPr>
    </w:p>
    <w:p w14:paraId="1AA5779C">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auto"/>
        </w:rPr>
      </w:pPr>
      <w:r>
        <w:rPr>
          <w:rFonts w:hint="eastAsia" w:ascii="仿宋_GB2312"/>
          <w:color w:val="auto"/>
        </w:rPr>
        <w:t xml:space="preserve">                                       </w:t>
      </w:r>
      <w:r>
        <w:rPr>
          <w:rFonts w:hint="eastAsia" w:ascii="仿宋_GB2312" w:eastAsia="仿宋_GB2312"/>
          <w:color w:val="auto"/>
          <w:sz w:val="32"/>
          <w:szCs w:val="32"/>
        </w:rPr>
        <w:t>穗环管影（番）〔202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115</w:t>
      </w:r>
      <w:bookmarkStart w:id="0" w:name="_GoBack"/>
      <w:bookmarkEnd w:id="0"/>
      <w:r>
        <w:rPr>
          <w:rFonts w:hint="eastAsia" w:ascii="仿宋_GB2312" w:eastAsia="仿宋_GB2312"/>
          <w:color w:val="auto"/>
          <w:sz w:val="32"/>
          <w:szCs w:val="32"/>
        </w:rPr>
        <w:t>号</w:t>
      </w:r>
    </w:p>
    <w:p w14:paraId="0D9D23AD">
      <w:pPr>
        <w:keepNext w:val="0"/>
        <w:keepLines w:val="0"/>
        <w:pageBreakBefore w:val="0"/>
        <w:kinsoku/>
        <w:overflowPunct/>
        <w:topLinePunct w:val="0"/>
        <w:autoSpaceDE/>
        <w:autoSpaceDN/>
        <w:bidi w:val="0"/>
        <w:spacing w:line="560" w:lineRule="exact"/>
        <w:textAlignment w:val="auto"/>
        <w:rPr>
          <w:rFonts w:ascii="黑体" w:eastAsia="黑体"/>
          <w:color w:val="auto"/>
        </w:rPr>
      </w:pPr>
    </w:p>
    <w:p w14:paraId="0AC8BEF1">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auto"/>
        </w:rPr>
      </w:pPr>
    </w:p>
    <w:p w14:paraId="03173BE7">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sz w:val="44"/>
          <w:szCs w:val="44"/>
        </w:rPr>
        <w:t>广州市生态环境局关于华南师范大学（广州大学城校区）实验楼建设项目环境影响报告表的批复</w:t>
      </w:r>
    </w:p>
    <w:p w14:paraId="00880D9C">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D947783">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仿宋_GB2312" w:eastAsia="仿宋_GB2312"/>
          <w:color w:val="auto"/>
          <w:sz w:val="32"/>
          <w:szCs w:val="32"/>
        </w:rPr>
        <w:t>华南师范大学（124400004558589190）：</w:t>
      </w:r>
    </w:p>
    <w:p w14:paraId="06F9824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你单位报送的《华南师范大学（广州大学城校区）实验楼建设项目环境影响报告表》（以下简称《报告表》）及附送资料收悉。经研究，现批复如下：</w:t>
      </w:r>
    </w:p>
    <w:p w14:paraId="6234E81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一、华南师范大学（广州大学城校区）实验楼建设项目（以下简称“该项目”）位于广州市番禺区小谷围街道大学城外环西路378号，申报内容为教学实验活动</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设立多个化学交叉领域实验室、物理交叉领域实验室、材料交叉领域实验室。该项目占地面积</w:t>
      </w:r>
      <w:r>
        <w:rPr>
          <w:rFonts w:hint="eastAsia" w:ascii="仿宋_GB2312" w:eastAsia="仿宋_GB2312"/>
          <w:color w:val="auto"/>
          <w:sz w:val="32"/>
          <w:szCs w:val="32"/>
          <w:lang w:val="en-US" w:eastAsia="zh-CN"/>
        </w:rPr>
        <w:t>3660</w:t>
      </w:r>
      <w:r>
        <w:rPr>
          <w:rFonts w:hint="eastAsia" w:ascii="仿宋_GB2312" w:eastAsia="仿宋_GB2312"/>
          <w:color w:val="auto"/>
          <w:sz w:val="32"/>
          <w:szCs w:val="32"/>
        </w:rPr>
        <w:t>平方米，总建筑面积18422.61平方米，主要建筑物</w:t>
      </w:r>
      <w:r>
        <w:rPr>
          <w:rFonts w:hint="eastAsia" w:ascii="仿宋_GB2312" w:eastAsia="仿宋_GB2312"/>
          <w:color w:val="auto"/>
          <w:sz w:val="32"/>
          <w:szCs w:val="32"/>
          <w:lang w:val="en-US" w:eastAsia="zh-CN"/>
        </w:rPr>
        <w:t>为</w:t>
      </w:r>
      <w:r>
        <w:rPr>
          <w:rFonts w:hint="eastAsia" w:ascii="仿宋_GB2312" w:eastAsia="仿宋_GB2312"/>
          <w:color w:val="auto"/>
          <w:sz w:val="32"/>
          <w:szCs w:val="32"/>
        </w:rPr>
        <w:t>1栋地上6层、地下1层的实验楼；主要设备有</w:t>
      </w:r>
      <w:r>
        <w:rPr>
          <w:rFonts w:hint="eastAsia" w:ascii="仿宋_GB2312" w:eastAsia="仿宋_GB2312"/>
          <w:color w:val="auto"/>
          <w:sz w:val="32"/>
          <w:szCs w:val="32"/>
          <w:lang w:val="en-US" w:eastAsia="zh-CN"/>
        </w:rPr>
        <w:t>搅拌器30台、干燥箱17台、蒸发仪7台、加热台51台、烘箱25台、马弗炉3台、管式炉7台、超声清洗机2台、</w:t>
      </w:r>
      <w:r>
        <w:rPr>
          <w:rFonts w:hint="eastAsia" w:ascii="仿宋_GB2312" w:eastAsia="仿宋_GB2312"/>
          <w:color w:val="auto"/>
          <w:sz w:val="32"/>
          <w:szCs w:val="32"/>
        </w:rPr>
        <w:t>热蒸镀设备</w:t>
      </w:r>
      <w:r>
        <w:rPr>
          <w:rFonts w:hint="eastAsia" w:ascii="仿宋_GB2312" w:eastAsia="仿宋_GB2312"/>
          <w:color w:val="auto"/>
          <w:sz w:val="32"/>
          <w:szCs w:val="32"/>
          <w:lang w:val="en-US" w:eastAsia="zh-CN"/>
        </w:rPr>
        <w:t>2台、蒸镀系统1台、</w:t>
      </w:r>
      <w:r>
        <w:rPr>
          <w:rFonts w:hint="eastAsia" w:ascii="仿宋_GB2312" w:eastAsia="仿宋_GB2312"/>
          <w:color w:val="auto"/>
          <w:sz w:val="32"/>
          <w:szCs w:val="32"/>
        </w:rPr>
        <w:t>等离子刻蚀机</w:t>
      </w:r>
      <w:r>
        <w:rPr>
          <w:rFonts w:hint="eastAsia" w:ascii="仿宋_GB2312" w:eastAsia="仿宋_GB2312"/>
          <w:color w:val="auto"/>
          <w:sz w:val="32"/>
          <w:szCs w:val="32"/>
          <w:lang w:val="en-US" w:eastAsia="zh-CN"/>
        </w:rPr>
        <w:t>2台、高温烧结炉2台、高温测试炉8台及其他实验设备一批等</w:t>
      </w:r>
      <w:r>
        <w:rPr>
          <w:rFonts w:hint="eastAsia" w:ascii="仿宋_GB2312" w:eastAsia="仿宋_GB2312"/>
          <w:color w:val="auto"/>
          <w:sz w:val="32"/>
          <w:szCs w:val="32"/>
        </w:rPr>
        <w:t>。</w:t>
      </w:r>
    </w:p>
    <w:p w14:paraId="0B64A3CC">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按照《报告表》的评价结论，在落实各项环境保护措施后，该项目产生的污染物及不良环境影响能够得到有效控制，从环境保护角度，在拟选址处建设可行。经审查，我局原则同意《报告表》评价结论。该项目应当按照《报告表》所述性质、规模、地点、使用功能和环境保护措施进行建设。</w:t>
      </w:r>
    </w:p>
    <w:p w14:paraId="655CFE16">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二、该项目各类污染物排放控制要求如下：</w:t>
      </w:r>
    </w:p>
    <w:p w14:paraId="4A77641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实验废水排放口的总铬、六价铬执行广东省《水污染物排放限值》（DB44/26-2001）表1第一类污染物最高允许排放浓度；其他水污染物排放执行广东省《水污染物排放限值》（DB44/26-2001）表4第二类污染物最高允许排放浓度第二时段三级标准。</w:t>
      </w:r>
      <w:r>
        <w:rPr>
          <w:rFonts w:hint="eastAsia" w:ascii="仿宋_GB2312" w:eastAsia="仿宋_GB2312"/>
          <w:color w:val="auto"/>
          <w:sz w:val="32"/>
          <w:szCs w:val="32"/>
          <w:lang w:val="en-US" w:eastAsia="zh-CN"/>
        </w:rPr>
        <w:t>生活污水排放量不超过9000</w:t>
      </w:r>
      <w:r>
        <w:rPr>
          <w:rFonts w:hint="eastAsia" w:ascii="仿宋_GB2312" w:eastAsia="仿宋_GB2312"/>
          <w:color w:val="auto"/>
          <w:sz w:val="32"/>
          <w:szCs w:val="32"/>
        </w:rPr>
        <w:t>吨/年</w:t>
      </w:r>
      <w:r>
        <w:rPr>
          <w:rFonts w:hint="eastAsia" w:ascii="仿宋_GB2312" w:eastAsia="仿宋_GB2312"/>
          <w:color w:val="auto"/>
          <w:sz w:val="32"/>
          <w:szCs w:val="32"/>
          <w:lang w:eastAsia="zh-CN"/>
        </w:rPr>
        <w:t>，</w:t>
      </w:r>
      <w:r>
        <w:rPr>
          <w:rFonts w:hint="eastAsia" w:ascii="仿宋_GB2312" w:eastAsia="仿宋_GB2312"/>
          <w:color w:val="auto"/>
          <w:sz w:val="32"/>
          <w:szCs w:val="32"/>
        </w:rPr>
        <w:t>实验废水排放量不超过</w:t>
      </w:r>
      <w:r>
        <w:rPr>
          <w:rFonts w:hint="eastAsia" w:ascii="仿宋_GB2312" w:eastAsia="仿宋_GB2312"/>
          <w:color w:val="auto"/>
          <w:sz w:val="32"/>
          <w:szCs w:val="32"/>
          <w:lang w:val="en-US" w:eastAsia="zh-CN"/>
        </w:rPr>
        <w:t>2884</w:t>
      </w:r>
      <w:r>
        <w:rPr>
          <w:rFonts w:hint="eastAsia" w:ascii="仿宋_GB2312" w:eastAsia="仿宋_GB2312"/>
          <w:color w:val="auto"/>
          <w:sz w:val="32"/>
          <w:szCs w:val="32"/>
        </w:rPr>
        <w:t>吨/年。</w:t>
      </w:r>
    </w:p>
    <w:p w14:paraId="5C2993F3">
      <w:pPr>
        <w:keepNext w:val="0"/>
        <w:keepLines w:val="0"/>
        <w:pageBreakBefore w:val="0"/>
        <w:kinsoku/>
        <w:overflowPunct/>
        <w:topLinePunct w:val="0"/>
        <w:autoSpaceDE/>
        <w:autoSpaceDN/>
        <w:bidi w:val="0"/>
        <w:spacing w:line="56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rPr>
        <w:t>（二）氨、臭气浓度排放执行《恶臭污染物排放标准》（GB14554-93）表1厂界新扩改建二级标准限值和表2排放标准值；其他大气污染物排放执行广东省《大气污染物排放限值》（DB44/27-2001）第二时段二级标准及无组织排放监控浓度限值</w:t>
      </w:r>
      <w:r>
        <w:rPr>
          <w:rFonts w:ascii="仿宋_GB2312" w:eastAsia="仿宋_GB2312"/>
          <w:color w:val="auto"/>
          <w:sz w:val="32"/>
          <w:szCs w:val="32"/>
        </w:rPr>
        <w:t>。</w:t>
      </w:r>
    </w:p>
    <w:p w14:paraId="1C452005">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w:t>
      </w:r>
      <w:r>
        <w:rPr>
          <w:rFonts w:hint="eastAsia" w:ascii="仿宋_GB2312" w:eastAsia="仿宋_GB2312"/>
          <w:color w:val="auto"/>
          <w:sz w:val="32"/>
          <w:szCs w:val="32"/>
          <w:lang w:val="en-US" w:eastAsia="zh-CN"/>
        </w:rPr>
        <w:t>西南面</w:t>
      </w:r>
      <w:r>
        <w:rPr>
          <w:rFonts w:hint="eastAsia" w:ascii="仿宋_GB2312" w:eastAsia="仿宋_GB2312"/>
          <w:color w:val="auto"/>
          <w:sz w:val="32"/>
          <w:szCs w:val="32"/>
        </w:rPr>
        <w:t>边界噪声排放执行《工业企业厂界环境噪声排放标准》（GB12348-2008）4类区限值，即：昼间≤7</w:t>
      </w:r>
      <w:r>
        <w:rPr>
          <w:rFonts w:hint="eastAsia" w:ascii="仿宋_GB2312" w:eastAsia="仿宋_GB2312"/>
          <w:color w:val="auto"/>
          <w:sz w:val="32"/>
          <w:szCs w:val="32"/>
          <w:lang w:val="en-US" w:eastAsia="zh-CN"/>
        </w:rPr>
        <w:t>0dB（A）</w:t>
      </w:r>
      <w:r>
        <w:rPr>
          <w:rFonts w:hint="eastAsia" w:ascii="仿宋_GB2312" w:eastAsia="仿宋_GB2312"/>
          <w:color w:val="auto"/>
          <w:sz w:val="32"/>
          <w:szCs w:val="32"/>
        </w:rPr>
        <w:t>，夜间≤55</w:t>
      </w:r>
      <w:r>
        <w:rPr>
          <w:rFonts w:hint="eastAsia" w:ascii="仿宋_GB2312" w:eastAsia="仿宋_GB2312"/>
          <w:color w:val="auto"/>
          <w:sz w:val="32"/>
          <w:szCs w:val="32"/>
          <w:lang w:val="en-US" w:eastAsia="zh-CN"/>
        </w:rPr>
        <w:t>dB（A）；其余边界噪声排放执行</w:t>
      </w:r>
      <w:r>
        <w:rPr>
          <w:rFonts w:hint="eastAsia" w:ascii="仿宋_GB2312" w:eastAsia="仿宋_GB2312"/>
          <w:color w:val="auto"/>
          <w:sz w:val="32"/>
          <w:szCs w:val="32"/>
        </w:rPr>
        <w:t>《工业企业厂界环境噪声排放标准》（GB12348-2008）</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类区限值，即：昼间≤</w:t>
      </w:r>
      <w:r>
        <w:rPr>
          <w:rFonts w:hint="eastAsia" w:ascii="仿宋_GB2312" w:eastAsia="仿宋_GB2312"/>
          <w:color w:val="auto"/>
          <w:sz w:val="32"/>
          <w:szCs w:val="32"/>
          <w:lang w:val="en-US" w:eastAsia="zh-CN"/>
        </w:rPr>
        <w:t>55dB（A）</w:t>
      </w:r>
      <w:r>
        <w:rPr>
          <w:rFonts w:hint="eastAsia" w:ascii="仿宋_GB2312" w:eastAsia="仿宋_GB2312"/>
          <w:color w:val="auto"/>
          <w:sz w:val="32"/>
          <w:szCs w:val="32"/>
        </w:rPr>
        <w:t>，夜间≤</w:t>
      </w:r>
      <w:r>
        <w:rPr>
          <w:rFonts w:hint="eastAsia" w:ascii="仿宋_GB2312" w:eastAsia="仿宋_GB2312"/>
          <w:color w:val="auto"/>
          <w:sz w:val="32"/>
          <w:szCs w:val="32"/>
          <w:lang w:val="en-US" w:eastAsia="zh-CN"/>
        </w:rPr>
        <w:t>45dB（A）</w:t>
      </w:r>
      <w:r>
        <w:rPr>
          <w:rFonts w:hint="eastAsia" w:ascii="仿宋_GB2312" w:eastAsia="仿宋_GB2312"/>
          <w:color w:val="auto"/>
          <w:sz w:val="32"/>
          <w:szCs w:val="32"/>
        </w:rPr>
        <w:t>。</w:t>
      </w:r>
    </w:p>
    <w:p w14:paraId="5D589B1F">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三、该项目应当认真落实《报告表》提出的各项环境保护措施，重点做好以下工作：</w:t>
      </w:r>
    </w:p>
    <w:p w14:paraId="548C04D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（一）排水系统采用雨污分流。</w:t>
      </w:r>
      <w:r>
        <w:rPr>
          <w:rFonts w:hint="eastAsia" w:ascii="仿宋_GB2312" w:eastAsia="仿宋_GB2312"/>
          <w:color w:val="auto"/>
          <w:sz w:val="32"/>
          <w:szCs w:val="32"/>
          <w:lang w:val="en-US" w:eastAsia="zh-CN"/>
        </w:rPr>
        <w:t>实验废水经自建污水处理设施处理，洗手间生活污水经三级化粪池预处理，与其他生活污水一并排入校区污水管网后汇入市政污水管网，送沥滘净水厂集中处理</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项目设置废水排放口</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个。</w:t>
      </w:r>
    </w:p>
    <w:p w14:paraId="3A96B3D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（二）按照国家《挥发性有机物无组织排放控制标准》（GB37822-2019）的无组织排放控制要求落实相关措施</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实验室废气分别经收集至14套“活性炭吸附装置”、1套“碱液喷淋塔装置”、1套“碱液喷淋塔（含除雾装置）+活性炭吸附装置”处理后引至所在建筑物楼顶高空排放，排气筒高度不低于30米</w:t>
      </w:r>
      <w:r>
        <w:rPr>
          <w:rFonts w:hint="eastAsia" w:ascii="仿宋_GB2312" w:eastAsia="仿宋_GB2312"/>
          <w:color w:val="auto"/>
          <w:sz w:val="32"/>
          <w:szCs w:val="32"/>
        </w:rPr>
        <w:t>，项目设置废气排放口</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个。</w:t>
      </w:r>
    </w:p>
    <w:p w14:paraId="148AB73A">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sz w:val="32"/>
          <w:szCs w:val="32"/>
        </w:rPr>
        <w:t>加强</w:t>
      </w:r>
      <w:r>
        <w:rPr>
          <w:rFonts w:hint="eastAsia" w:ascii="仿宋_GB2312" w:eastAsia="仿宋_GB2312"/>
          <w:color w:val="auto"/>
          <w:sz w:val="32"/>
          <w:szCs w:val="32"/>
          <w:lang w:val="en-US" w:eastAsia="zh-CN"/>
        </w:rPr>
        <w:t>项目</w:t>
      </w:r>
      <w:r>
        <w:rPr>
          <w:rFonts w:hint="eastAsia" w:ascii="仿宋_GB2312" w:eastAsia="仿宋_GB2312"/>
          <w:color w:val="auto"/>
          <w:sz w:val="32"/>
          <w:szCs w:val="32"/>
        </w:rPr>
        <w:t>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w:t>
      </w:r>
      <w:r>
        <w:rPr>
          <w:rFonts w:hint="eastAsia" w:ascii="仿宋_GB2312" w:eastAsia="仿宋_GB2312"/>
          <w:color w:val="auto"/>
          <w:sz w:val="32"/>
          <w:szCs w:val="32"/>
          <w:lang w:val="en-US" w:eastAsia="zh-CN"/>
        </w:rPr>
        <w:t>项目</w:t>
      </w:r>
      <w:r>
        <w:rPr>
          <w:rFonts w:hint="eastAsia" w:ascii="仿宋_GB2312" w:eastAsia="仿宋_GB2312"/>
          <w:color w:val="auto"/>
          <w:sz w:val="32"/>
          <w:szCs w:val="32"/>
        </w:rPr>
        <w:t>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089C39E3">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（三）选用低噪声设备，合理布</w:t>
      </w:r>
      <w:r>
        <w:rPr>
          <w:rFonts w:hint="eastAsia" w:ascii="仿宋_GB2312" w:eastAsia="仿宋_GB2312"/>
          <w:color w:val="auto"/>
          <w:sz w:val="32"/>
          <w:szCs w:val="32"/>
          <w:lang w:val="en-US" w:eastAsia="zh-CN"/>
        </w:rPr>
        <w:t>局</w:t>
      </w:r>
      <w:r>
        <w:rPr>
          <w:rFonts w:hint="eastAsia" w:ascii="仿宋_GB2312" w:eastAsia="仿宋_GB2312"/>
          <w:color w:val="auto"/>
          <w:sz w:val="32"/>
          <w:szCs w:val="32"/>
        </w:rPr>
        <w:t>，对噪声源采取隔声、减振等措施，定期检修设备。</w:t>
      </w:r>
    </w:p>
    <w:p w14:paraId="75D36414">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（四）废原料包装物和废实验器具、实验废液、废活性炭、废水处理污泥、废抹布及手套等危险废物须设置符合《危险废物贮存污染控制标准》（GB18597-20</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）要求的专用贮存场所存放并委托具备危险废物处理资质的机构处理。</w:t>
      </w:r>
    </w:p>
    <w:p w14:paraId="73B05BF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四、该项目的性质、规模、地点、采用的使用功能或者防治污染、防止生态破坏的措施发生重大变动的，你单位应当重新报批环境影响评价文件。</w:t>
      </w:r>
    </w:p>
    <w:p w14:paraId="75E76E29">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五、自《报告表》批准之日起超过五年，方决定该项目开工建设的，《报告表》应当在开工建设前报我局重新审核。未经我局重新审核同意的，不得擅自开工建设。</w:t>
      </w:r>
    </w:p>
    <w:p w14:paraId="6FF04D6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六、该项目建设应严格执行配套建设的环境保护设施与主体工程同时设计、同时施工、同时投产使用的环境保护“三同时”制度，具体要求如下：</w:t>
      </w:r>
    </w:p>
    <w:p w14:paraId="085CFB9D">
      <w:pPr>
        <w:keepNext w:val="0"/>
        <w:keepLines w:val="0"/>
        <w:pageBreakBefore w:val="0"/>
        <w:widowControl/>
        <w:tabs>
          <w:tab w:val="left" w:pos="1418"/>
        </w:tabs>
        <w:kinsoku/>
        <w:overflowPunct/>
        <w:topLinePunct w:val="0"/>
        <w:autoSpaceDE/>
        <w:autoSpaceDN/>
        <w:bidi w:val="0"/>
        <w:spacing w:line="560" w:lineRule="exact"/>
        <w:ind w:firstLine="640"/>
        <w:textAlignment w:val="auto"/>
        <w:rPr>
          <w:rFonts w:hint="eastAsia" w:ascii="仿宋_GB2312" w:eastAsia="仿宋_GB2312"/>
          <w:color w:val="auto"/>
          <w:sz w:val="32"/>
          <w:szCs w:val="32"/>
        </w:rPr>
      </w:pPr>
      <w:r>
        <w:rPr>
          <w:rFonts w:hint="eastAsia" w:ascii="仿宋_GB2312" w:eastAsia="仿宋_GB2312"/>
          <w:color w:val="auto"/>
          <w:sz w:val="32"/>
          <w:szCs w:val="32"/>
        </w:rPr>
        <w:t>（一）项目竣工后，你单位应按规定申请取得排污许可证或填报排污登记表，并按照规定的标准、程序和时限，对配套建设的环境保护设施进行验收，编制验收报告，依法向社会公开。</w:t>
      </w:r>
    </w:p>
    <w:p w14:paraId="49DAD14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（二）项目配套建设的环境保护设施经验收合格后，方可投入生产或者使用。</w:t>
      </w:r>
    </w:p>
    <w:p w14:paraId="3564EFEA">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七、该项目建设和运行过程中如涉及规划、土地利用、建设、水务、消防、安全等问题，应遵照相关法律法规要求到相应的行政主管部门办理有关手续。</w:t>
      </w:r>
    </w:p>
    <w:p w14:paraId="59C5D8D3">
      <w:pPr>
        <w:pStyle w:val="18"/>
        <w:ind w:firstLine="636"/>
        <w:rPr>
          <w:rFonts w:hint="eastAsia" w:eastAsia="仿宋_GB2312"/>
          <w:color w:val="auto"/>
          <w:sz w:val="32"/>
          <w:szCs w:val="32"/>
        </w:rPr>
      </w:pPr>
      <w:r>
        <w:rPr>
          <w:rFonts w:hint="eastAsia" w:ascii="仿宋_GB2312" w:eastAsia="仿宋_GB2312"/>
          <w:color w:val="auto"/>
          <w:sz w:val="32"/>
          <w:szCs w:val="32"/>
        </w:rPr>
        <w:t>八、</w:t>
      </w:r>
      <w:r>
        <w:rPr>
          <w:rFonts w:hint="eastAsia" w:ascii="仿宋_GB2312" w:hAnsi="仿宋" w:eastAsia="仿宋_GB2312"/>
          <w:color w:val="auto"/>
          <w:sz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0A04E27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2799DFF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60D15471">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7E90A0C7">
      <w:pPr>
        <w:keepNext w:val="0"/>
        <w:keepLines w:val="0"/>
        <w:pageBreakBefore w:val="0"/>
        <w:kinsoku/>
        <w:overflowPunct/>
        <w:topLinePunct w:val="0"/>
        <w:autoSpaceDE/>
        <w:autoSpaceDN/>
        <w:bidi w:val="0"/>
        <w:spacing w:line="560" w:lineRule="exact"/>
        <w:jc w:val="center"/>
        <w:textAlignment w:val="auto"/>
        <w:rPr>
          <w:rFonts w:ascii="仿宋_GB2312" w:eastAsia="仿宋_GB2312"/>
          <w:color w:val="auto"/>
          <w:sz w:val="32"/>
          <w:szCs w:val="32"/>
        </w:rPr>
      </w:pPr>
      <w:r>
        <w:rPr>
          <w:rFonts w:hint="eastAsia" w:ascii="仿宋_GB2312" w:eastAsia="仿宋_GB2312"/>
          <w:color w:val="auto"/>
          <w:sz w:val="32"/>
          <w:szCs w:val="32"/>
        </w:rPr>
        <w:t xml:space="preserve">                        广州市生态环境局</w:t>
      </w:r>
    </w:p>
    <w:p w14:paraId="7BC6E7C2">
      <w:pPr>
        <w:keepNext w:val="0"/>
        <w:keepLines w:val="0"/>
        <w:pageBreakBefore w:val="0"/>
        <w:kinsoku/>
        <w:overflowPunct/>
        <w:topLinePunct w:val="0"/>
        <w:autoSpaceDE/>
        <w:autoSpaceDN/>
        <w:bidi w:val="0"/>
        <w:spacing w:line="560" w:lineRule="exact"/>
        <w:ind w:right="4" w:rightChars="0" w:firstLine="5120" w:firstLineChars="1600"/>
        <w:textAlignment w:val="auto"/>
        <w:rPr>
          <w:rFonts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26</w:t>
      </w:r>
      <w:r>
        <w:rPr>
          <w:rFonts w:hint="eastAsia" w:ascii="仿宋_GB2312" w:eastAsia="仿宋_GB2312"/>
          <w:color w:val="auto"/>
          <w:sz w:val="32"/>
          <w:szCs w:val="32"/>
        </w:rPr>
        <w:t>日</w:t>
      </w:r>
    </w:p>
    <w:p w14:paraId="326EB5F5">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0CCA8466">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黑体" w:eastAsia="黑体"/>
          <w:color w:val="auto"/>
          <w:sz w:val="32"/>
          <w:szCs w:val="32"/>
        </w:rPr>
        <w:t>公开方式：</w:t>
      </w:r>
      <w:r>
        <w:rPr>
          <w:rFonts w:hint="eastAsia" w:ascii="仿宋_GB2312" w:eastAsia="仿宋_GB2312"/>
          <w:color w:val="auto"/>
          <w:sz w:val="32"/>
          <w:szCs w:val="32"/>
        </w:rPr>
        <w:t>主动公开</w:t>
      </w:r>
    </w:p>
    <w:p w14:paraId="22184C5B">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6452DAE3">
      <w:pPr>
        <w:keepNext w:val="0"/>
        <w:keepLines w:val="0"/>
        <w:pageBreakBefore w:val="0"/>
        <w:kinsoku/>
        <w:overflowPunct/>
        <w:topLinePunct w:val="0"/>
        <w:autoSpaceDE/>
        <w:autoSpaceDN/>
        <w:bidi w:val="0"/>
        <w:spacing w:line="560" w:lineRule="exact"/>
        <w:ind w:left="1133" w:leftChars="201" w:hanging="711" w:hangingChars="254"/>
        <w:textAlignment w:val="auto"/>
        <w:rPr>
          <w:rFonts w:ascii="仿宋_GB2312" w:eastAsia="仿宋_GB2312"/>
          <w:color w:val="auto"/>
          <w:sz w:val="28"/>
          <w:szCs w:val="28"/>
        </w:rPr>
      </w:pPr>
      <w:r>
        <w:rPr>
          <w:rFonts w:hint="eastAsia" w:ascii="仿宋_GB2312" w:eastAsia="仿宋_GB2312"/>
          <w:color w:val="auto"/>
          <w:sz w:val="28"/>
          <w:szCs w:val="28"/>
        </w:rPr>
        <w:t>抄送：广州市生态环境局番禺分局执法</w:t>
      </w:r>
      <w:r>
        <w:rPr>
          <w:rFonts w:hint="eastAsia" w:ascii="仿宋_GB2312" w:eastAsia="仿宋_GB2312"/>
          <w:color w:val="auto"/>
          <w:sz w:val="32"/>
          <w:szCs w:val="32"/>
          <w:lang w:val="en-US" w:eastAsia="zh-CN"/>
        </w:rPr>
        <w:t>三</w:t>
      </w:r>
      <w:r>
        <w:rPr>
          <w:rFonts w:hint="eastAsia" w:ascii="仿宋_GB2312" w:eastAsia="仿宋_GB2312"/>
          <w:color w:val="auto"/>
          <w:sz w:val="28"/>
          <w:szCs w:val="28"/>
        </w:rPr>
        <w:t>科、</w:t>
      </w:r>
      <w:r>
        <w:rPr>
          <w:rFonts w:hint="eastAsia" w:ascii="仿宋_GB2312" w:eastAsia="仿宋_GB2312"/>
          <w:color w:val="auto"/>
          <w:sz w:val="28"/>
          <w:szCs w:val="28"/>
          <w:lang w:eastAsia="zh-CN"/>
        </w:rPr>
        <w:t>番禺</w:t>
      </w:r>
      <w:r>
        <w:rPr>
          <w:rFonts w:hint="eastAsia" w:ascii="仿宋_GB2312" w:eastAsia="仿宋_GB2312"/>
          <w:color w:val="auto"/>
          <w:sz w:val="28"/>
          <w:szCs w:val="28"/>
        </w:rPr>
        <w:t>第</w:t>
      </w:r>
      <w:r>
        <w:rPr>
          <w:rFonts w:hint="eastAsia" w:ascii="仿宋_GB2312" w:eastAsia="仿宋_GB2312"/>
          <w:color w:val="auto"/>
          <w:sz w:val="32"/>
          <w:szCs w:val="32"/>
          <w:lang w:val="en-US" w:eastAsia="zh-CN"/>
        </w:rPr>
        <w:t>三</w:t>
      </w:r>
      <w:r>
        <w:rPr>
          <w:rFonts w:hint="eastAsia" w:ascii="仿宋_GB2312" w:eastAsia="仿宋_GB2312"/>
          <w:color w:val="auto"/>
          <w:sz w:val="28"/>
          <w:szCs w:val="28"/>
        </w:rPr>
        <w:t>环保所，广州市番禺环境工程有限公司。</w:t>
      </w:r>
    </w:p>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altName w:val="微软雅黑"/>
    <w:panose1 w:val="0201060901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2500">
    <w:pPr>
      <w:pStyle w:val="4"/>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3</w:t>
    </w:r>
    <w:r>
      <w:rPr>
        <w:rStyle w:val="9"/>
        <w:rFonts w:ascii="宋体" w:hAnsi="宋体"/>
        <w:sz w:val="28"/>
        <w:szCs w:val="28"/>
      </w:rPr>
      <w:fldChar w:fldCharType="end"/>
    </w:r>
    <w:r>
      <w:rPr>
        <w:rStyle w:val="9"/>
        <w:rFonts w:hint="eastAsia" w:ascii="宋体" w:hAnsi="宋体"/>
        <w:sz w:val="28"/>
        <w:szCs w:val="28"/>
      </w:rPr>
      <w:t xml:space="preserve"> —</w:t>
    </w:r>
  </w:p>
  <w:p w14:paraId="2C3B46C2">
    <w:pPr>
      <w:pStyle w:val="4"/>
      <w:ind w:right="360" w:firstLine="360"/>
      <w:jc w:val="center"/>
      <w:rPr>
        <w:rFonts w:ascii="Times New Roman" w:hAnsi="Times New Roman"/>
        <w:sz w:val="28"/>
        <w:szCs w:val="28"/>
      </w:rPr>
    </w:pPr>
  </w:p>
  <w:p w14:paraId="1F0202F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CDDBE">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75A86EC9">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nforcement="0"/>
  <w:defaultTabStop w:val="420"/>
  <w:drawingGridHorizontalSpacing w:val="158"/>
  <w:drawingGridVerticalSpacing w:val="61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ZGFmMGVmYWFiODk5YTFiNTc2ZWNlODI1MTcyOTM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A3F"/>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F26FF"/>
    <w:rsid w:val="00DF7771"/>
    <w:rsid w:val="00E06F40"/>
    <w:rsid w:val="00E16205"/>
    <w:rsid w:val="00E23AD5"/>
    <w:rsid w:val="00E44B98"/>
    <w:rsid w:val="00E52C18"/>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20C3600"/>
    <w:rsid w:val="0316501C"/>
    <w:rsid w:val="035F3318"/>
    <w:rsid w:val="039E0DF7"/>
    <w:rsid w:val="04F0022B"/>
    <w:rsid w:val="05BF1B7D"/>
    <w:rsid w:val="068948CB"/>
    <w:rsid w:val="08091F52"/>
    <w:rsid w:val="083C20B8"/>
    <w:rsid w:val="091574A4"/>
    <w:rsid w:val="0AB6351E"/>
    <w:rsid w:val="0AEE277F"/>
    <w:rsid w:val="0B1F3303"/>
    <w:rsid w:val="0BBE19C6"/>
    <w:rsid w:val="0C7516B2"/>
    <w:rsid w:val="0C807692"/>
    <w:rsid w:val="0DE36B99"/>
    <w:rsid w:val="0E0B63D0"/>
    <w:rsid w:val="0E3B3C64"/>
    <w:rsid w:val="0F0A6D3C"/>
    <w:rsid w:val="0F611949"/>
    <w:rsid w:val="0FD72C0C"/>
    <w:rsid w:val="103E38B5"/>
    <w:rsid w:val="10866F8D"/>
    <w:rsid w:val="10BF38FB"/>
    <w:rsid w:val="10E93D4E"/>
    <w:rsid w:val="11B62D57"/>
    <w:rsid w:val="12737E91"/>
    <w:rsid w:val="12DA5DA1"/>
    <w:rsid w:val="12E3158A"/>
    <w:rsid w:val="1549557C"/>
    <w:rsid w:val="157D650A"/>
    <w:rsid w:val="15A25C0B"/>
    <w:rsid w:val="16A128C5"/>
    <w:rsid w:val="184B5B81"/>
    <w:rsid w:val="19AF0CB4"/>
    <w:rsid w:val="19F023A6"/>
    <w:rsid w:val="1BC528C4"/>
    <w:rsid w:val="1C1945A6"/>
    <w:rsid w:val="1D4266B3"/>
    <w:rsid w:val="1E537B54"/>
    <w:rsid w:val="1EE75CB3"/>
    <w:rsid w:val="1F3F7351"/>
    <w:rsid w:val="1F4D7EC7"/>
    <w:rsid w:val="20CF4E76"/>
    <w:rsid w:val="21BD5166"/>
    <w:rsid w:val="221365B8"/>
    <w:rsid w:val="226A3577"/>
    <w:rsid w:val="22DA593E"/>
    <w:rsid w:val="23241352"/>
    <w:rsid w:val="246C2851"/>
    <w:rsid w:val="24E06F8D"/>
    <w:rsid w:val="2537321F"/>
    <w:rsid w:val="26850942"/>
    <w:rsid w:val="26B164C1"/>
    <w:rsid w:val="27987506"/>
    <w:rsid w:val="288E5F3F"/>
    <w:rsid w:val="28AE5DA0"/>
    <w:rsid w:val="2A175959"/>
    <w:rsid w:val="2B6910C5"/>
    <w:rsid w:val="2D4B705C"/>
    <w:rsid w:val="2D6A3A3F"/>
    <w:rsid w:val="2DCC08AF"/>
    <w:rsid w:val="2DFD4901"/>
    <w:rsid w:val="2E182F2D"/>
    <w:rsid w:val="2E9B7C83"/>
    <w:rsid w:val="2ECA65D4"/>
    <w:rsid w:val="2EE338FA"/>
    <w:rsid w:val="30357A24"/>
    <w:rsid w:val="307C5365"/>
    <w:rsid w:val="30A22B85"/>
    <w:rsid w:val="34034262"/>
    <w:rsid w:val="34A100EE"/>
    <w:rsid w:val="35D37D9D"/>
    <w:rsid w:val="36C83AF0"/>
    <w:rsid w:val="36DC47B5"/>
    <w:rsid w:val="37977641"/>
    <w:rsid w:val="385C6105"/>
    <w:rsid w:val="38EB77CC"/>
    <w:rsid w:val="3A1D0EF5"/>
    <w:rsid w:val="3AA44A54"/>
    <w:rsid w:val="3AE822E0"/>
    <w:rsid w:val="3B617677"/>
    <w:rsid w:val="3B8678B6"/>
    <w:rsid w:val="3B9C3FD8"/>
    <w:rsid w:val="3C8B0C00"/>
    <w:rsid w:val="3CC73AC6"/>
    <w:rsid w:val="3CC7607D"/>
    <w:rsid w:val="3CCA53AD"/>
    <w:rsid w:val="3CF81873"/>
    <w:rsid w:val="3D1E66D3"/>
    <w:rsid w:val="3DF84757"/>
    <w:rsid w:val="3DFC60C1"/>
    <w:rsid w:val="3EEA5570"/>
    <w:rsid w:val="3F2D1CB6"/>
    <w:rsid w:val="3FD1113F"/>
    <w:rsid w:val="41171C7F"/>
    <w:rsid w:val="418E5F9D"/>
    <w:rsid w:val="42BF1B92"/>
    <w:rsid w:val="43D755DA"/>
    <w:rsid w:val="43F25407"/>
    <w:rsid w:val="440875AB"/>
    <w:rsid w:val="450F1F75"/>
    <w:rsid w:val="453C3F01"/>
    <w:rsid w:val="45520847"/>
    <w:rsid w:val="45E73322"/>
    <w:rsid w:val="49383A30"/>
    <w:rsid w:val="494A394A"/>
    <w:rsid w:val="4AE22D88"/>
    <w:rsid w:val="4B621286"/>
    <w:rsid w:val="4CDB6B18"/>
    <w:rsid w:val="4D1D2609"/>
    <w:rsid w:val="4D8971C2"/>
    <w:rsid w:val="4E305A20"/>
    <w:rsid w:val="4EB11A7C"/>
    <w:rsid w:val="4EE6167D"/>
    <w:rsid w:val="4F136CC9"/>
    <w:rsid w:val="4F586ABA"/>
    <w:rsid w:val="4F9C166D"/>
    <w:rsid w:val="530C784E"/>
    <w:rsid w:val="53406164"/>
    <w:rsid w:val="53774CFF"/>
    <w:rsid w:val="53DE59A8"/>
    <w:rsid w:val="553B58E4"/>
    <w:rsid w:val="55AA541C"/>
    <w:rsid w:val="567E16A6"/>
    <w:rsid w:val="5728768E"/>
    <w:rsid w:val="57E809C6"/>
    <w:rsid w:val="58272CFA"/>
    <w:rsid w:val="58A00174"/>
    <w:rsid w:val="5906339C"/>
    <w:rsid w:val="596879A6"/>
    <w:rsid w:val="59F57B8E"/>
    <w:rsid w:val="5ADA0B1D"/>
    <w:rsid w:val="5B7E4A72"/>
    <w:rsid w:val="5D6C6AD3"/>
    <w:rsid w:val="5E811B87"/>
    <w:rsid w:val="5EB016E9"/>
    <w:rsid w:val="5FF25578"/>
    <w:rsid w:val="609E0F14"/>
    <w:rsid w:val="614E41B0"/>
    <w:rsid w:val="62973EAF"/>
    <w:rsid w:val="62BE08BB"/>
    <w:rsid w:val="631E222D"/>
    <w:rsid w:val="63472F27"/>
    <w:rsid w:val="63890CAA"/>
    <w:rsid w:val="64A70A2F"/>
    <w:rsid w:val="654F3592"/>
    <w:rsid w:val="658835A0"/>
    <w:rsid w:val="65D2271B"/>
    <w:rsid w:val="66D37837"/>
    <w:rsid w:val="670A7A3E"/>
    <w:rsid w:val="679E2C8B"/>
    <w:rsid w:val="69EF3DF1"/>
    <w:rsid w:val="6B2F71CC"/>
    <w:rsid w:val="6CF83D02"/>
    <w:rsid w:val="6D7C272C"/>
    <w:rsid w:val="6D8B22BF"/>
    <w:rsid w:val="6EF51F98"/>
    <w:rsid w:val="6F034B31"/>
    <w:rsid w:val="6F6C545A"/>
    <w:rsid w:val="6F766087"/>
    <w:rsid w:val="70340726"/>
    <w:rsid w:val="705B2F1B"/>
    <w:rsid w:val="716A2D22"/>
    <w:rsid w:val="73006EB1"/>
    <w:rsid w:val="73417714"/>
    <w:rsid w:val="7431442E"/>
    <w:rsid w:val="747D1147"/>
    <w:rsid w:val="75DD1EEC"/>
    <w:rsid w:val="762C5749"/>
    <w:rsid w:val="765C5FCF"/>
    <w:rsid w:val="7787407A"/>
    <w:rsid w:val="77A5337F"/>
    <w:rsid w:val="77D05B9F"/>
    <w:rsid w:val="780A11FC"/>
    <w:rsid w:val="781B07A0"/>
    <w:rsid w:val="78824C27"/>
    <w:rsid w:val="79442D41"/>
    <w:rsid w:val="7B331FDF"/>
    <w:rsid w:val="7B5B3EF1"/>
    <w:rsid w:val="7BA515D0"/>
    <w:rsid w:val="7C2E2674"/>
    <w:rsid w:val="7CB3343B"/>
    <w:rsid w:val="7E4F6A23"/>
    <w:rsid w:val="7EC00980"/>
    <w:rsid w:val="7EEC2AC9"/>
    <w:rsid w:val="7F246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page number"/>
    <w:basedOn w:val="8"/>
    <w:qFormat/>
    <w:uiPriority w:val="0"/>
  </w:style>
  <w:style w:type="character" w:styleId="10">
    <w:name w:val="annotation reference"/>
    <w:basedOn w:val="8"/>
    <w:semiHidden/>
    <w:unhideWhenUsed/>
    <w:qFormat/>
    <w:uiPriority w:val="99"/>
    <w:rPr>
      <w:sz w:val="21"/>
      <w:szCs w:val="21"/>
    </w:rPr>
  </w:style>
  <w:style w:type="character" w:customStyle="1" w:styleId="11">
    <w:name w:val="页眉 Char"/>
    <w:basedOn w:val="8"/>
    <w:link w:val="5"/>
    <w:semiHidden/>
    <w:qFormat/>
    <w:uiPriority w:val="99"/>
    <w:rPr>
      <w:kern w:val="2"/>
      <w:sz w:val="18"/>
      <w:szCs w:val="18"/>
    </w:rPr>
  </w:style>
  <w:style w:type="character" w:customStyle="1" w:styleId="12">
    <w:name w:val="页脚 Char"/>
    <w:basedOn w:val="8"/>
    <w:link w:val="4"/>
    <w:qFormat/>
    <w:uiPriority w:val="99"/>
    <w:rPr>
      <w:kern w:val="2"/>
      <w:sz w:val="18"/>
      <w:szCs w:val="18"/>
    </w:rPr>
  </w:style>
  <w:style w:type="paragraph" w:customStyle="1" w:styleId="13">
    <w:name w:val="Char1"/>
    <w:basedOn w:val="1"/>
    <w:qFormat/>
    <w:uiPriority w:val="0"/>
    <w:pPr>
      <w:tabs>
        <w:tab w:val="left" w:pos="840"/>
      </w:tabs>
      <w:ind w:left="840" w:hanging="420"/>
    </w:pPr>
    <w:rPr>
      <w:rFonts w:ascii="Times New Roman" w:hAnsi="Times New Roman"/>
      <w:sz w:val="24"/>
      <w:szCs w:val="24"/>
    </w:rPr>
  </w:style>
  <w:style w:type="character" w:customStyle="1" w:styleId="14">
    <w:name w:val="批注文字 Char"/>
    <w:basedOn w:val="8"/>
    <w:link w:val="2"/>
    <w:semiHidden/>
    <w:qFormat/>
    <w:uiPriority w:val="99"/>
    <w:rPr>
      <w:kern w:val="2"/>
      <w:sz w:val="21"/>
      <w:szCs w:val="22"/>
    </w:rPr>
  </w:style>
  <w:style w:type="character" w:customStyle="1" w:styleId="15">
    <w:name w:val="批注主题 Char"/>
    <w:basedOn w:val="14"/>
    <w:link w:val="6"/>
    <w:semiHidden/>
    <w:qFormat/>
    <w:uiPriority w:val="99"/>
    <w:rPr>
      <w:b/>
      <w:bCs/>
    </w:rPr>
  </w:style>
  <w:style w:type="character" w:customStyle="1" w:styleId="16">
    <w:name w:val="批注框文本 Char"/>
    <w:basedOn w:val="8"/>
    <w:link w:val="3"/>
    <w:semiHidden/>
    <w:qFormat/>
    <w:uiPriority w:val="99"/>
    <w:rPr>
      <w:kern w:val="2"/>
      <w:sz w:val="18"/>
      <w:szCs w:val="18"/>
    </w:rPr>
  </w:style>
  <w:style w:type="paragraph" w:customStyle="1" w:styleId="17">
    <w:name w:val="Revision"/>
    <w:hidden/>
    <w:semiHidden/>
    <w:qFormat/>
    <w:uiPriority w:val="99"/>
    <w:rPr>
      <w:rFonts w:ascii="Calibri" w:hAnsi="Calibri" w:eastAsia="宋体" w:cs="Times New Roman"/>
      <w:kern w:val="2"/>
      <w:sz w:val="21"/>
      <w:szCs w:val="22"/>
      <w:lang w:val="en-US" w:eastAsia="zh-CN" w:bidi="ar-SA"/>
    </w:rPr>
  </w:style>
  <w:style w:type="paragraph" w:customStyle="1" w:styleId="1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0880F-0172-4367-9D41-5B93968F3B74}">
  <ds:schemaRefs/>
</ds:datastoreItem>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4</Pages>
  <Words>1946</Words>
  <Characters>2108</Characters>
  <Lines>19</Lines>
  <Paragraphs>5</Paragraphs>
  <TotalTime>3</TotalTime>
  <ScaleCrop>false</ScaleCrop>
  <LinksUpToDate>false</LinksUpToDate>
  <CharactersWithSpaces>2171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DELL</cp:lastModifiedBy>
  <cp:lastPrinted>2012-12-06T03:13:00Z</cp:lastPrinted>
  <dcterms:modified xsi:type="dcterms:W3CDTF">2025-08-26T00:55:17Z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2052-12.1.0.22529</vt:lpwstr>
  </property>
  <property fmtid="{D5CDD505-2E9C-101B-9397-08002B2CF9AE}" pid="4" name="ICV">
    <vt:lpwstr>0CC48FA0F5BD47589993470A476B6428_13</vt:lpwstr>
  </property>
  <property fmtid="{D5CDD505-2E9C-101B-9397-08002B2CF9AE}" pid="5" name="KSOTemplateDocerSaveRecord">
    <vt:lpwstr>eyJoZGlkIjoiOTFmYTNmMGY4YzliOTEyNGRkM2M5OTJiMTUxNWY2YjkiLCJ1c2VySWQiOiIxMDI2OTE4Mzc5In0=</vt:lpwstr>
  </property>
</Properties>
</file>