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8A5A4">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0AA29877">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113</w:t>
      </w:r>
      <w:bookmarkStart w:id="0" w:name="_GoBack"/>
      <w:bookmarkEnd w:id="0"/>
      <w:r>
        <w:rPr>
          <w:rFonts w:hint="eastAsia" w:ascii="仿宋_GB2312" w:eastAsia="仿宋_GB2312"/>
          <w:color w:val="auto"/>
          <w:sz w:val="32"/>
          <w:szCs w:val="32"/>
        </w:rPr>
        <w:t>号</w:t>
      </w:r>
    </w:p>
    <w:p w14:paraId="1978C5C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1A3A887D">
      <w:pPr>
        <w:keepNext w:val="0"/>
        <w:keepLines w:val="0"/>
        <w:pageBreakBefore w:val="0"/>
        <w:kinsoku/>
        <w:overflowPunct/>
        <w:topLinePunct w:val="0"/>
        <w:autoSpaceDE/>
        <w:autoSpaceDN/>
        <w:bidi w:val="0"/>
        <w:spacing w:line="560" w:lineRule="exact"/>
        <w:ind w:firstLine="0" w:firstLineChars="0"/>
        <w:textAlignment w:val="auto"/>
        <w:rPr>
          <w:rFonts w:hint="eastAsia" w:ascii="仿宋_GB2312" w:eastAsia="仿宋_GB2312"/>
          <w:color w:val="auto"/>
          <w:sz w:val="32"/>
          <w:szCs w:val="32"/>
          <w:lang w:eastAsia="zh-CN"/>
        </w:rPr>
      </w:pPr>
    </w:p>
    <w:p w14:paraId="32A6A170">
      <w:pPr>
        <w:keepNext w:val="0"/>
        <w:keepLines w:val="0"/>
        <w:pageBreakBefore w:val="0"/>
        <w:kinsoku/>
        <w:overflowPunct/>
        <w:topLinePunct w:val="0"/>
        <w:autoSpaceDE/>
        <w:autoSpaceDN/>
        <w:bidi w:val="0"/>
        <w:spacing w:line="560" w:lineRule="exact"/>
        <w:ind w:firstLine="0" w:firstLineChars="0"/>
        <w:jc w:val="center"/>
        <w:textAlignment w:val="auto"/>
        <w:rPr>
          <w:rFonts w:hint="eastAsia"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广州市生态环境局关于大容量船舶动力固态电池试验产线改建项目环境影响报告表的批复</w:t>
      </w:r>
    </w:p>
    <w:p w14:paraId="7643D296">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p>
    <w:p w14:paraId="7D7A23E1">
      <w:pPr>
        <w:keepNext w:val="0"/>
        <w:keepLines w:val="0"/>
        <w:pageBreakBefore w:val="0"/>
        <w:kinsoku/>
        <w:overflowPunct/>
        <w:topLinePunct w:val="0"/>
        <w:autoSpaceDE/>
        <w:autoSpaceDN/>
        <w:bidi w:val="0"/>
        <w:spacing w:line="560" w:lineRule="exact"/>
        <w:ind w:firstLine="0" w:firstLineChars="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广州广重企业集团有限公司（91440101190472614Y）：</w:t>
      </w:r>
    </w:p>
    <w:p w14:paraId="0EEE037F">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你单位报送的《大容量船舶动力固态电池试验产线改建项目环境影响报告表》（以下简称《报告表》）及附送资料收悉。经研究，现批复如下：</w:t>
      </w:r>
    </w:p>
    <w:p w14:paraId="494928E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一、大容量船舶动力固态电池试验产线改建项目（以下简称“该项目”）位于广州市番禺区石壁街道钟顺路626号，申报内容为改建原汽轮机分公司发电机工段厂房仓储区域，新增一条锂离子电芯生产线，年新增生产锂离子电芯年产量0.3GWh/年。该项目占地面积2750平方米，总建筑面积2995平方米；新增主要设备有切叠一体机1台、自动焊接线1套、自动冲壳线1套、自动封装线1套、自动烘烤线1套、自动注液线1套、热压化成机9台、自动终封机3台、自动折边贴胶机1台、分容柜12台、真空泵3台、空压机2台、120T冷却塔1台等；</w:t>
      </w:r>
      <w:r>
        <w:rPr>
          <w:rFonts w:hint="eastAsia" w:ascii="仿宋_GB2312" w:eastAsia="仿宋_GB2312"/>
          <w:color w:val="auto"/>
          <w:sz w:val="32"/>
          <w:szCs w:val="32"/>
          <w:lang w:val="en-US" w:eastAsia="zh-CN"/>
        </w:rPr>
        <w:t>本项目不进行电解液配置；</w:t>
      </w:r>
      <w:r>
        <w:rPr>
          <w:rFonts w:hint="eastAsia" w:ascii="仿宋_GB2312" w:eastAsia="仿宋_GB2312"/>
          <w:color w:val="auto"/>
          <w:sz w:val="32"/>
          <w:szCs w:val="32"/>
          <w:lang w:eastAsia="zh-CN"/>
        </w:rPr>
        <w:t>新增员工97名，内部不安排食宿。</w:t>
      </w:r>
    </w:p>
    <w:p w14:paraId="3781EE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w:t>
      </w:r>
      <w:r>
        <w:rPr>
          <w:rFonts w:hint="eastAsia" w:ascii="仿宋_GB2312" w:eastAsia="仿宋_GB2312"/>
          <w:color w:val="auto"/>
          <w:sz w:val="32"/>
          <w:szCs w:val="32"/>
          <w:lang w:val="en-US" w:eastAsia="zh-CN"/>
        </w:rPr>
        <w:t>现</w:t>
      </w:r>
      <w:r>
        <w:rPr>
          <w:rFonts w:hint="eastAsia" w:ascii="仿宋_GB2312" w:eastAsia="仿宋_GB2312"/>
          <w:color w:val="auto"/>
          <w:sz w:val="32"/>
          <w:szCs w:val="32"/>
        </w:rPr>
        <w:t>选址处建设可行。经审查，我局原则同意《报告表》评价结论。该项目应当按照《报告表》所述性质、规模、地点、生产工艺和环境保护措施进行建设。</w:t>
      </w:r>
    </w:p>
    <w:p w14:paraId="30FFD88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72CAAD5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排放执行广东省《水污染物排放限值》（DB44/26-2001）第二时段三级标准和《电池工业污染物排放标准》（GB30484-2013）表2新建企业水污染物间接排放限值“锂离子/锂电池”的较严值。生活污水排放量不超过</w:t>
      </w:r>
      <w:r>
        <w:rPr>
          <w:rFonts w:hint="eastAsia" w:ascii="仿宋_GB2312" w:eastAsia="仿宋_GB2312"/>
          <w:color w:val="auto"/>
          <w:sz w:val="32"/>
          <w:szCs w:val="32"/>
          <w:lang w:val="en-US" w:eastAsia="zh-CN"/>
        </w:rPr>
        <w:t>1310</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冷却塔浓排水</w:t>
      </w:r>
      <w:r>
        <w:rPr>
          <w:rFonts w:hint="eastAsia" w:ascii="仿宋_GB2312" w:eastAsia="仿宋_GB2312"/>
          <w:color w:val="auto"/>
          <w:sz w:val="32"/>
          <w:szCs w:val="32"/>
        </w:rPr>
        <w:t>排放量不超过</w:t>
      </w:r>
      <w:r>
        <w:rPr>
          <w:rFonts w:hint="eastAsia" w:ascii="仿宋_GB2312" w:eastAsia="仿宋_GB2312"/>
          <w:color w:val="auto"/>
          <w:sz w:val="32"/>
          <w:szCs w:val="32"/>
          <w:lang w:val="en-US" w:eastAsia="zh-CN"/>
        </w:rPr>
        <w:t>5760</w:t>
      </w:r>
      <w:r>
        <w:rPr>
          <w:rFonts w:hint="eastAsia" w:ascii="仿宋_GB2312" w:eastAsia="仿宋_GB2312"/>
          <w:color w:val="auto"/>
          <w:sz w:val="32"/>
          <w:szCs w:val="32"/>
        </w:rPr>
        <w:t>吨/年。</w:t>
      </w:r>
    </w:p>
    <w:p w14:paraId="162B227D">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非甲烷总烃有组织排放执行《电池工业污染物排放标准》（GB30484-2013）中表5新建企业大气污染物排放限值中“锂离子/锂电池”限值</w:t>
      </w:r>
      <w:r>
        <w:rPr>
          <w:rFonts w:hint="eastAsia" w:ascii="仿宋_GB2312" w:eastAsia="仿宋_GB2312"/>
          <w:color w:val="auto"/>
          <w:sz w:val="32"/>
          <w:szCs w:val="32"/>
          <w:lang w:val="en-US" w:eastAsia="zh-CN"/>
        </w:rPr>
        <w:t>要求，无组织</w:t>
      </w:r>
      <w:r>
        <w:rPr>
          <w:rFonts w:hint="eastAsia" w:ascii="仿宋_GB2312" w:eastAsia="仿宋_GB2312"/>
          <w:color w:val="auto"/>
          <w:sz w:val="32"/>
          <w:szCs w:val="32"/>
          <w:lang w:eastAsia="zh-CN"/>
        </w:rPr>
        <w:t>排放执行广东省《固定污染源挥发性有机物综合排放标准》（DB44/2367-2022）表3厂区内VOCs无组织排</w:t>
      </w:r>
      <w:r>
        <w:rPr>
          <w:rFonts w:hint="eastAsia" w:ascii="仿宋_GB2312" w:eastAsia="仿宋_GB2312"/>
          <w:color w:val="auto"/>
          <w:sz w:val="32"/>
          <w:szCs w:val="32"/>
          <w:lang w:val="en-US" w:eastAsia="zh-CN"/>
        </w:rPr>
        <w:t>放限值及</w:t>
      </w:r>
      <w:r>
        <w:rPr>
          <w:rFonts w:hint="eastAsia" w:ascii="仿宋_GB2312" w:eastAsia="仿宋_GB2312"/>
          <w:color w:val="auto"/>
          <w:sz w:val="32"/>
          <w:szCs w:val="32"/>
          <w:highlight w:val="none"/>
        </w:rPr>
        <w:t>《电池工业污染物排放标准》（GB30484-2013）中表6现有和新建企业边界大气污染物浓度</w:t>
      </w:r>
      <w:r>
        <w:rPr>
          <w:rFonts w:hint="eastAsia" w:ascii="仿宋_GB2312" w:eastAsia="仿宋_GB2312"/>
          <w:color w:val="auto"/>
          <w:sz w:val="32"/>
          <w:szCs w:val="32"/>
          <w:highlight w:val="none"/>
          <w:lang w:val="en-US" w:eastAsia="zh-CN"/>
        </w:rPr>
        <w:t>限值</w:t>
      </w:r>
      <w:r>
        <w:rPr>
          <w:rFonts w:hint="eastAsia" w:ascii="仿宋_GB2312" w:eastAsia="仿宋_GB2312"/>
          <w:color w:val="auto"/>
          <w:sz w:val="32"/>
          <w:szCs w:val="32"/>
          <w:highlight w:val="none"/>
        </w:rPr>
        <w:t>要求</w:t>
      </w:r>
      <w:r>
        <w:rPr>
          <w:rFonts w:hint="eastAsia" w:ascii="仿宋_GB2312" w:eastAsia="仿宋_GB2312"/>
          <w:color w:val="auto"/>
          <w:sz w:val="32"/>
          <w:szCs w:val="32"/>
          <w:lang w:eastAsia="zh-CN"/>
        </w:rPr>
        <w:t>。</w:t>
      </w:r>
      <w:r>
        <w:rPr>
          <w:rFonts w:hint="eastAsia" w:ascii="仿宋_GB2312" w:eastAsia="仿宋_GB2312"/>
          <w:color w:val="auto"/>
          <w:sz w:val="32"/>
          <w:szCs w:val="32"/>
        </w:rPr>
        <w:t>模切、焊接</w:t>
      </w:r>
      <w:r>
        <w:rPr>
          <w:rFonts w:hint="eastAsia" w:ascii="仿宋_GB2312" w:eastAsia="仿宋_GB2312"/>
          <w:color w:val="auto"/>
          <w:sz w:val="32"/>
          <w:szCs w:val="32"/>
          <w:lang w:val="en-US" w:eastAsia="zh-CN"/>
        </w:rPr>
        <w:t>工序</w:t>
      </w:r>
      <w:r>
        <w:rPr>
          <w:rFonts w:hint="eastAsia" w:ascii="仿宋_GB2312" w:eastAsia="仿宋_GB2312"/>
          <w:color w:val="auto"/>
          <w:sz w:val="32"/>
          <w:szCs w:val="32"/>
        </w:rPr>
        <w:t>产生的颗粒物</w:t>
      </w:r>
      <w:r>
        <w:rPr>
          <w:rFonts w:hint="eastAsia" w:ascii="仿宋_GB2312" w:eastAsia="仿宋_GB2312"/>
          <w:color w:val="auto"/>
          <w:sz w:val="32"/>
          <w:szCs w:val="32"/>
          <w:lang w:val="en-US" w:eastAsia="zh-CN"/>
        </w:rPr>
        <w:t>排放执行</w:t>
      </w:r>
      <w:r>
        <w:rPr>
          <w:rFonts w:hint="eastAsia" w:ascii="仿宋_GB2312" w:eastAsia="仿宋_GB2312"/>
          <w:color w:val="auto"/>
          <w:sz w:val="32"/>
          <w:szCs w:val="32"/>
          <w:highlight w:val="none"/>
        </w:rPr>
        <w:t>《电池工业污染物排放标准》（GB30484-2013）中表6现有和新建企业边界大气污染物浓度</w:t>
      </w:r>
      <w:r>
        <w:rPr>
          <w:rFonts w:hint="eastAsia" w:ascii="仿宋_GB2312" w:eastAsia="仿宋_GB2312"/>
          <w:color w:val="auto"/>
          <w:sz w:val="32"/>
          <w:szCs w:val="32"/>
          <w:highlight w:val="none"/>
          <w:lang w:val="en-US" w:eastAsia="zh-CN"/>
        </w:rPr>
        <w:t>限值</w:t>
      </w:r>
      <w:r>
        <w:rPr>
          <w:rFonts w:hint="eastAsia" w:ascii="仿宋_GB2312" w:eastAsia="仿宋_GB2312"/>
          <w:color w:val="auto"/>
          <w:sz w:val="32"/>
          <w:szCs w:val="32"/>
          <w:highlight w:val="none"/>
        </w:rPr>
        <w:t>要求</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臭气浓度排放执行《恶臭污染物排放标准》（GB14554-93）表1恶臭污染物厂界标准值的二级新扩</w:t>
      </w:r>
      <w:r>
        <w:rPr>
          <w:rFonts w:hint="eastAsia" w:ascii="仿宋_GB2312" w:eastAsia="仿宋_GB2312"/>
          <w:color w:val="auto"/>
          <w:sz w:val="32"/>
          <w:szCs w:val="32"/>
          <w:lang w:val="en-US" w:eastAsia="zh-CN"/>
        </w:rPr>
        <w:t>改</w:t>
      </w:r>
      <w:r>
        <w:rPr>
          <w:rFonts w:hint="eastAsia" w:ascii="仿宋_GB2312" w:eastAsia="仿宋_GB2312"/>
          <w:color w:val="auto"/>
          <w:sz w:val="32"/>
          <w:szCs w:val="32"/>
          <w:lang w:eastAsia="zh-CN"/>
        </w:rPr>
        <w:t>建标准。</w:t>
      </w:r>
      <w:r>
        <w:rPr>
          <w:rFonts w:hint="eastAsia" w:ascii="仿宋_GB2312" w:eastAsia="仿宋_GB2312"/>
          <w:color w:val="auto"/>
          <w:sz w:val="32"/>
          <w:szCs w:val="32"/>
        </w:rPr>
        <w:t>油烟排放执行《饮食业油烟排放标准》（GB18483-2001）表2饮食业单位的油烟最高允许排放浓度（大型规模）。</w:t>
      </w:r>
    </w:p>
    <w:p w14:paraId="240DFF2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类区限值，即：昼间≤6</w:t>
      </w:r>
      <w:r>
        <w:rPr>
          <w:rFonts w:hint="eastAsia" w:ascii="仿宋_GB2312" w:eastAsia="仿宋_GB2312"/>
          <w:color w:val="auto"/>
          <w:sz w:val="32"/>
          <w:szCs w:val="32"/>
          <w:lang w:val="en-US" w:eastAsia="zh-CN"/>
        </w:rPr>
        <w:t>5dB（A）</w:t>
      </w:r>
      <w:r>
        <w:rPr>
          <w:rFonts w:hint="eastAsia" w:ascii="仿宋_GB2312" w:eastAsia="仿宋_GB2312"/>
          <w:color w:val="auto"/>
          <w:sz w:val="32"/>
          <w:szCs w:val="32"/>
        </w:rPr>
        <w:t>，夜间≤5</w:t>
      </w:r>
      <w:r>
        <w:rPr>
          <w:rFonts w:hint="eastAsia" w:ascii="仿宋_GB2312" w:eastAsia="仿宋_GB2312"/>
          <w:color w:val="auto"/>
          <w:sz w:val="32"/>
          <w:szCs w:val="32"/>
          <w:lang w:val="en-US" w:eastAsia="zh-CN"/>
        </w:rPr>
        <w:t>5dB（A）</w:t>
      </w:r>
      <w:r>
        <w:rPr>
          <w:rFonts w:hint="eastAsia" w:ascii="仿宋_GB2312" w:eastAsia="仿宋_GB2312"/>
          <w:color w:val="auto"/>
          <w:sz w:val="32"/>
          <w:szCs w:val="32"/>
        </w:rPr>
        <w:t>。</w:t>
      </w:r>
    </w:p>
    <w:p w14:paraId="05407098">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4210F9E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生活污水</w:t>
      </w:r>
      <w:r>
        <w:rPr>
          <w:rFonts w:hint="eastAsia" w:ascii="仿宋_GB2312" w:eastAsia="仿宋_GB2312"/>
          <w:color w:val="auto"/>
          <w:sz w:val="32"/>
          <w:szCs w:val="32"/>
          <w:lang w:eastAsia="zh-CN"/>
        </w:rPr>
        <w:t>经</w:t>
      </w:r>
      <w:r>
        <w:rPr>
          <w:rFonts w:hint="eastAsia" w:ascii="仿宋_GB2312" w:eastAsia="仿宋_GB2312"/>
          <w:color w:val="auto"/>
          <w:sz w:val="32"/>
          <w:szCs w:val="32"/>
          <w:lang w:val="en-US" w:eastAsia="zh-CN"/>
        </w:rPr>
        <w:t>依托原有</w:t>
      </w:r>
      <w:r>
        <w:rPr>
          <w:rFonts w:hint="eastAsia" w:ascii="仿宋_GB2312" w:eastAsia="仿宋_GB2312"/>
          <w:color w:val="auto"/>
          <w:sz w:val="32"/>
          <w:szCs w:val="32"/>
          <w:lang w:eastAsia="zh-CN"/>
        </w:rPr>
        <w:t>三级化粪池</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隔油隔渣池预处理后，</w:t>
      </w:r>
      <w:r>
        <w:rPr>
          <w:rFonts w:hint="eastAsia" w:ascii="仿宋_GB2312" w:eastAsia="仿宋_GB2312"/>
          <w:color w:val="auto"/>
          <w:sz w:val="32"/>
          <w:szCs w:val="32"/>
          <w:lang w:val="en-US" w:eastAsia="zh-CN"/>
        </w:rPr>
        <w:t>连同</w:t>
      </w:r>
      <w:r>
        <w:rPr>
          <w:rFonts w:hint="eastAsia" w:ascii="仿宋_GB2312" w:eastAsia="仿宋_GB2312"/>
          <w:color w:val="auto"/>
          <w:sz w:val="32"/>
          <w:szCs w:val="32"/>
          <w:lang w:eastAsia="zh-CN"/>
        </w:rPr>
        <w:t>冷却塔产生的浓排水</w:t>
      </w:r>
      <w:r>
        <w:rPr>
          <w:rFonts w:hint="eastAsia" w:ascii="仿宋_GB2312" w:eastAsia="仿宋_GB2312"/>
          <w:color w:val="auto"/>
          <w:sz w:val="32"/>
          <w:szCs w:val="32"/>
        </w:rPr>
        <w:t>排入市政集污管网，送</w:t>
      </w:r>
      <w:r>
        <w:rPr>
          <w:rFonts w:hint="eastAsia" w:ascii="仿宋_GB2312" w:eastAsia="仿宋_GB2312"/>
          <w:color w:val="auto"/>
          <w:sz w:val="32"/>
          <w:szCs w:val="32"/>
          <w:lang w:eastAsia="zh-CN"/>
        </w:rPr>
        <w:t>钟村</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处理。项目</w:t>
      </w:r>
      <w:r>
        <w:rPr>
          <w:rFonts w:hint="eastAsia" w:ascii="仿宋_GB2312" w:eastAsia="仿宋_GB2312"/>
          <w:color w:val="auto"/>
          <w:sz w:val="32"/>
          <w:szCs w:val="32"/>
          <w:lang w:val="en-US" w:eastAsia="zh-CN"/>
        </w:rPr>
        <w:t>不新增废水排放口，总体</w:t>
      </w:r>
      <w:r>
        <w:rPr>
          <w:rFonts w:hint="eastAsia" w:ascii="仿宋_GB2312" w:eastAsia="仿宋_GB2312"/>
          <w:color w:val="auto"/>
          <w:sz w:val="32"/>
          <w:szCs w:val="32"/>
        </w:rPr>
        <w:t>设置</w:t>
      </w:r>
      <w:r>
        <w:rPr>
          <w:rFonts w:hint="eastAsia" w:ascii="仿宋_GB2312" w:eastAsia="仿宋_GB2312"/>
          <w:color w:val="auto"/>
          <w:sz w:val="32"/>
          <w:szCs w:val="32"/>
          <w:lang w:val="en-US" w:eastAsia="zh-CN"/>
        </w:rPr>
        <w:t>废</w:t>
      </w:r>
      <w:r>
        <w:rPr>
          <w:rFonts w:hint="eastAsia" w:ascii="仿宋_GB2312" w:eastAsia="仿宋_GB2312"/>
          <w:color w:val="auto"/>
          <w:sz w:val="32"/>
          <w:szCs w:val="32"/>
        </w:rPr>
        <w:t>水排</w:t>
      </w:r>
      <w:r>
        <w:rPr>
          <w:rFonts w:hint="eastAsia" w:ascii="仿宋_GB2312" w:eastAsia="仿宋_GB2312"/>
          <w:color w:val="auto"/>
          <w:sz w:val="32"/>
          <w:szCs w:val="32"/>
          <w:lang w:eastAsia="zh-CN"/>
        </w:rPr>
        <w:t>放</w:t>
      </w:r>
      <w:r>
        <w:rPr>
          <w:rFonts w:hint="eastAsia" w:ascii="仿宋_GB2312" w:eastAsia="仿宋_GB2312"/>
          <w:color w:val="auto"/>
          <w:sz w:val="32"/>
          <w:szCs w:val="32"/>
        </w:rPr>
        <w:t>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3F33BB36">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s="Times New Roman"/>
          <w:color w:val="auto"/>
          <w:sz w:val="32"/>
          <w:szCs w:val="32"/>
          <w:lang w:eastAsia="zh-CN"/>
        </w:rPr>
        <w:t>按照</w:t>
      </w:r>
      <w:r>
        <w:rPr>
          <w:rFonts w:hint="eastAsia" w:ascii="仿宋_GB2312" w:eastAsia="仿宋_GB2312" w:cs="Times New Roman"/>
          <w:color w:val="auto"/>
          <w:sz w:val="32"/>
          <w:szCs w:val="32"/>
          <w:lang w:val="en-US" w:eastAsia="zh-CN"/>
        </w:rPr>
        <w:t>广东省</w:t>
      </w:r>
      <w:r>
        <w:rPr>
          <w:rFonts w:hint="eastAsia" w:ascii="仿宋_GB2312" w:eastAsia="仿宋_GB2312" w:cs="Times New Roman"/>
          <w:color w:val="auto"/>
          <w:sz w:val="32"/>
          <w:szCs w:val="32"/>
          <w:lang w:eastAsia="zh-CN"/>
        </w:rPr>
        <w:t>《固定污染源挥发性有机物综合排放标准》（DB44/2367-2022）</w:t>
      </w:r>
      <w:r>
        <w:rPr>
          <w:rFonts w:hint="eastAsia" w:ascii="仿宋_GB2312" w:eastAsia="仿宋_GB2312" w:cs="Times New Roman"/>
          <w:color w:val="auto"/>
          <w:sz w:val="32"/>
          <w:szCs w:val="32"/>
          <w:lang w:val="en-US" w:eastAsia="zh-CN"/>
        </w:rPr>
        <w:t>等</w:t>
      </w:r>
      <w:r>
        <w:rPr>
          <w:rFonts w:hint="eastAsia" w:ascii="仿宋_GB2312" w:eastAsia="仿宋_GB2312" w:cs="Times New Roman"/>
          <w:color w:val="auto"/>
          <w:sz w:val="32"/>
          <w:szCs w:val="32"/>
          <w:lang w:eastAsia="zh-CN"/>
        </w:rPr>
        <w:t>无组织排放控制要求落实相关措施。注液废气经活性炭吸附装置处理后</w:t>
      </w:r>
      <w:r>
        <w:rPr>
          <w:rFonts w:hint="eastAsia" w:ascii="仿宋_GB2312" w:eastAsia="仿宋_GB2312" w:cs="Times New Roman"/>
          <w:color w:val="auto"/>
          <w:sz w:val="32"/>
          <w:szCs w:val="32"/>
          <w:lang w:val="en-US" w:eastAsia="zh-CN"/>
        </w:rPr>
        <w:t>经不低于26.5米</w:t>
      </w:r>
      <w:r>
        <w:rPr>
          <w:rFonts w:hint="eastAsia" w:ascii="仿宋_GB2312" w:eastAsia="仿宋_GB2312" w:cs="Times New Roman"/>
          <w:color w:val="auto"/>
          <w:sz w:val="32"/>
          <w:szCs w:val="32"/>
          <w:lang w:eastAsia="zh-CN"/>
        </w:rPr>
        <w:t>高</w:t>
      </w:r>
      <w:r>
        <w:rPr>
          <w:rFonts w:hint="eastAsia" w:ascii="仿宋_GB2312" w:eastAsia="仿宋_GB2312" w:cs="Times New Roman"/>
          <w:color w:val="auto"/>
          <w:sz w:val="32"/>
          <w:szCs w:val="32"/>
          <w:lang w:val="en-US" w:eastAsia="zh-CN"/>
        </w:rPr>
        <w:t>的</w:t>
      </w:r>
      <w:r>
        <w:rPr>
          <w:rFonts w:hint="eastAsia" w:ascii="仿宋_GB2312" w:eastAsia="仿宋_GB2312" w:cs="Times New Roman"/>
          <w:color w:val="auto"/>
          <w:sz w:val="32"/>
          <w:szCs w:val="32"/>
          <w:lang w:eastAsia="zh-CN"/>
        </w:rPr>
        <w:t>排气筒</w:t>
      </w:r>
      <w:r>
        <w:rPr>
          <w:rFonts w:hint="eastAsia" w:ascii="仿宋_GB2312" w:eastAsia="仿宋_GB2312"/>
          <w:color w:val="auto"/>
          <w:sz w:val="32"/>
          <w:szCs w:val="32"/>
          <w:lang w:val="en-US" w:eastAsia="zh-CN"/>
        </w:rPr>
        <w:t>高空排放；食堂油烟经收集后通过静电油烟净化器处理后引至楼顶高空排放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项目新增废气排放口1个，总体设置废气排放口5个</w:t>
      </w:r>
      <w:r>
        <w:rPr>
          <w:rFonts w:hint="eastAsia" w:ascii="仿宋_GB2312" w:eastAsia="仿宋_GB2312"/>
          <w:color w:val="auto"/>
          <w:sz w:val="32"/>
          <w:szCs w:val="32"/>
        </w:rPr>
        <w:t>。</w:t>
      </w:r>
    </w:p>
    <w:p w14:paraId="29D80F9E">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3B270B6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D3E0E59">
      <w:pPr>
        <w:keepNext w:val="0"/>
        <w:keepLines w:val="0"/>
        <w:pageBreakBefore w:val="0"/>
        <w:kinsoku/>
        <w:overflowPunct/>
        <w:topLinePunct w:val="0"/>
        <w:autoSpaceDE/>
        <w:autoSpaceDN/>
        <w:bidi w:val="0"/>
        <w:spacing w:line="560" w:lineRule="exact"/>
        <w:ind w:left="0" w:leftChars="0"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（四）废抹布、废活性炭等</w:t>
      </w:r>
      <w:r>
        <w:rPr>
          <w:rFonts w:hint="eastAsia" w:ascii="仿宋_GB2312" w:eastAsia="仿宋_GB2312"/>
          <w:color w:val="auto"/>
          <w:sz w:val="32"/>
          <w:szCs w:val="32"/>
          <w:lang w:val="en-US" w:eastAsia="zh-CN"/>
        </w:rPr>
        <w:t>属于</w:t>
      </w:r>
      <w:r>
        <w:rPr>
          <w:rFonts w:hint="eastAsia" w:ascii="仿宋_GB2312" w:eastAsia="仿宋_GB2312"/>
          <w:color w:val="auto"/>
          <w:sz w:val="32"/>
          <w:szCs w:val="32"/>
        </w:rPr>
        <w:t>危险废物</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2640918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DD2AC5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五</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24FC4721">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623B2E5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4535B85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359B9971">
      <w:pPr>
        <w:pStyle w:val="9"/>
        <w:keepNext w:val="0"/>
        <w:keepLines w:val="0"/>
        <w:pageBreakBefore w:val="0"/>
        <w:kinsoku/>
        <w:overflowPunct/>
        <w:topLinePunct w:val="0"/>
        <w:autoSpaceDE/>
        <w:autoSpaceDN/>
        <w:bidi w:val="0"/>
        <w:spacing w:line="240" w:lineRule="auto"/>
        <w:ind w:firstLine="636"/>
        <w:textAlignment w:val="auto"/>
        <w:rPr>
          <w:rFonts w:hint="eastAsia" w:ascii="仿宋_GB2312" w:hAnsi="仿宋" w:eastAsia="仿宋_GB2312"/>
          <w:color w:val="auto"/>
          <w:sz w:val="32"/>
        </w:rPr>
      </w:pPr>
      <w:r>
        <w:rPr>
          <w:rFonts w:hint="eastAsia" w:ascii="仿宋_GB2312" w:eastAsia="仿宋_GB2312"/>
          <w:color w:val="auto"/>
          <w:sz w:val="32"/>
          <w:szCs w:val="32"/>
          <w:lang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49913197">
      <w:pPr>
        <w:keepNext w:val="0"/>
        <w:keepLines w:val="0"/>
        <w:pageBreakBefore w:val="0"/>
        <w:kinsoku/>
        <w:overflowPunct/>
        <w:topLinePunct w:val="0"/>
        <w:autoSpaceDE/>
        <w:autoSpaceDN/>
        <w:bidi w:val="0"/>
        <w:spacing w:line="560" w:lineRule="exact"/>
        <w:ind w:firstLine="0" w:firstLineChars="0"/>
        <w:textAlignment w:val="auto"/>
        <w:rPr>
          <w:rFonts w:ascii="仿宋_GB2312" w:eastAsia="仿宋_GB2312"/>
          <w:color w:val="auto"/>
          <w:sz w:val="32"/>
          <w:szCs w:val="32"/>
        </w:rPr>
      </w:pPr>
    </w:p>
    <w:p w14:paraId="74EBAD5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9A26305">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1AE2D903">
      <w:pPr>
        <w:keepNext w:val="0"/>
        <w:keepLines w:val="0"/>
        <w:pageBreakBefore w:val="0"/>
        <w:kinsoku/>
        <w:overflowPunct/>
        <w:topLinePunct w:val="0"/>
        <w:autoSpaceDE/>
        <w:autoSpaceDN/>
        <w:bidi w:val="0"/>
        <w:spacing w:line="560" w:lineRule="exact"/>
        <w:ind w:right="4"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日</w:t>
      </w:r>
    </w:p>
    <w:p w14:paraId="1FD31908">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F233EE2">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084C079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3663191">
      <w:pPr>
        <w:spacing w:line="560" w:lineRule="exact"/>
        <w:ind w:left="1687" w:leftChars="201" w:hanging="1265" w:hangingChars="452"/>
        <w:rPr>
          <w:color w:val="auto"/>
          <w:sz w:val="28"/>
          <w:szCs w:val="28"/>
        </w:rPr>
      </w:pPr>
      <w:r>
        <w:rPr>
          <w:rFonts w:hint="eastAsia" w:ascii="仿宋_GB2312" w:hAnsi="仿宋" w:eastAsia="仿宋_GB2312"/>
          <w:color w:val="auto"/>
          <w:sz w:val="28"/>
          <w:szCs w:val="28"/>
        </w:rPr>
        <w:t>抄送：广州市生态环境局番禺分局</w:t>
      </w:r>
      <w:r>
        <w:rPr>
          <w:rFonts w:hint="eastAsia" w:ascii="仿宋_GB2312" w:hAnsi="仿宋" w:eastAsia="仿宋_GB2312" w:cs="Times New Roman"/>
          <w:color w:val="auto"/>
          <w:sz w:val="28"/>
          <w:szCs w:val="28"/>
        </w:rPr>
        <w:t>执法</w:t>
      </w:r>
      <w:r>
        <w:rPr>
          <w:rFonts w:hint="eastAsia" w:ascii="仿宋_GB2312" w:hAnsi="仿宋" w:eastAsia="仿宋_GB2312" w:cs="Times New Roman"/>
          <w:color w:val="auto"/>
          <w:sz w:val="28"/>
          <w:szCs w:val="28"/>
          <w:lang w:val="en-US" w:eastAsia="zh-CN"/>
        </w:rPr>
        <w:t>一</w:t>
      </w:r>
      <w:r>
        <w:rPr>
          <w:rFonts w:hint="eastAsia" w:ascii="仿宋_GB2312" w:hAnsi="仿宋" w:eastAsia="仿宋_GB2312" w:cs="Times New Roman"/>
          <w:color w:val="auto"/>
          <w:sz w:val="28"/>
          <w:szCs w:val="28"/>
        </w:rPr>
        <w:t>科、</w:t>
      </w:r>
      <w:r>
        <w:rPr>
          <w:rFonts w:hint="eastAsia" w:ascii="仿宋_GB2312" w:hAnsi="仿宋" w:eastAsia="仿宋_GB2312" w:cs="Times New Roman"/>
          <w:color w:val="auto"/>
          <w:sz w:val="28"/>
          <w:szCs w:val="28"/>
          <w:lang w:eastAsia="zh-CN"/>
        </w:rPr>
        <w:t>番禺</w:t>
      </w:r>
      <w:r>
        <w:rPr>
          <w:rFonts w:hint="eastAsia" w:ascii="仿宋_GB2312" w:hAnsi="仿宋" w:eastAsia="仿宋_GB2312" w:cs="Times New Roman"/>
          <w:color w:val="auto"/>
          <w:sz w:val="28"/>
          <w:szCs w:val="28"/>
        </w:rPr>
        <w:t>第</w:t>
      </w:r>
      <w:r>
        <w:rPr>
          <w:rFonts w:hint="eastAsia" w:ascii="仿宋_GB2312" w:hAnsi="仿宋" w:eastAsia="仿宋_GB2312" w:cs="Times New Roman"/>
          <w:color w:val="auto"/>
          <w:sz w:val="28"/>
          <w:szCs w:val="28"/>
          <w:lang w:val="en-US" w:eastAsia="zh-CN"/>
        </w:rPr>
        <w:t>二</w:t>
      </w:r>
      <w:r>
        <w:rPr>
          <w:rFonts w:hint="eastAsia" w:ascii="仿宋_GB2312" w:hAnsi="仿宋" w:eastAsia="仿宋_GB2312" w:cs="Times New Roman"/>
          <w:color w:val="auto"/>
          <w:sz w:val="28"/>
          <w:szCs w:val="28"/>
        </w:rPr>
        <w:t>环保所</w:t>
      </w:r>
      <w:r>
        <w:rPr>
          <w:rFonts w:hint="eastAsia" w:ascii="仿宋_GB2312" w:hAnsi="仿宋" w:eastAsia="仿宋_GB2312"/>
          <w:color w:val="auto"/>
          <w:sz w:val="28"/>
          <w:szCs w:val="28"/>
        </w:rPr>
        <w:t>，广州同藜环境科技有限公司。</w:t>
      </w:r>
    </w:p>
    <w:p w14:paraId="14E8717C">
      <w:pPr>
        <w:rPr>
          <w:color w:val="auto"/>
        </w:rPr>
      </w:pP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公文小标宋简">
    <w:altName w:val="宋体"/>
    <w:panose1 w:val="02010609010101010101"/>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5DC91">
    <w:pPr>
      <w:pStyle w:val="5"/>
      <w:framePr w:wrap="around" w:vAnchor="text" w:hAnchor="margin" w:xAlign="outside" w:y="1"/>
      <w:rPr>
        <w:rStyle w:val="8"/>
        <w:rFonts w:ascii="宋体" w:hAnsi="宋体"/>
        <w:sz w:val="28"/>
        <w:szCs w:val="28"/>
      </w:rPr>
    </w:pPr>
    <w:r>
      <w:rPr>
        <w:rStyle w:val="8"/>
        <w:rFonts w:hint="eastAsia" w:ascii="宋体" w:hAnsi="宋体"/>
        <w:sz w:val="28"/>
        <w:szCs w:val="28"/>
      </w:rPr>
      <w:t xml:space="preserve">— </w:t>
    </w: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3</w:t>
    </w:r>
    <w:r>
      <w:rPr>
        <w:rStyle w:val="8"/>
        <w:rFonts w:ascii="宋体" w:hAnsi="宋体"/>
        <w:sz w:val="28"/>
        <w:szCs w:val="28"/>
      </w:rPr>
      <w:fldChar w:fldCharType="end"/>
    </w:r>
    <w:r>
      <w:rPr>
        <w:rStyle w:val="8"/>
        <w:rFonts w:hint="eastAsia" w:ascii="宋体" w:hAnsi="宋体"/>
        <w:sz w:val="28"/>
        <w:szCs w:val="28"/>
      </w:rPr>
      <w:t xml:space="preserve"> —</w:t>
    </w:r>
  </w:p>
  <w:p w14:paraId="48DE3797">
    <w:pPr>
      <w:pStyle w:val="5"/>
      <w:ind w:right="360" w:firstLine="360"/>
      <w:jc w:val="center"/>
      <w:rPr>
        <w:rFonts w:ascii="Times New Roman" w:hAnsi="Times New Roman"/>
        <w:sz w:val="28"/>
        <w:szCs w:val="28"/>
      </w:rPr>
    </w:pPr>
  </w:p>
  <w:p w14:paraId="3B967C6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2ED8E">
    <w:pPr>
      <w:pStyle w:val="5"/>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14:paraId="4AA547C0">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D55F6"/>
    <w:rsid w:val="1EF75507"/>
    <w:rsid w:val="285A215E"/>
    <w:rsid w:val="2D5866F0"/>
    <w:rsid w:val="2D8F7DB2"/>
    <w:rsid w:val="39D60471"/>
    <w:rsid w:val="3BF5003A"/>
    <w:rsid w:val="43712A24"/>
    <w:rsid w:val="446D1C91"/>
    <w:rsid w:val="46162856"/>
    <w:rsid w:val="61E771BF"/>
    <w:rsid w:val="670447D2"/>
    <w:rsid w:val="70A5476F"/>
    <w:rsid w:val="7C660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4"/>
    <w:next w:val="4"/>
    <w:qFormat/>
    <w:uiPriority w:val="0"/>
    <w:pPr>
      <w:keepNext/>
      <w:keepLines/>
      <w:spacing w:before="0" w:beforeLines="0" w:beforeAutospacing="0" w:after="0" w:afterLines="0" w:afterAutospacing="0" w:line="560" w:lineRule="exact"/>
      <w:ind w:firstLine="0" w:firstLineChars="0"/>
      <w:outlineLvl w:val="0"/>
    </w:pPr>
    <w:rPr>
      <w:rFonts w:ascii="方正小标宋简体" w:hAnsi="方正小标宋简体" w:eastAsia="方正小标宋简体" w:cs="方正小标宋简体"/>
      <w:b w:val="0"/>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5">
    <w:name w:val="footer"/>
    <w:basedOn w:val="1"/>
    <w:unhideWhenUsed/>
    <w:qFormat/>
    <w:uiPriority w:val="99"/>
    <w:pPr>
      <w:tabs>
        <w:tab w:val="center" w:pos="4153"/>
        <w:tab w:val="right" w:pos="8306"/>
      </w:tabs>
      <w:snapToGrid w:val="0"/>
      <w:jc w:val="left"/>
    </w:pPr>
    <w:rPr>
      <w:sz w:val="18"/>
      <w:szCs w:val="18"/>
    </w:rPr>
  </w:style>
  <w:style w:type="character" w:styleId="8">
    <w:name w:val="page number"/>
    <w:basedOn w:val="7"/>
    <w:qFormat/>
    <w:uiPriority w:val="0"/>
  </w:style>
  <w:style w:type="paragraph" w:customStyle="1" w:styleId="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1947</Words>
  <Characters>2142</Characters>
  <Lines>0</Lines>
  <Paragraphs>0</Paragraphs>
  <TotalTime>909</TotalTime>
  <ScaleCrop>false</ScaleCrop>
  <LinksUpToDate>false</LinksUpToDate>
  <CharactersWithSpaces>2208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2025-08-12T06:44:00Z</dcterms:created>
  <dc:creator>1</dc:creator>
  <cp:lastModifiedBy>圆圈圈儿 ࿔</cp:lastModifiedBy>
  <cp:lastPrinted>2025-08-22T03:36:00Z</cp:lastPrinted>
  <dcterms:modified xsi:type="dcterms:W3CDTF">2025-08-25T06:14:50Z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1AD9BCFC1DD4475DB8EE0162DE1F9A33_13</vt:lpwstr>
  </property>
  <property fmtid="{D5CDD505-2E9C-101B-9397-08002B2CF9AE}" pid="4" name="KSOTemplateDocerSaveRecord">
    <vt:lpwstr>eyJoZGlkIjoiODdkOTNkZGUwYWU4YWU0YzViNWEwNmQ1ODczOTg2ZTkiLCJ1c2VySWQiOiIxNzIzMDIxNzY5In0=</vt:lpwstr>
  </property>
</Properties>
</file>