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3373B5">
      <w:pPr>
        <w:adjustRightInd w:val="0"/>
        <w:snapToGrid w:val="0"/>
        <w:ind w:right="-156" w:hanging="180"/>
        <w:jc w:val="center"/>
        <w:rPr>
          <w:rFonts w:ascii="公文小标宋简" w:eastAsia="公文小标宋简"/>
          <w:b/>
          <w:bCs/>
          <w:smallCaps/>
          <w:snapToGrid w:val="0"/>
          <w:color w:val="auto"/>
          <w:spacing w:val="56"/>
          <w:kern w:val="0"/>
          <w:sz w:val="72"/>
          <w:szCs w:val="72"/>
        </w:rPr>
      </w:pPr>
    </w:p>
    <w:p w14:paraId="1AA5779C">
      <w:pPr>
        <w:keepNext w:val="0"/>
        <w:keepLines w:val="0"/>
        <w:pageBreakBefore w:val="0"/>
        <w:kinsoku/>
        <w:wordWrap w:val="0"/>
        <w:overflowPunct/>
        <w:topLinePunct w:val="0"/>
        <w:autoSpaceDE/>
        <w:autoSpaceDN/>
        <w:bidi w:val="0"/>
        <w:adjustRightInd w:val="0"/>
        <w:snapToGrid w:val="0"/>
        <w:spacing w:line="560" w:lineRule="exact"/>
        <w:ind w:firstLine="4480" w:firstLineChars="1400"/>
        <w:textAlignment w:val="auto"/>
        <w:rPr>
          <w:rFonts w:ascii="仿宋_GB2312"/>
          <w:color w:val="auto"/>
        </w:rPr>
      </w:pPr>
      <w:r>
        <w:rPr>
          <w:rFonts w:hint="eastAsia" w:ascii="仿宋_GB2312" w:eastAsia="仿宋_GB2312"/>
          <w:color w:val="auto"/>
          <w:sz w:val="32"/>
          <w:szCs w:val="32"/>
        </w:rPr>
        <w:t>穗环管影（番）〔202</w:t>
      </w:r>
      <w:r>
        <w:rPr>
          <w:rFonts w:hint="eastAsia" w:ascii="仿宋_GB2312" w:eastAsia="仿宋_GB2312"/>
          <w:color w:val="auto"/>
          <w:sz w:val="32"/>
          <w:szCs w:val="32"/>
          <w:lang w:val="en-US" w:eastAsia="zh-CN"/>
        </w:rPr>
        <w:t>5</w:t>
      </w:r>
      <w:r>
        <w:rPr>
          <w:rFonts w:hint="eastAsia" w:ascii="仿宋_GB2312" w:eastAsia="仿宋_GB2312"/>
          <w:color w:val="auto"/>
          <w:sz w:val="32"/>
          <w:szCs w:val="32"/>
        </w:rPr>
        <w:t>〕</w:t>
      </w:r>
      <w:r>
        <w:rPr>
          <w:rFonts w:hint="eastAsia" w:ascii="仿宋_GB2312" w:eastAsia="仿宋_GB2312"/>
          <w:color w:val="auto"/>
          <w:sz w:val="32"/>
          <w:szCs w:val="32"/>
          <w:lang w:val="en-US" w:eastAsia="zh-CN"/>
        </w:rPr>
        <w:t>111</w:t>
      </w:r>
      <w:r>
        <w:rPr>
          <w:rFonts w:hint="eastAsia" w:ascii="仿宋_GB2312" w:eastAsia="仿宋_GB2312"/>
          <w:color w:val="auto"/>
          <w:sz w:val="32"/>
          <w:szCs w:val="32"/>
        </w:rPr>
        <w:t>号</w:t>
      </w:r>
    </w:p>
    <w:p w14:paraId="0D9D23AD">
      <w:pPr>
        <w:keepNext w:val="0"/>
        <w:keepLines w:val="0"/>
        <w:pageBreakBefore w:val="0"/>
        <w:kinsoku/>
        <w:overflowPunct/>
        <w:topLinePunct w:val="0"/>
        <w:autoSpaceDE/>
        <w:autoSpaceDN/>
        <w:bidi w:val="0"/>
        <w:spacing w:line="560" w:lineRule="exact"/>
        <w:textAlignment w:val="auto"/>
        <w:rPr>
          <w:rFonts w:ascii="黑体" w:eastAsia="黑体"/>
          <w:color w:val="auto"/>
        </w:rPr>
      </w:pPr>
    </w:p>
    <w:p w14:paraId="0AC8BEF1">
      <w:pPr>
        <w:keepNext w:val="0"/>
        <w:keepLines w:val="0"/>
        <w:pageBreakBefore w:val="0"/>
        <w:kinsoku/>
        <w:overflowPunct/>
        <w:topLinePunct w:val="0"/>
        <w:autoSpaceDE/>
        <w:autoSpaceDN/>
        <w:bidi w:val="0"/>
        <w:adjustRightInd w:val="0"/>
        <w:snapToGrid w:val="0"/>
        <w:spacing w:line="560" w:lineRule="exact"/>
        <w:textAlignment w:val="auto"/>
        <w:rPr>
          <w:rFonts w:ascii="仿宋_GB2312"/>
          <w:color w:val="auto"/>
        </w:rPr>
      </w:pPr>
    </w:p>
    <w:p w14:paraId="00880D9C">
      <w:pPr>
        <w:keepNext w:val="0"/>
        <w:keepLines w:val="0"/>
        <w:pageBreakBefore w:val="0"/>
        <w:kinsoku/>
        <w:overflowPunct/>
        <w:topLinePunct w:val="0"/>
        <w:autoSpaceDE/>
        <w:autoSpaceDN/>
        <w:bidi w:val="0"/>
        <w:spacing w:line="560" w:lineRule="exact"/>
        <w:jc w:val="center"/>
        <w:textAlignment w:val="auto"/>
        <w:rPr>
          <w:rFonts w:hint="eastAsia" w:ascii="方正小标宋简体" w:eastAsia="方正小标宋简体"/>
          <w:color w:val="auto"/>
          <w:sz w:val="44"/>
          <w:szCs w:val="44"/>
        </w:rPr>
      </w:pPr>
      <w:r>
        <w:rPr>
          <w:rFonts w:hint="eastAsia" w:ascii="方正小标宋简体" w:eastAsia="方正小标宋简体"/>
          <w:color w:val="auto"/>
          <w:sz w:val="44"/>
          <w:szCs w:val="44"/>
        </w:rPr>
        <w:t>广州市生态环境局关于广州番禺起航宠物医院建设项目环境影响报告表的批复</w:t>
      </w:r>
    </w:p>
    <w:p w14:paraId="641C6A5B">
      <w:pPr>
        <w:keepNext w:val="0"/>
        <w:keepLines w:val="0"/>
        <w:pageBreakBefore w:val="0"/>
        <w:kinsoku/>
        <w:overflowPunct/>
        <w:topLinePunct w:val="0"/>
        <w:autoSpaceDE/>
        <w:autoSpaceDN/>
        <w:bidi w:val="0"/>
        <w:spacing w:line="560" w:lineRule="exact"/>
        <w:textAlignment w:val="auto"/>
        <w:rPr>
          <w:rFonts w:hint="eastAsia" w:ascii="方正小标宋简体" w:eastAsia="方正小标宋简体"/>
          <w:color w:val="auto"/>
          <w:sz w:val="44"/>
          <w:szCs w:val="44"/>
        </w:rPr>
      </w:pPr>
    </w:p>
    <w:p w14:paraId="4D947783">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r>
        <w:rPr>
          <w:rFonts w:hint="eastAsia" w:ascii="仿宋_GB2312" w:eastAsia="仿宋_GB2312"/>
          <w:color w:val="auto"/>
          <w:sz w:val="32"/>
          <w:szCs w:val="32"/>
        </w:rPr>
        <w:t>广州番禺起航宠物医院有限公司（</w:t>
      </w:r>
      <w:r>
        <w:rPr>
          <w:rFonts w:hint="eastAsia" w:ascii="仿宋_GB2312" w:eastAsia="仿宋_GB2312"/>
          <w:bCs/>
          <w:color w:val="auto"/>
          <w:sz w:val="32"/>
          <w:szCs w:val="32"/>
        </w:rPr>
        <w:t>91440113MADUB2NU54</w:t>
      </w:r>
      <w:r>
        <w:rPr>
          <w:rFonts w:hint="eastAsia" w:ascii="仿宋_GB2312" w:eastAsia="仿宋_GB2312"/>
          <w:color w:val="auto"/>
          <w:sz w:val="32"/>
          <w:szCs w:val="32"/>
        </w:rPr>
        <w:t>）：</w:t>
      </w:r>
      <w:bookmarkStart w:id="0" w:name="_GoBack"/>
      <w:bookmarkEnd w:id="0"/>
    </w:p>
    <w:p w14:paraId="06F98241">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你单位报送的《广州番禺起航宠物医院建设项目环境影响报告表》（以下简称《报告表》）及附送资料收悉。经研究，现批复如下：</w:t>
      </w:r>
    </w:p>
    <w:p w14:paraId="6234E811">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一、广州番禺起航宠物医院建设项目（以下简称“该项目”）位于广州市番禺区东环街道市广路288号10栋105铺，申报内容为从事宠物寄养、疾病预防、诊疗、治疗（包括动物颅腔、胸腔或腹腔手术）和绝育手术</w:t>
      </w:r>
      <w:r>
        <w:rPr>
          <w:rFonts w:hint="eastAsia" w:ascii="仿宋_GB2312" w:eastAsia="仿宋_GB2312"/>
          <w:color w:val="auto"/>
          <w:sz w:val="32"/>
          <w:szCs w:val="32"/>
          <w:lang w:eastAsia="zh-CN"/>
        </w:rPr>
        <w:t>，单日最大接诊、寄养宠物量共20只。其中接诊宠物量10只/天（包含手术3只/天）、寄养宠物量10只/天。</w:t>
      </w:r>
      <w:r>
        <w:rPr>
          <w:rFonts w:hint="eastAsia" w:ascii="仿宋_GB2312" w:eastAsia="仿宋_GB2312"/>
          <w:color w:val="auto"/>
          <w:sz w:val="32"/>
          <w:szCs w:val="32"/>
        </w:rPr>
        <w:t>该项目占地面积63.39平方米，</w:t>
      </w:r>
      <w:r>
        <w:rPr>
          <w:rFonts w:hint="eastAsia" w:ascii="仿宋_GB2312" w:eastAsia="仿宋_GB2312"/>
          <w:color w:val="auto"/>
          <w:sz w:val="32"/>
          <w:szCs w:val="32"/>
          <w:lang w:val="en-US" w:eastAsia="zh-CN"/>
        </w:rPr>
        <w:t>总</w:t>
      </w:r>
      <w:r>
        <w:rPr>
          <w:rFonts w:hint="eastAsia" w:ascii="仿宋_GB2312" w:eastAsia="仿宋_GB2312"/>
          <w:color w:val="auto"/>
          <w:sz w:val="32"/>
          <w:szCs w:val="32"/>
        </w:rPr>
        <w:t>建筑面积63.39平方米，</w:t>
      </w:r>
      <w:r>
        <w:rPr>
          <w:rFonts w:hint="eastAsia" w:ascii="仿宋_GB2312" w:eastAsia="仿宋_GB2312"/>
          <w:color w:val="auto"/>
          <w:sz w:val="32"/>
          <w:szCs w:val="32"/>
          <w:lang w:val="en-US" w:eastAsia="zh-CN"/>
        </w:rPr>
        <w:t>租用一栋2层商铺的第一层进行建设</w:t>
      </w:r>
      <w:r>
        <w:rPr>
          <w:rFonts w:hint="eastAsia" w:ascii="仿宋_GB2312" w:eastAsia="仿宋_GB2312"/>
          <w:color w:val="auto"/>
          <w:sz w:val="32"/>
          <w:szCs w:val="32"/>
        </w:rPr>
        <w:t>；主要设备有威图牌X光机1台、生化分析仪1台、三分类血常规1台、显微镜1台、彩超仪1台、心电监护仪1台、血压计1台、无影灯1台、麻醉机1台、高压灭菌器1台、输液泵1台、制氧机1台、听诊器1台、血糖仪1台、手术台1台、离心机1台、空调4台、冰箱1台</w:t>
      </w:r>
      <w:r>
        <w:rPr>
          <w:rFonts w:hint="eastAsia" w:ascii="仿宋_GB2312" w:eastAsia="仿宋_GB2312"/>
          <w:color w:val="auto"/>
          <w:sz w:val="32"/>
          <w:szCs w:val="32"/>
          <w:lang w:val="en-US" w:eastAsia="zh-CN"/>
        </w:rPr>
        <w:t>等</w:t>
      </w:r>
      <w:r>
        <w:rPr>
          <w:rFonts w:hint="eastAsia" w:ascii="仿宋_GB2312" w:eastAsia="仿宋_GB2312"/>
          <w:color w:val="auto"/>
          <w:sz w:val="32"/>
          <w:szCs w:val="32"/>
          <w:lang w:eastAsia="zh-CN"/>
        </w:rPr>
        <w:t>。</w:t>
      </w:r>
      <w:r>
        <w:rPr>
          <w:rFonts w:hint="eastAsia" w:ascii="仿宋_GB2312" w:eastAsia="仿宋_GB2312"/>
          <w:color w:val="auto"/>
          <w:sz w:val="32"/>
          <w:szCs w:val="32"/>
        </w:rPr>
        <w:t>员工</w:t>
      </w:r>
      <w:r>
        <w:rPr>
          <w:rFonts w:hint="eastAsia" w:ascii="仿宋_GB2312" w:eastAsia="仿宋_GB2312"/>
          <w:color w:val="auto"/>
          <w:sz w:val="32"/>
          <w:szCs w:val="32"/>
          <w:lang w:val="en-US" w:eastAsia="zh-CN"/>
        </w:rPr>
        <w:t>6</w:t>
      </w:r>
      <w:r>
        <w:rPr>
          <w:rFonts w:hint="eastAsia" w:ascii="仿宋_GB2312" w:eastAsia="仿宋_GB2312"/>
          <w:color w:val="auto"/>
          <w:sz w:val="32"/>
          <w:szCs w:val="32"/>
        </w:rPr>
        <w:t>名，内部不安排食宿。该</w:t>
      </w:r>
      <w:r>
        <w:rPr>
          <w:rFonts w:hint="eastAsia" w:ascii="仿宋_GB2312" w:eastAsia="仿宋_GB2312"/>
          <w:color w:val="auto"/>
          <w:sz w:val="32"/>
          <w:szCs w:val="32"/>
          <w:highlight w:val="none"/>
        </w:rPr>
        <w:t>项目不接收传染性瘟病动物</w:t>
      </w:r>
      <w:r>
        <w:rPr>
          <w:rFonts w:hint="eastAsia" w:ascii="仿宋_GB2312" w:hAnsi="Times New Roman" w:eastAsia="仿宋_GB2312"/>
          <w:color w:val="auto"/>
          <w:sz w:val="32"/>
          <w:szCs w:val="32"/>
          <w:highlight w:val="none"/>
        </w:rPr>
        <w:t>；</w:t>
      </w:r>
      <w:r>
        <w:rPr>
          <w:rFonts w:hint="eastAsia" w:ascii="仿宋_GB2312" w:eastAsia="仿宋_GB2312"/>
          <w:color w:val="auto"/>
          <w:sz w:val="32"/>
          <w:szCs w:val="32"/>
          <w:highlight w:val="none"/>
        </w:rPr>
        <w:t>涉及的</w:t>
      </w:r>
      <w:r>
        <w:rPr>
          <w:rFonts w:hint="eastAsia" w:ascii="仿宋_GB2312" w:eastAsia="仿宋_GB2312"/>
          <w:color w:val="auto"/>
          <w:sz w:val="32"/>
          <w:szCs w:val="32"/>
        </w:rPr>
        <w:t>辐射内容不在本次评价范围内，另行单独办理相关环保手续。</w:t>
      </w:r>
    </w:p>
    <w:p w14:paraId="0B64A3CC">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按照《报告表》的评价结论，在落实各项环境保护措施后，该项目产生的污染物及不良环境影响能够得到有效控制，从环境保护角度，在</w:t>
      </w:r>
      <w:r>
        <w:rPr>
          <w:rFonts w:hint="eastAsia" w:ascii="仿宋_GB2312" w:eastAsia="仿宋_GB2312"/>
          <w:color w:val="auto"/>
          <w:sz w:val="32"/>
          <w:szCs w:val="32"/>
          <w:lang w:val="en-US" w:eastAsia="zh-CN"/>
        </w:rPr>
        <w:t>拟</w:t>
      </w:r>
      <w:r>
        <w:rPr>
          <w:rFonts w:hint="eastAsia" w:ascii="仿宋_GB2312" w:eastAsia="仿宋_GB2312"/>
          <w:color w:val="auto"/>
          <w:sz w:val="32"/>
          <w:szCs w:val="32"/>
        </w:rPr>
        <w:t>选址处建设可行。经审查，我局原则同意《报告表》评价结论。该项目应当按照《报告表》所述性质、规模、地点、</w:t>
      </w:r>
      <w:r>
        <w:rPr>
          <w:rFonts w:hint="eastAsia" w:ascii="仿宋_GB2312" w:eastAsia="仿宋_GB2312"/>
          <w:color w:val="auto"/>
          <w:sz w:val="32"/>
          <w:szCs w:val="32"/>
          <w:lang w:val="en-US" w:eastAsia="zh-CN"/>
        </w:rPr>
        <w:t>经营范围</w:t>
      </w:r>
      <w:r>
        <w:rPr>
          <w:rFonts w:hint="eastAsia" w:ascii="仿宋_GB2312" w:eastAsia="仿宋_GB2312"/>
          <w:color w:val="auto"/>
          <w:sz w:val="32"/>
          <w:szCs w:val="32"/>
        </w:rPr>
        <w:t>和环境保护措施进行建设。</w:t>
      </w:r>
    </w:p>
    <w:p w14:paraId="655CFE16">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二、该项目各类污染物排放控制要求如下：</w:t>
      </w:r>
    </w:p>
    <w:p w14:paraId="4A776410">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eastAsia="仿宋_GB2312"/>
          <w:color w:val="auto"/>
          <w:sz w:val="32"/>
          <w:szCs w:val="32"/>
          <w:lang w:eastAsia="zh-CN"/>
        </w:rPr>
      </w:pPr>
      <w:r>
        <w:rPr>
          <w:rFonts w:hint="eastAsia" w:ascii="仿宋_GB2312" w:eastAsia="仿宋_GB2312"/>
          <w:color w:val="auto"/>
          <w:sz w:val="32"/>
          <w:szCs w:val="32"/>
        </w:rPr>
        <w:t>（一）医疗废水排放执行《医疗机构水污染物排放标准》（GB18466-2005）表2综合医疗机构和其他医疗机构水污染物排放限值（日均值）预处理标准</w:t>
      </w:r>
      <w:r>
        <w:rPr>
          <w:rFonts w:hint="eastAsia" w:ascii="仿宋_GB2312" w:eastAsia="仿宋_GB2312"/>
          <w:color w:val="auto"/>
          <w:sz w:val="32"/>
          <w:szCs w:val="32"/>
          <w:lang w:eastAsia="zh-CN"/>
        </w:rPr>
        <w:t>，</w:t>
      </w:r>
      <w:r>
        <w:rPr>
          <w:rFonts w:hint="eastAsia" w:ascii="仿宋_GB2312" w:eastAsia="仿宋_GB2312"/>
          <w:color w:val="auto"/>
          <w:sz w:val="32"/>
          <w:szCs w:val="32"/>
        </w:rPr>
        <w:t>生活污水、宠物笼及排泄盒清洗废水执行广东省《水污染物排放限值》（DB44/26-2001）第二时段三级标准。</w:t>
      </w:r>
      <w:r>
        <w:rPr>
          <w:rFonts w:hint="eastAsia" w:ascii="仿宋_GB2312" w:eastAsia="仿宋_GB2312"/>
          <w:color w:val="auto"/>
          <w:sz w:val="32"/>
          <w:szCs w:val="32"/>
          <w:lang w:val="en-US" w:eastAsia="zh-CN"/>
        </w:rPr>
        <w:t>医疗</w:t>
      </w:r>
      <w:r>
        <w:rPr>
          <w:rFonts w:hint="eastAsia" w:ascii="仿宋_GB2312" w:eastAsia="仿宋_GB2312"/>
          <w:color w:val="auto"/>
          <w:sz w:val="32"/>
          <w:szCs w:val="32"/>
        </w:rPr>
        <w:t>废水排放量不超过</w:t>
      </w:r>
      <w:r>
        <w:rPr>
          <w:rFonts w:hint="eastAsia" w:ascii="仿宋_GB2312" w:eastAsia="仿宋_GB2312"/>
          <w:color w:val="auto"/>
          <w:sz w:val="32"/>
          <w:szCs w:val="32"/>
          <w:lang w:val="en-US" w:eastAsia="zh-CN"/>
        </w:rPr>
        <w:t>49.28</w:t>
      </w:r>
      <w:r>
        <w:rPr>
          <w:rFonts w:hint="eastAsia" w:ascii="仿宋_GB2312" w:eastAsia="仿宋_GB2312"/>
          <w:color w:val="auto"/>
          <w:sz w:val="32"/>
          <w:szCs w:val="32"/>
        </w:rPr>
        <w:t>吨/年</w:t>
      </w:r>
      <w:r>
        <w:rPr>
          <w:rFonts w:hint="eastAsia" w:ascii="仿宋_GB2312" w:eastAsia="仿宋_GB2312"/>
          <w:color w:val="auto"/>
          <w:sz w:val="32"/>
          <w:szCs w:val="32"/>
          <w:lang w:eastAsia="zh-CN"/>
        </w:rPr>
        <w:t>，</w:t>
      </w:r>
      <w:r>
        <w:rPr>
          <w:rFonts w:hint="eastAsia" w:ascii="仿宋_GB2312" w:eastAsia="仿宋_GB2312"/>
          <w:color w:val="auto"/>
          <w:sz w:val="32"/>
          <w:szCs w:val="32"/>
        </w:rPr>
        <w:t>生活污水、清洗废水排放量不超过</w:t>
      </w:r>
      <w:r>
        <w:rPr>
          <w:rFonts w:hint="eastAsia" w:ascii="仿宋_GB2312" w:eastAsia="仿宋_GB2312"/>
          <w:color w:val="auto"/>
          <w:sz w:val="32"/>
          <w:szCs w:val="32"/>
          <w:lang w:val="en-US" w:eastAsia="zh-CN"/>
        </w:rPr>
        <w:t>152.55</w:t>
      </w:r>
      <w:r>
        <w:rPr>
          <w:rFonts w:hint="eastAsia" w:ascii="仿宋_GB2312" w:eastAsia="仿宋_GB2312"/>
          <w:color w:val="auto"/>
          <w:sz w:val="32"/>
          <w:szCs w:val="32"/>
        </w:rPr>
        <w:t>吨/年</w:t>
      </w:r>
      <w:r>
        <w:rPr>
          <w:rFonts w:hint="eastAsia" w:ascii="仿宋_GB2312" w:eastAsia="仿宋_GB2312"/>
          <w:color w:val="auto"/>
          <w:sz w:val="32"/>
          <w:szCs w:val="32"/>
          <w:lang w:eastAsia="zh-CN"/>
        </w:rPr>
        <w:t>。</w:t>
      </w:r>
    </w:p>
    <w:p w14:paraId="5C2993F3">
      <w:pPr>
        <w:keepNext w:val="0"/>
        <w:keepLines w:val="0"/>
        <w:pageBreakBefore w:val="0"/>
        <w:kinsoku/>
        <w:overflowPunct/>
        <w:topLinePunct w:val="0"/>
        <w:autoSpaceDE/>
        <w:autoSpaceDN/>
        <w:bidi w:val="0"/>
        <w:spacing w:line="560" w:lineRule="exact"/>
        <w:ind w:firstLine="640" w:firstLineChars="200"/>
        <w:textAlignment w:val="auto"/>
        <w:rPr>
          <w:rFonts w:hint="default" w:ascii="仿宋_GB2312" w:eastAsia="仿宋_GB2312"/>
          <w:color w:val="auto"/>
          <w:sz w:val="32"/>
          <w:szCs w:val="32"/>
          <w:lang w:val="en-US" w:eastAsia="zh-CN"/>
        </w:rPr>
      </w:pPr>
      <w:r>
        <w:rPr>
          <w:rFonts w:hint="eastAsia" w:ascii="仿宋_GB2312" w:eastAsia="仿宋_GB2312"/>
          <w:color w:val="auto"/>
          <w:sz w:val="32"/>
          <w:szCs w:val="32"/>
        </w:rPr>
        <w:t>（二）非甲烷总烃排放执行广东省《固定污染源挥发性有机物综合排放标准》（DB44/2367—2022）表3厂区内VOCs无组织排放限值；其他大气污染物排放执行《医疗机构水污染物排放标准》（GB18466-2005）表3与《恶臭污染物排放标准》（GB14554-93）表1的较严值。</w:t>
      </w:r>
    </w:p>
    <w:p w14:paraId="1C452005">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（三）边界噪声排放执行《社会生活环境噪声排放标准》（GB22337-2008）2类区限值，即：昼间≤60</w:t>
      </w:r>
      <w:r>
        <w:rPr>
          <w:rFonts w:hint="eastAsia" w:ascii="仿宋_GB2312" w:eastAsia="仿宋_GB2312"/>
          <w:color w:val="auto"/>
          <w:sz w:val="32"/>
          <w:szCs w:val="32"/>
          <w:lang w:val="en-US" w:eastAsia="zh-CN"/>
        </w:rPr>
        <w:t>dB（A）</w:t>
      </w:r>
      <w:r>
        <w:rPr>
          <w:rFonts w:hint="eastAsia" w:ascii="仿宋_GB2312" w:eastAsia="仿宋_GB2312"/>
          <w:color w:val="auto"/>
          <w:sz w:val="32"/>
          <w:szCs w:val="32"/>
        </w:rPr>
        <w:t>，夜间≤50</w:t>
      </w:r>
      <w:r>
        <w:rPr>
          <w:rFonts w:hint="eastAsia" w:ascii="仿宋_GB2312" w:eastAsia="仿宋_GB2312"/>
          <w:color w:val="auto"/>
          <w:sz w:val="32"/>
          <w:szCs w:val="32"/>
          <w:lang w:val="en-US" w:eastAsia="zh-CN"/>
        </w:rPr>
        <w:t>dB（A）</w:t>
      </w:r>
      <w:r>
        <w:rPr>
          <w:rFonts w:hint="eastAsia" w:ascii="仿宋_GB2312" w:eastAsia="仿宋_GB2312"/>
          <w:color w:val="auto"/>
          <w:sz w:val="32"/>
          <w:szCs w:val="32"/>
        </w:rPr>
        <w:t>。</w:t>
      </w:r>
    </w:p>
    <w:p w14:paraId="7EECF5E5">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三、该项目应当认真落实《报告表》提出的各项环境保护措施，重点做好以下工作：</w:t>
      </w:r>
    </w:p>
    <w:p w14:paraId="11192641">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eastAsia="仿宋_GB2312"/>
          <w:color w:val="auto"/>
          <w:sz w:val="32"/>
          <w:szCs w:val="32"/>
          <w:lang w:eastAsia="zh-CN"/>
        </w:rPr>
      </w:pPr>
      <w:r>
        <w:rPr>
          <w:rFonts w:hint="eastAsia" w:ascii="仿宋_GB2312" w:eastAsia="仿宋_GB2312"/>
          <w:color w:val="auto"/>
          <w:sz w:val="32"/>
          <w:szCs w:val="32"/>
        </w:rPr>
        <w:t>（一）排水系统采用雨污分流。经消毒处理设施</w:t>
      </w:r>
      <w:r>
        <w:rPr>
          <w:rFonts w:hint="eastAsia" w:ascii="仿宋_GB2312" w:eastAsia="仿宋_GB2312"/>
          <w:color w:val="auto"/>
          <w:sz w:val="32"/>
          <w:szCs w:val="32"/>
          <w:lang w:val="en-US" w:eastAsia="zh-CN"/>
        </w:rPr>
        <w:t>预</w:t>
      </w:r>
      <w:r>
        <w:rPr>
          <w:rFonts w:hint="eastAsia" w:ascii="仿宋_GB2312" w:eastAsia="仿宋_GB2312"/>
          <w:color w:val="auto"/>
          <w:sz w:val="32"/>
          <w:szCs w:val="32"/>
        </w:rPr>
        <w:t>处理</w:t>
      </w:r>
      <w:r>
        <w:rPr>
          <w:rFonts w:hint="eastAsia" w:ascii="仿宋_GB2312" w:eastAsia="仿宋_GB2312"/>
          <w:color w:val="auto"/>
          <w:sz w:val="32"/>
          <w:szCs w:val="32"/>
          <w:lang w:val="en-US" w:eastAsia="zh-CN"/>
        </w:rPr>
        <w:t>的</w:t>
      </w:r>
      <w:r>
        <w:rPr>
          <w:rFonts w:hint="eastAsia" w:ascii="仿宋_GB2312" w:eastAsia="仿宋_GB2312"/>
          <w:color w:val="auto"/>
          <w:sz w:val="32"/>
          <w:szCs w:val="32"/>
        </w:rPr>
        <w:t>医疗废水</w:t>
      </w:r>
      <w:r>
        <w:rPr>
          <w:rFonts w:hint="eastAsia" w:ascii="仿宋_GB2312" w:eastAsia="仿宋_GB2312"/>
          <w:color w:val="auto"/>
          <w:sz w:val="32"/>
          <w:szCs w:val="32"/>
          <w:lang w:val="en-US" w:eastAsia="zh-CN"/>
        </w:rPr>
        <w:t>与员工生活污水、宠物笼及排泄盒清洗废水一并经三级化粪池处理后排入市政集污管网</w:t>
      </w:r>
      <w:r>
        <w:rPr>
          <w:rFonts w:hint="eastAsia" w:ascii="仿宋_GB2312" w:eastAsia="仿宋_GB2312"/>
          <w:color w:val="auto"/>
          <w:sz w:val="32"/>
          <w:szCs w:val="32"/>
        </w:rPr>
        <w:t>，送</w:t>
      </w:r>
      <w:r>
        <w:rPr>
          <w:rFonts w:hint="eastAsia" w:ascii="仿宋_GB2312" w:eastAsia="仿宋_GB2312"/>
          <w:color w:val="auto"/>
          <w:sz w:val="32"/>
          <w:szCs w:val="32"/>
          <w:lang w:val="en-US" w:eastAsia="zh-CN"/>
        </w:rPr>
        <w:t>中部</w:t>
      </w:r>
      <w:r>
        <w:rPr>
          <w:rFonts w:hint="eastAsia" w:ascii="仿宋_GB2312" w:eastAsia="仿宋_GB2312"/>
          <w:color w:val="auto"/>
          <w:sz w:val="32"/>
          <w:szCs w:val="32"/>
        </w:rPr>
        <w:t>净水厂集中处理。项目设置废水排放口1个</w:t>
      </w:r>
      <w:r>
        <w:rPr>
          <w:rFonts w:hint="eastAsia" w:ascii="仿宋_GB2312" w:eastAsia="仿宋_GB2312"/>
          <w:color w:val="auto"/>
          <w:sz w:val="32"/>
          <w:szCs w:val="32"/>
          <w:lang w:eastAsia="zh-CN"/>
        </w:rPr>
        <w:t>。</w:t>
      </w:r>
    </w:p>
    <w:p w14:paraId="65A0A47E">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（二）</w:t>
      </w:r>
      <w:r>
        <w:rPr>
          <w:rFonts w:hint="eastAsia" w:ascii="仿宋_GB2312" w:eastAsia="仿宋_GB2312"/>
          <w:color w:val="auto"/>
          <w:sz w:val="32"/>
          <w:szCs w:val="32"/>
          <w:lang w:val="en-US" w:eastAsia="zh-CN"/>
        </w:rPr>
        <w:t>按照</w:t>
      </w:r>
      <w:r>
        <w:rPr>
          <w:rFonts w:hint="eastAsia" w:ascii="仿宋_GB2312" w:eastAsia="仿宋_GB2312"/>
          <w:color w:val="auto"/>
          <w:sz w:val="32"/>
          <w:szCs w:val="32"/>
          <w:lang w:eastAsia="zh-CN"/>
        </w:rPr>
        <w:t>广东省</w:t>
      </w:r>
      <w:r>
        <w:rPr>
          <w:rFonts w:hint="eastAsia" w:ascii="仿宋_GB2312" w:eastAsia="仿宋_GB2312"/>
          <w:color w:val="auto"/>
          <w:sz w:val="32"/>
          <w:szCs w:val="32"/>
        </w:rPr>
        <w:t>《固定污染源挥发性有机物综合排放标准》（DB44</w:t>
      </w:r>
      <w:r>
        <w:rPr>
          <w:rFonts w:hint="eastAsia" w:ascii="仿宋_GB2312" w:eastAsia="仿宋_GB2312"/>
          <w:color w:val="auto"/>
          <w:sz w:val="32"/>
          <w:szCs w:val="32"/>
          <w:lang w:val="en-US" w:eastAsia="zh-CN"/>
        </w:rPr>
        <w:t>/</w:t>
      </w:r>
      <w:r>
        <w:rPr>
          <w:rFonts w:hint="eastAsia" w:ascii="仿宋_GB2312" w:eastAsia="仿宋_GB2312"/>
          <w:color w:val="auto"/>
          <w:sz w:val="32"/>
          <w:szCs w:val="32"/>
        </w:rPr>
        <w:t>2367-2022）的无组织排放控制要求落实相关措施</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auto"/>
          <w:sz w:val="32"/>
          <w:szCs w:val="32"/>
          <w:lang w:val="en-US" w:eastAsia="zh-CN"/>
        </w:rPr>
        <w:t>各工作间</w:t>
      </w:r>
      <w:r>
        <w:rPr>
          <w:rFonts w:hint="eastAsia" w:ascii="仿宋_GB2312" w:eastAsia="仿宋_GB2312"/>
          <w:color w:val="auto"/>
          <w:sz w:val="32"/>
          <w:szCs w:val="32"/>
        </w:rPr>
        <w:t>设置紫外灯消毒，各产臭场所废气经光触媒消毒机处理后无组织排放。项目不设置废气排放口。</w:t>
      </w:r>
    </w:p>
    <w:p w14:paraId="148AB73A">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hAnsi="仿宋_GB2312" w:eastAsia="仿宋_GB2312" w:cs="仿宋_GB2312"/>
          <w:color w:val="auto"/>
          <w:sz w:val="32"/>
          <w:szCs w:val="32"/>
        </w:rPr>
        <w:t>加强</w:t>
      </w:r>
      <w:r>
        <w:rPr>
          <w:rFonts w:hint="eastAsia" w:ascii="仿宋_GB2312" w:hAnsi="仿宋_GB2312" w:eastAsia="仿宋_GB2312" w:cs="仿宋_GB2312"/>
          <w:color w:val="auto"/>
          <w:sz w:val="32"/>
          <w:szCs w:val="32"/>
          <w:lang w:val="en-US" w:eastAsia="zh-CN"/>
        </w:rPr>
        <w:t>项目</w:t>
      </w:r>
      <w:r>
        <w:rPr>
          <w:rFonts w:hint="eastAsia" w:ascii="仿宋_GB2312" w:eastAsia="仿宋_GB2312"/>
          <w:color w:val="auto"/>
          <w:sz w:val="32"/>
          <w:szCs w:val="32"/>
        </w:rPr>
        <w:t>边界</w:t>
      </w:r>
      <w:r>
        <w:rPr>
          <w:rFonts w:hint="eastAsia" w:ascii="仿宋_GB2312" w:hAnsi="仿宋_GB2312" w:eastAsia="仿宋_GB2312" w:cs="仿宋_GB2312"/>
          <w:color w:val="auto"/>
          <w:sz w:val="32"/>
          <w:szCs w:val="32"/>
        </w:rPr>
        <w:t>无组织</w:t>
      </w:r>
      <w:r>
        <w:rPr>
          <w:rFonts w:hint="eastAsia" w:ascii="仿宋_GB2312" w:hAnsi="仿宋_GB2312" w:eastAsia="仿宋_GB2312" w:cs="仿宋_GB2312"/>
          <w:color w:val="auto"/>
          <w:sz w:val="32"/>
          <w:szCs w:val="32"/>
          <w:lang w:eastAsia="zh-CN"/>
        </w:rPr>
        <w:t>排放</w:t>
      </w:r>
      <w:r>
        <w:rPr>
          <w:rFonts w:hint="eastAsia" w:ascii="仿宋_GB2312" w:hAnsi="仿宋_GB2312" w:eastAsia="仿宋_GB2312" w:cs="仿宋_GB2312"/>
          <w:color w:val="auto"/>
          <w:sz w:val="32"/>
          <w:szCs w:val="32"/>
        </w:rPr>
        <w:t>废气的监控，确保</w:t>
      </w:r>
      <w:r>
        <w:rPr>
          <w:rFonts w:hint="eastAsia" w:ascii="仿宋_GB2312" w:hAnsi="仿宋_GB2312" w:eastAsia="仿宋_GB2312" w:cs="仿宋_GB2312"/>
          <w:color w:val="auto"/>
          <w:sz w:val="32"/>
          <w:szCs w:val="32"/>
          <w:lang w:val="en-US" w:eastAsia="zh-CN"/>
        </w:rPr>
        <w:t>项目</w:t>
      </w:r>
      <w:r>
        <w:rPr>
          <w:rFonts w:hint="eastAsia" w:ascii="仿宋_GB2312" w:eastAsia="仿宋_GB2312"/>
          <w:color w:val="auto"/>
          <w:sz w:val="32"/>
          <w:szCs w:val="32"/>
        </w:rPr>
        <w:t>边界</w:t>
      </w:r>
      <w:r>
        <w:rPr>
          <w:rFonts w:hint="eastAsia" w:ascii="仿宋_GB2312" w:hAnsi="仿宋_GB2312" w:eastAsia="仿宋_GB2312" w:cs="仿宋_GB2312"/>
          <w:color w:val="auto"/>
          <w:sz w:val="32"/>
          <w:szCs w:val="32"/>
        </w:rPr>
        <w:t>无组织</w:t>
      </w:r>
      <w:r>
        <w:rPr>
          <w:rFonts w:hint="eastAsia" w:ascii="仿宋_GB2312" w:hAnsi="仿宋_GB2312" w:eastAsia="仿宋_GB2312" w:cs="仿宋_GB2312"/>
          <w:color w:val="auto"/>
          <w:sz w:val="32"/>
          <w:szCs w:val="32"/>
          <w:lang w:eastAsia="zh-CN"/>
        </w:rPr>
        <w:t>排放</w:t>
      </w:r>
      <w:r>
        <w:rPr>
          <w:rFonts w:hint="eastAsia" w:ascii="仿宋_GB2312" w:hAnsi="仿宋_GB2312" w:eastAsia="仿宋_GB2312" w:cs="仿宋_GB2312"/>
          <w:color w:val="auto"/>
          <w:sz w:val="32"/>
          <w:szCs w:val="32"/>
        </w:rPr>
        <w:t>监控点的废气达到相应标准限值的要求，监测超标时应</w:t>
      </w:r>
      <w:r>
        <w:rPr>
          <w:rFonts w:hint="eastAsia" w:ascii="仿宋_GB2312" w:hAnsi="仿宋_GB2312" w:eastAsia="仿宋_GB2312" w:cs="仿宋_GB2312"/>
          <w:color w:val="auto"/>
          <w:sz w:val="32"/>
          <w:szCs w:val="32"/>
          <w:lang w:eastAsia="zh-CN"/>
        </w:rPr>
        <w:t>加强</w:t>
      </w:r>
      <w:r>
        <w:rPr>
          <w:rFonts w:hint="eastAsia" w:ascii="仿宋_GB2312" w:hAnsi="仿宋_GB2312" w:eastAsia="仿宋_GB2312" w:cs="仿宋_GB2312"/>
          <w:color w:val="auto"/>
          <w:sz w:val="32"/>
          <w:szCs w:val="32"/>
        </w:rPr>
        <w:t>对无组织排放废气进行收集、净化处理。</w:t>
      </w:r>
    </w:p>
    <w:p w14:paraId="089C39E3">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（三）选用低噪声设备，合理</w:t>
      </w:r>
      <w:r>
        <w:rPr>
          <w:rFonts w:hint="eastAsia" w:ascii="仿宋_GB2312" w:eastAsia="仿宋_GB2312"/>
          <w:color w:val="auto"/>
          <w:sz w:val="32"/>
          <w:szCs w:val="32"/>
          <w:lang w:val="en-US" w:eastAsia="zh-CN"/>
        </w:rPr>
        <w:t>布局</w:t>
      </w:r>
      <w:r>
        <w:rPr>
          <w:rFonts w:hint="eastAsia" w:ascii="仿宋_GB2312" w:eastAsia="仿宋_GB2312"/>
          <w:color w:val="auto"/>
          <w:sz w:val="32"/>
          <w:szCs w:val="32"/>
        </w:rPr>
        <w:t>，对噪声源采取隔声、减振等措施，定期检修设备。</w:t>
      </w:r>
    </w:p>
    <w:p w14:paraId="0A6372C0">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eastAsia="仿宋_GB2312"/>
          <w:color w:val="auto"/>
          <w:sz w:val="32"/>
          <w:szCs w:val="32"/>
          <w:lang w:eastAsia="zh-CN"/>
        </w:rPr>
      </w:pPr>
      <w:r>
        <w:rPr>
          <w:rFonts w:hint="eastAsia" w:ascii="仿宋_GB2312" w:eastAsia="仿宋_GB2312"/>
          <w:color w:val="auto"/>
          <w:sz w:val="32"/>
          <w:szCs w:val="32"/>
        </w:rPr>
        <w:t>（四）医疗废物、废渣</w:t>
      </w:r>
      <w:r>
        <w:rPr>
          <w:rFonts w:hint="eastAsia" w:ascii="仿宋_GB2312" w:eastAsia="仿宋_GB2312"/>
          <w:color w:val="auto"/>
          <w:sz w:val="32"/>
          <w:szCs w:val="32"/>
          <w:lang w:eastAsia="zh-CN"/>
        </w:rPr>
        <w:t>、</w:t>
      </w:r>
      <w:r>
        <w:rPr>
          <w:rFonts w:hint="eastAsia" w:ascii="仿宋_GB2312" w:eastAsia="仿宋_GB2312"/>
          <w:color w:val="auto"/>
          <w:sz w:val="32"/>
          <w:szCs w:val="32"/>
        </w:rPr>
        <w:t>沾染危险化学品的包装废弃物、废紫外线灯管</w:t>
      </w:r>
      <w:r>
        <w:rPr>
          <w:rFonts w:hint="eastAsia" w:ascii="仿宋_GB2312" w:eastAsia="仿宋_GB2312"/>
          <w:color w:val="auto"/>
          <w:sz w:val="32"/>
          <w:szCs w:val="32"/>
          <w:lang w:val="en-US" w:eastAsia="zh-CN"/>
        </w:rPr>
        <w:t>等</w:t>
      </w:r>
      <w:r>
        <w:rPr>
          <w:rFonts w:hint="eastAsia" w:ascii="仿宋_GB2312" w:eastAsia="仿宋_GB2312"/>
          <w:color w:val="auto"/>
          <w:sz w:val="32"/>
          <w:szCs w:val="32"/>
        </w:rPr>
        <w:t>危险废物须设置符合《危险废物贮存污染控制标准》（GB18597-20</w:t>
      </w:r>
      <w:r>
        <w:rPr>
          <w:rFonts w:hint="eastAsia" w:ascii="仿宋_GB2312" w:eastAsia="仿宋_GB2312"/>
          <w:color w:val="auto"/>
          <w:sz w:val="32"/>
          <w:szCs w:val="32"/>
          <w:lang w:val="en-US" w:eastAsia="zh-CN"/>
        </w:rPr>
        <w:t>23</w:t>
      </w:r>
      <w:r>
        <w:rPr>
          <w:rFonts w:hint="eastAsia" w:ascii="仿宋_GB2312" w:eastAsia="仿宋_GB2312"/>
          <w:color w:val="auto"/>
          <w:sz w:val="32"/>
          <w:szCs w:val="32"/>
        </w:rPr>
        <w:t>）要求的专用贮存场所存放并委托具备危险废物处理资质的机构处理。</w:t>
      </w:r>
    </w:p>
    <w:p w14:paraId="73B05BF2">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四、该项目的性质、规模、地点、采用的</w:t>
      </w:r>
      <w:r>
        <w:rPr>
          <w:rFonts w:hint="eastAsia" w:ascii="仿宋_GB2312" w:eastAsia="仿宋_GB2312"/>
          <w:color w:val="auto"/>
          <w:sz w:val="32"/>
          <w:szCs w:val="32"/>
          <w:lang w:val="en-US" w:eastAsia="zh-CN"/>
        </w:rPr>
        <w:t>经营范围</w:t>
      </w:r>
      <w:r>
        <w:rPr>
          <w:rFonts w:hint="eastAsia" w:ascii="仿宋_GB2312" w:eastAsia="仿宋_GB2312"/>
          <w:color w:val="auto"/>
          <w:sz w:val="32"/>
          <w:szCs w:val="32"/>
        </w:rPr>
        <w:t>或者防治污染、防止生态破坏的措施发生重大变动的，你单位应当重新报批环境影响评价文件。</w:t>
      </w:r>
    </w:p>
    <w:p w14:paraId="68954A25">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五、自《报告表》批准之日起超过五年，方决定该项目开工建设的，《报告表》应当在开工建设前报我局重新审核。未经我局重新审核同意的，不得擅自开工建设。</w:t>
      </w:r>
    </w:p>
    <w:p w14:paraId="6FF04D60">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六、该项目建设应严格执行配套建设的环境保护设施与主体工程同时设计、同时施工、同时投产使用的环境保护“三同时”制度，具体要求如下：</w:t>
      </w:r>
    </w:p>
    <w:p w14:paraId="085CFB9D">
      <w:pPr>
        <w:keepNext w:val="0"/>
        <w:keepLines w:val="0"/>
        <w:pageBreakBefore w:val="0"/>
        <w:widowControl/>
        <w:tabs>
          <w:tab w:val="left" w:pos="1418"/>
        </w:tabs>
        <w:kinsoku/>
        <w:overflowPunct/>
        <w:topLinePunct w:val="0"/>
        <w:autoSpaceDE/>
        <w:autoSpaceDN/>
        <w:bidi w:val="0"/>
        <w:spacing w:line="560" w:lineRule="exact"/>
        <w:ind w:firstLine="640"/>
        <w:textAlignment w:val="auto"/>
        <w:rPr>
          <w:rFonts w:hint="eastAsia" w:ascii="仿宋_GB2312" w:eastAsia="仿宋_GB2312"/>
          <w:color w:val="auto"/>
          <w:sz w:val="32"/>
          <w:szCs w:val="32"/>
        </w:rPr>
      </w:pPr>
      <w:r>
        <w:rPr>
          <w:rFonts w:hint="eastAsia" w:ascii="仿宋_GB2312" w:eastAsia="仿宋_GB2312"/>
          <w:color w:val="auto"/>
          <w:sz w:val="32"/>
          <w:szCs w:val="32"/>
        </w:rPr>
        <w:t>（一）项目竣工后，你单位应按规定申请取得排污许可证或填报排污登记表，并按照规定的标准、程序和时限，对配套建设的环境保护设施进行验收，编制验收报告，依法向社会公开。</w:t>
      </w:r>
    </w:p>
    <w:p w14:paraId="49DAD142">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（二）项目配套建设的环境保护设施经验收合格后，方可投入生产或者使用。</w:t>
      </w:r>
    </w:p>
    <w:p w14:paraId="3564EFEA">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七、该项目建设和运行过程中如涉及规划、土地利用、建设、水务、消防、安全等问题，应遵照相关法律法规要求到相应的行政主管部门办理有关手续。</w:t>
      </w:r>
    </w:p>
    <w:p w14:paraId="0A04E271">
      <w:pPr>
        <w:pStyle w:val="19"/>
        <w:ind w:firstLine="636"/>
        <w:rPr>
          <w:rFonts w:hint="eastAsia" w:ascii="仿宋_GB2312" w:hAnsi="仿宋" w:eastAsia="仿宋_GB2312"/>
          <w:color w:val="auto"/>
          <w:sz w:val="32"/>
        </w:rPr>
      </w:pPr>
      <w:r>
        <w:rPr>
          <w:rFonts w:hint="eastAsia" w:ascii="仿宋_GB2312" w:eastAsia="仿宋_GB2312"/>
          <w:color w:val="auto"/>
          <w:sz w:val="32"/>
          <w:szCs w:val="32"/>
        </w:rPr>
        <w:t>八、</w:t>
      </w:r>
      <w:r>
        <w:rPr>
          <w:rFonts w:hint="eastAsia" w:ascii="仿宋_GB2312" w:hAnsi="仿宋" w:eastAsia="仿宋_GB2312"/>
          <w:color w:val="auto"/>
          <w:sz w:val="32"/>
        </w:rPr>
        <w:t>当事人如不服本决定，可在收到文书之日起60日内向广州市人民政府行政复议机构广州市政府行政复议办公室窗口（地址：广州市越秀区小北路183号金和大厦2楼，电话：020-83555988）提出行政复议申请；或者在收到文书之日起6个月内直接向广州铁路运输法院提起行政诉讼。申请行政复议或提起行政诉讼的，不停止本决定的执行。</w:t>
      </w:r>
    </w:p>
    <w:p w14:paraId="5EC6F0D0">
      <w:pPr>
        <w:pStyle w:val="19"/>
        <w:ind w:firstLine="636"/>
        <w:rPr>
          <w:rFonts w:hint="eastAsia" w:ascii="仿宋_GB2312" w:hAnsi="仿宋" w:eastAsia="仿宋_GB2312"/>
          <w:color w:val="auto"/>
          <w:sz w:val="32"/>
        </w:rPr>
      </w:pPr>
    </w:p>
    <w:p w14:paraId="2799DFF0">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p>
    <w:p w14:paraId="60D15471">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7E90A0C7">
      <w:pPr>
        <w:keepNext w:val="0"/>
        <w:keepLines w:val="0"/>
        <w:pageBreakBefore w:val="0"/>
        <w:kinsoku/>
        <w:overflowPunct/>
        <w:topLinePunct w:val="0"/>
        <w:autoSpaceDE/>
        <w:autoSpaceDN/>
        <w:bidi w:val="0"/>
        <w:spacing w:line="560" w:lineRule="exact"/>
        <w:jc w:val="center"/>
        <w:textAlignment w:val="auto"/>
        <w:rPr>
          <w:rFonts w:ascii="仿宋_GB2312" w:eastAsia="仿宋_GB2312"/>
          <w:color w:val="auto"/>
          <w:sz w:val="32"/>
          <w:szCs w:val="32"/>
        </w:rPr>
      </w:pPr>
      <w:r>
        <w:rPr>
          <w:rFonts w:hint="eastAsia" w:ascii="仿宋_GB2312" w:eastAsia="仿宋_GB2312"/>
          <w:color w:val="auto"/>
          <w:sz w:val="32"/>
          <w:szCs w:val="32"/>
          <w:lang w:val="en-US" w:eastAsia="zh-CN"/>
        </w:rPr>
        <w:t xml:space="preserve">                       </w:t>
      </w:r>
      <w:r>
        <w:rPr>
          <w:rFonts w:hint="eastAsia" w:ascii="仿宋_GB2312" w:eastAsia="仿宋_GB2312"/>
          <w:color w:val="auto"/>
          <w:sz w:val="32"/>
          <w:szCs w:val="32"/>
        </w:rPr>
        <w:t>广州市生态环境局</w:t>
      </w:r>
    </w:p>
    <w:p w14:paraId="4B5413A7">
      <w:pPr>
        <w:keepNext w:val="0"/>
        <w:keepLines w:val="0"/>
        <w:pageBreakBefore w:val="0"/>
        <w:kinsoku/>
        <w:overflowPunct/>
        <w:topLinePunct w:val="0"/>
        <w:autoSpaceDE/>
        <w:autoSpaceDN/>
        <w:bidi w:val="0"/>
        <w:spacing w:line="560" w:lineRule="exact"/>
        <w:ind w:right="4" w:rightChars="0" w:firstLine="5120" w:firstLineChars="1600"/>
        <w:textAlignment w:val="auto"/>
        <w:rPr>
          <w:rFonts w:ascii="仿宋_GB2312" w:eastAsia="仿宋_GB2312"/>
          <w:color w:val="auto"/>
          <w:sz w:val="32"/>
          <w:szCs w:val="32"/>
        </w:rPr>
      </w:pPr>
      <w:r>
        <w:rPr>
          <w:rFonts w:hint="eastAsia" w:ascii="仿宋_GB2312" w:eastAsia="仿宋_GB2312"/>
          <w:color w:val="auto"/>
          <w:sz w:val="32"/>
          <w:szCs w:val="32"/>
        </w:rPr>
        <w:t>20</w:t>
      </w:r>
      <w:r>
        <w:rPr>
          <w:rFonts w:hint="eastAsia" w:ascii="仿宋_GB2312" w:eastAsia="仿宋_GB2312"/>
          <w:color w:val="auto"/>
          <w:sz w:val="32"/>
          <w:szCs w:val="32"/>
          <w:lang w:val="en-US" w:eastAsia="zh-CN"/>
        </w:rPr>
        <w:t>25</w:t>
      </w:r>
      <w:r>
        <w:rPr>
          <w:rFonts w:hint="eastAsia" w:ascii="仿宋_GB2312" w:eastAsia="仿宋_GB2312"/>
          <w:color w:val="auto"/>
          <w:sz w:val="32"/>
          <w:szCs w:val="32"/>
        </w:rPr>
        <w:t>年</w:t>
      </w:r>
      <w:r>
        <w:rPr>
          <w:rFonts w:hint="eastAsia" w:ascii="仿宋_GB2312" w:eastAsia="仿宋_GB2312"/>
          <w:color w:val="auto"/>
          <w:sz w:val="32"/>
          <w:szCs w:val="32"/>
          <w:lang w:val="en-US" w:eastAsia="zh-CN"/>
        </w:rPr>
        <w:t>8</w:t>
      </w:r>
      <w:r>
        <w:rPr>
          <w:rFonts w:hint="eastAsia" w:ascii="仿宋_GB2312" w:eastAsia="仿宋_GB2312"/>
          <w:color w:val="auto"/>
          <w:sz w:val="32"/>
          <w:szCs w:val="32"/>
        </w:rPr>
        <w:t>月</w:t>
      </w:r>
      <w:r>
        <w:rPr>
          <w:rFonts w:hint="eastAsia" w:ascii="仿宋_GB2312" w:eastAsia="仿宋_GB2312"/>
          <w:color w:val="auto"/>
          <w:sz w:val="32"/>
          <w:szCs w:val="32"/>
          <w:lang w:val="en-US" w:eastAsia="zh-CN"/>
        </w:rPr>
        <w:t>20</w:t>
      </w:r>
      <w:r>
        <w:rPr>
          <w:rFonts w:hint="eastAsia" w:ascii="仿宋_GB2312" w:eastAsia="仿宋_GB2312"/>
          <w:color w:val="auto"/>
          <w:sz w:val="32"/>
          <w:szCs w:val="32"/>
        </w:rPr>
        <w:t>日</w:t>
      </w:r>
    </w:p>
    <w:p w14:paraId="326EB5F5">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0CCA8466">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r>
        <w:rPr>
          <w:rFonts w:hint="eastAsia" w:ascii="黑体" w:eastAsia="黑体"/>
          <w:color w:val="auto"/>
          <w:sz w:val="32"/>
          <w:szCs w:val="32"/>
        </w:rPr>
        <w:t>公开方式：</w:t>
      </w:r>
      <w:r>
        <w:rPr>
          <w:rFonts w:hint="eastAsia" w:ascii="仿宋_GB2312" w:eastAsia="仿宋_GB2312"/>
          <w:color w:val="auto"/>
          <w:sz w:val="32"/>
          <w:szCs w:val="32"/>
        </w:rPr>
        <w:t>主动公开</w:t>
      </w:r>
    </w:p>
    <w:p w14:paraId="22184C5B">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6452DAE3">
      <w:pPr>
        <w:keepNext w:val="0"/>
        <w:keepLines w:val="0"/>
        <w:pageBreakBefore w:val="0"/>
        <w:kinsoku/>
        <w:overflowPunct/>
        <w:topLinePunct w:val="0"/>
        <w:autoSpaceDE/>
        <w:autoSpaceDN/>
        <w:bidi w:val="0"/>
        <w:spacing w:line="560" w:lineRule="exact"/>
        <w:ind w:left="1133" w:leftChars="201" w:hanging="711" w:hangingChars="254"/>
        <w:textAlignment w:val="auto"/>
        <w:rPr>
          <w:rFonts w:ascii="仿宋_GB2312" w:eastAsia="仿宋_GB2312"/>
          <w:color w:val="auto"/>
          <w:sz w:val="28"/>
          <w:szCs w:val="28"/>
        </w:rPr>
      </w:pPr>
      <w:r>
        <w:rPr>
          <w:rFonts w:hint="eastAsia" w:ascii="仿宋_GB2312" w:eastAsia="仿宋_GB2312"/>
          <w:color w:val="auto"/>
          <w:sz w:val="28"/>
          <w:szCs w:val="28"/>
        </w:rPr>
        <w:t>抄送：广州市生态环境局番禺分局执法</w:t>
      </w:r>
      <w:r>
        <w:rPr>
          <w:rFonts w:hint="eastAsia" w:ascii="仿宋_GB2312" w:eastAsia="仿宋_GB2312"/>
          <w:color w:val="auto"/>
          <w:sz w:val="32"/>
          <w:szCs w:val="32"/>
          <w:lang w:val="en-US" w:eastAsia="zh-CN"/>
        </w:rPr>
        <w:t>一</w:t>
      </w:r>
      <w:r>
        <w:rPr>
          <w:rFonts w:hint="eastAsia" w:ascii="仿宋_GB2312" w:eastAsia="仿宋_GB2312"/>
          <w:color w:val="auto"/>
          <w:sz w:val="28"/>
          <w:szCs w:val="28"/>
        </w:rPr>
        <w:t>科、</w:t>
      </w:r>
      <w:r>
        <w:rPr>
          <w:rFonts w:hint="eastAsia" w:ascii="仿宋_GB2312" w:eastAsia="仿宋_GB2312"/>
          <w:color w:val="auto"/>
          <w:sz w:val="28"/>
          <w:szCs w:val="28"/>
          <w:lang w:eastAsia="zh-CN"/>
        </w:rPr>
        <w:t>番禺</w:t>
      </w:r>
      <w:r>
        <w:rPr>
          <w:rFonts w:hint="eastAsia" w:ascii="仿宋_GB2312" w:eastAsia="仿宋_GB2312"/>
          <w:color w:val="auto"/>
          <w:sz w:val="28"/>
          <w:szCs w:val="28"/>
        </w:rPr>
        <w:t>第</w:t>
      </w:r>
      <w:r>
        <w:rPr>
          <w:rFonts w:hint="eastAsia" w:ascii="仿宋_GB2312" w:eastAsia="仿宋_GB2312"/>
          <w:color w:val="auto"/>
          <w:sz w:val="32"/>
          <w:szCs w:val="32"/>
          <w:lang w:val="en-US" w:eastAsia="zh-CN"/>
        </w:rPr>
        <w:t>一</w:t>
      </w:r>
      <w:r>
        <w:rPr>
          <w:rFonts w:hint="eastAsia" w:ascii="仿宋_GB2312" w:eastAsia="仿宋_GB2312"/>
          <w:color w:val="auto"/>
          <w:sz w:val="28"/>
          <w:szCs w:val="28"/>
        </w:rPr>
        <w:t>环保所，广东震宇节能环保技术有限公司</w:t>
      </w:r>
    </w:p>
    <w:sectPr>
      <w:footerReference r:id="rId3" w:type="default"/>
      <w:footerReference r:id="rId4" w:type="even"/>
      <w:pgSz w:w="11906" w:h="16838"/>
      <w:pgMar w:top="1588" w:right="1474" w:bottom="1134" w:left="1588" w:header="851" w:footer="624" w:gutter="0"/>
      <w:cols w:space="425" w:num="1"/>
      <w:titlePg/>
      <w:docGrid w:type="lines" w:linePitch="613" w:charSpace="2167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公文小标宋简">
    <w:altName w:val="微软雅黑"/>
    <w:panose1 w:val="02010609010101010101"/>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882500">
    <w:pPr>
      <w:pStyle w:val="5"/>
      <w:framePr w:wrap="around" w:vAnchor="text" w:hAnchor="margin" w:xAlign="outside" w:y="1"/>
      <w:rPr>
        <w:rStyle w:val="10"/>
        <w:rFonts w:ascii="宋体" w:hAnsi="宋体"/>
        <w:sz w:val="28"/>
        <w:szCs w:val="28"/>
      </w:rPr>
    </w:pPr>
    <w:r>
      <w:rPr>
        <w:rStyle w:val="10"/>
        <w:rFonts w:hint="eastAsia" w:ascii="宋体" w:hAnsi="宋体"/>
        <w:sz w:val="28"/>
        <w:szCs w:val="28"/>
      </w:rPr>
      <w:t>—</w:t>
    </w:r>
    <w:r>
      <w:rPr>
        <w:rStyle w:val="10"/>
        <w:rFonts w:ascii="宋体" w:hAnsi="宋体"/>
        <w:sz w:val="28"/>
        <w:szCs w:val="28"/>
      </w:rPr>
      <w:fldChar w:fldCharType="begin"/>
    </w:r>
    <w:r>
      <w:rPr>
        <w:rStyle w:val="10"/>
        <w:rFonts w:ascii="宋体" w:hAnsi="宋体"/>
        <w:sz w:val="28"/>
        <w:szCs w:val="28"/>
      </w:rPr>
      <w:instrText xml:space="preserve">PAGE  </w:instrText>
    </w:r>
    <w:r>
      <w:rPr>
        <w:rStyle w:val="10"/>
        <w:rFonts w:ascii="宋体" w:hAnsi="宋体"/>
        <w:sz w:val="28"/>
        <w:szCs w:val="28"/>
      </w:rPr>
      <w:fldChar w:fldCharType="separate"/>
    </w:r>
    <w:r>
      <w:rPr>
        <w:rStyle w:val="10"/>
        <w:rFonts w:ascii="宋体" w:hAnsi="宋体"/>
        <w:sz w:val="28"/>
        <w:szCs w:val="28"/>
      </w:rPr>
      <w:t>3</w:t>
    </w:r>
    <w:r>
      <w:rPr>
        <w:rStyle w:val="10"/>
        <w:rFonts w:ascii="宋体" w:hAnsi="宋体"/>
        <w:sz w:val="28"/>
        <w:szCs w:val="28"/>
      </w:rPr>
      <w:fldChar w:fldCharType="end"/>
    </w:r>
    <w:r>
      <w:rPr>
        <w:rStyle w:val="10"/>
        <w:rFonts w:hint="eastAsia" w:ascii="宋体" w:hAnsi="宋体"/>
        <w:sz w:val="28"/>
        <w:szCs w:val="28"/>
      </w:rPr>
      <w:t>—</w:t>
    </w:r>
  </w:p>
  <w:p w14:paraId="2C3B46C2">
    <w:pPr>
      <w:pStyle w:val="5"/>
      <w:ind w:right="360" w:firstLine="360"/>
      <w:jc w:val="center"/>
      <w:rPr>
        <w:rFonts w:ascii="Times New Roman" w:hAnsi="Times New Roman"/>
        <w:sz w:val="28"/>
        <w:szCs w:val="28"/>
      </w:rPr>
    </w:pPr>
  </w:p>
  <w:p w14:paraId="1F0202FA">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3CDDBE">
    <w:pPr>
      <w:pStyle w:val="5"/>
      <w:framePr w:wrap="around" w:vAnchor="text" w:hAnchor="margin" w:xAlign="outside" w:y="1"/>
      <w:rPr>
        <w:rStyle w:val="10"/>
      </w:rPr>
    </w:pPr>
    <w:r>
      <w:rPr>
        <w:rStyle w:val="10"/>
      </w:rPr>
      <w:fldChar w:fldCharType="begin"/>
    </w:r>
    <w:r>
      <w:rPr>
        <w:rStyle w:val="10"/>
      </w:rPr>
      <w:instrText xml:space="preserve">PAGE  </w:instrText>
    </w:r>
    <w:r>
      <w:rPr>
        <w:rStyle w:val="10"/>
      </w:rPr>
      <w:fldChar w:fldCharType="end"/>
    </w:r>
  </w:p>
  <w:p w14:paraId="75A86EC9">
    <w:pPr>
      <w:pStyle w:val="5"/>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attachedTemplate r:id="rId1"/>
  <w:documentProtection w:enforcement="0"/>
  <w:defaultTabStop w:val="420"/>
  <w:drawingGridHorizontalSpacing w:val="158"/>
  <w:drawingGridVerticalSpacing w:val="61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2ZGFmMGVmYWFiODk5YTFiNTc2ZWNlODI1MTcyOTMifQ=="/>
  </w:docVars>
  <w:rsids>
    <w:rsidRoot w:val="000F2DCB"/>
    <w:rsid w:val="00001C85"/>
    <w:rsid w:val="00003EFB"/>
    <w:rsid w:val="00047670"/>
    <w:rsid w:val="00067C13"/>
    <w:rsid w:val="00082A5C"/>
    <w:rsid w:val="000832FD"/>
    <w:rsid w:val="000852F9"/>
    <w:rsid w:val="00090CE7"/>
    <w:rsid w:val="00097289"/>
    <w:rsid w:val="000A03AB"/>
    <w:rsid w:val="000B070F"/>
    <w:rsid w:val="000C18A8"/>
    <w:rsid w:val="000C301C"/>
    <w:rsid w:val="000C3889"/>
    <w:rsid w:val="000C3ADC"/>
    <w:rsid w:val="000C3CB8"/>
    <w:rsid w:val="000D6A43"/>
    <w:rsid w:val="000F2DCB"/>
    <w:rsid w:val="00104C9C"/>
    <w:rsid w:val="0012593F"/>
    <w:rsid w:val="00145974"/>
    <w:rsid w:val="00163612"/>
    <w:rsid w:val="00173803"/>
    <w:rsid w:val="00185235"/>
    <w:rsid w:val="001C347F"/>
    <w:rsid w:val="001E17DB"/>
    <w:rsid w:val="001F12B9"/>
    <w:rsid w:val="001F60AA"/>
    <w:rsid w:val="001F7ECF"/>
    <w:rsid w:val="00207F01"/>
    <w:rsid w:val="00212861"/>
    <w:rsid w:val="00212DD9"/>
    <w:rsid w:val="00214473"/>
    <w:rsid w:val="00225893"/>
    <w:rsid w:val="002513F3"/>
    <w:rsid w:val="0027017E"/>
    <w:rsid w:val="0027079B"/>
    <w:rsid w:val="00283EC7"/>
    <w:rsid w:val="002840F5"/>
    <w:rsid w:val="00290A95"/>
    <w:rsid w:val="002915FD"/>
    <w:rsid w:val="002A78A2"/>
    <w:rsid w:val="002B3756"/>
    <w:rsid w:val="002C0C0E"/>
    <w:rsid w:val="002C13BB"/>
    <w:rsid w:val="002D01F1"/>
    <w:rsid w:val="002D6E72"/>
    <w:rsid w:val="002D73CB"/>
    <w:rsid w:val="002F222A"/>
    <w:rsid w:val="003016C4"/>
    <w:rsid w:val="00310275"/>
    <w:rsid w:val="00323D70"/>
    <w:rsid w:val="003275AA"/>
    <w:rsid w:val="00334F3A"/>
    <w:rsid w:val="0035299E"/>
    <w:rsid w:val="003551D8"/>
    <w:rsid w:val="003804CF"/>
    <w:rsid w:val="00396136"/>
    <w:rsid w:val="003A396F"/>
    <w:rsid w:val="003D6927"/>
    <w:rsid w:val="003E6957"/>
    <w:rsid w:val="003F0936"/>
    <w:rsid w:val="003F0E80"/>
    <w:rsid w:val="003F1D2D"/>
    <w:rsid w:val="0042675C"/>
    <w:rsid w:val="004366AD"/>
    <w:rsid w:val="00436E68"/>
    <w:rsid w:val="004422C8"/>
    <w:rsid w:val="00446DB5"/>
    <w:rsid w:val="00464587"/>
    <w:rsid w:val="00466E9D"/>
    <w:rsid w:val="0047490D"/>
    <w:rsid w:val="004A38CF"/>
    <w:rsid w:val="004A62BA"/>
    <w:rsid w:val="004B3994"/>
    <w:rsid w:val="004B3A73"/>
    <w:rsid w:val="004C5EFD"/>
    <w:rsid w:val="004C6230"/>
    <w:rsid w:val="004D0859"/>
    <w:rsid w:val="004D4458"/>
    <w:rsid w:val="004D586D"/>
    <w:rsid w:val="004E13C9"/>
    <w:rsid w:val="004E567A"/>
    <w:rsid w:val="00501F40"/>
    <w:rsid w:val="00511456"/>
    <w:rsid w:val="00521A96"/>
    <w:rsid w:val="00527C59"/>
    <w:rsid w:val="0053095F"/>
    <w:rsid w:val="0053590B"/>
    <w:rsid w:val="00562DAC"/>
    <w:rsid w:val="00564EB8"/>
    <w:rsid w:val="0059052A"/>
    <w:rsid w:val="005A149B"/>
    <w:rsid w:val="005B12AD"/>
    <w:rsid w:val="005B60C8"/>
    <w:rsid w:val="005B6D04"/>
    <w:rsid w:val="005C24D6"/>
    <w:rsid w:val="005C69AB"/>
    <w:rsid w:val="005D060E"/>
    <w:rsid w:val="005E3B4A"/>
    <w:rsid w:val="005E49C1"/>
    <w:rsid w:val="005F76D5"/>
    <w:rsid w:val="0062245C"/>
    <w:rsid w:val="00635EAB"/>
    <w:rsid w:val="00640DE7"/>
    <w:rsid w:val="00641192"/>
    <w:rsid w:val="006576FA"/>
    <w:rsid w:val="00677228"/>
    <w:rsid w:val="00693BD5"/>
    <w:rsid w:val="006A28F5"/>
    <w:rsid w:val="006A6965"/>
    <w:rsid w:val="006B2BAD"/>
    <w:rsid w:val="006D0170"/>
    <w:rsid w:val="006D7C57"/>
    <w:rsid w:val="006E5889"/>
    <w:rsid w:val="006F049D"/>
    <w:rsid w:val="006F15BA"/>
    <w:rsid w:val="006F18AD"/>
    <w:rsid w:val="006F29B5"/>
    <w:rsid w:val="00707832"/>
    <w:rsid w:val="007158E4"/>
    <w:rsid w:val="00716C4E"/>
    <w:rsid w:val="00730C65"/>
    <w:rsid w:val="00740ADC"/>
    <w:rsid w:val="007443DC"/>
    <w:rsid w:val="00750DBF"/>
    <w:rsid w:val="00753DD4"/>
    <w:rsid w:val="00753DDF"/>
    <w:rsid w:val="0077498B"/>
    <w:rsid w:val="007847A3"/>
    <w:rsid w:val="00786866"/>
    <w:rsid w:val="007B29D0"/>
    <w:rsid w:val="007B438D"/>
    <w:rsid w:val="007B5088"/>
    <w:rsid w:val="007C55F7"/>
    <w:rsid w:val="007C5CB3"/>
    <w:rsid w:val="00802F15"/>
    <w:rsid w:val="008170AC"/>
    <w:rsid w:val="008372CA"/>
    <w:rsid w:val="00860EEE"/>
    <w:rsid w:val="00884916"/>
    <w:rsid w:val="008865F4"/>
    <w:rsid w:val="0089220A"/>
    <w:rsid w:val="0089687C"/>
    <w:rsid w:val="008B3E8D"/>
    <w:rsid w:val="008C31B7"/>
    <w:rsid w:val="008D16D3"/>
    <w:rsid w:val="008D701C"/>
    <w:rsid w:val="008E07FB"/>
    <w:rsid w:val="008F580D"/>
    <w:rsid w:val="00902C55"/>
    <w:rsid w:val="00932FC7"/>
    <w:rsid w:val="0093611D"/>
    <w:rsid w:val="009473C5"/>
    <w:rsid w:val="009544A8"/>
    <w:rsid w:val="0096566C"/>
    <w:rsid w:val="00970837"/>
    <w:rsid w:val="00972A29"/>
    <w:rsid w:val="00974E8C"/>
    <w:rsid w:val="009A3DB2"/>
    <w:rsid w:val="009B21A4"/>
    <w:rsid w:val="009C5976"/>
    <w:rsid w:val="009C5EB5"/>
    <w:rsid w:val="009C790D"/>
    <w:rsid w:val="009D272F"/>
    <w:rsid w:val="009D34AC"/>
    <w:rsid w:val="009E0D72"/>
    <w:rsid w:val="009E1AD4"/>
    <w:rsid w:val="00A262B0"/>
    <w:rsid w:val="00A36142"/>
    <w:rsid w:val="00A40AFA"/>
    <w:rsid w:val="00A56A9B"/>
    <w:rsid w:val="00AC34E1"/>
    <w:rsid w:val="00AC648A"/>
    <w:rsid w:val="00AC7BAA"/>
    <w:rsid w:val="00AD33EF"/>
    <w:rsid w:val="00AE0762"/>
    <w:rsid w:val="00AE5E03"/>
    <w:rsid w:val="00AF7F2C"/>
    <w:rsid w:val="00AF7F99"/>
    <w:rsid w:val="00B10676"/>
    <w:rsid w:val="00B15884"/>
    <w:rsid w:val="00B30042"/>
    <w:rsid w:val="00B31FB2"/>
    <w:rsid w:val="00B42B25"/>
    <w:rsid w:val="00B45736"/>
    <w:rsid w:val="00B5742B"/>
    <w:rsid w:val="00B71F4F"/>
    <w:rsid w:val="00B805AF"/>
    <w:rsid w:val="00B837BD"/>
    <w:rsid w:val="00B95160"/>
    <w:rsid w:val="00B95EC7"/>
    <w:rsid w:val="00BA78FA"/>
    <w:rsid w:val="00BB16F4"/>
    <w:rsid w:val="00BB1A3F"/>
    <w:rsid w:val="00BB1C8A"/>
    <w:rsid w:val="00BB73EF"/>
    <w:rsid w:val="00BD014D"/>
    <w:rsid w:val="00C013B9"/>
    <w:rsid w:val="00C046AB"/>
    <w:rsid w:val="00C12A22"/>
    <w:rsid w:val="00C1575A"/>
    <w:rsid w:val="00C2000C"/>
    <w:rsid w:val="00C25D4D"/>
    <w:rsid w:val="00C331EC"/>
    <w:rsid w:val="00C35028"/>
    <w:rsid w:val="00C41EC5"/>
    <w:rsid w:val="00C45C92"/>
    <w:rsid w:val="00C47559"/>
    <w:rsid w:val="00C50129"/>
    <w:rsid w:val="00C577CF"/>
    <w:rsid w:val="00C61143"/>
    <w:rsid w:val="00C61368"/>
    <w:rsid w:val="00C76BD4"/>
    <w:rsid w:val="00C850D2"/>
    <w:rsid w:val="00CC469B"/>
    <w:rsid w:val="00CC70BC"/>
    <w:rsid w:val="00CD225F"/>
    <w:rsid w:val="00CD3097"/>
    <w:rsid w:val="00CD5ECF"/>
    <w:rsid w:val="00CF1B16"/>
    <w:rsid w:val="00D01DA0"/>
    <w:rsid w:val="00D02618"/>
    <w:rsid w:val="00D0455B"/>
    <w:rsid w:val="00D205FC"/>
    <w:rsid w:val="00D37BB0"/>
    <w:rsid w:val="00D44326"/>
    <w:rsid w:val="00D55BFA"/>
    <w:rsid w:val="00D70C73"/>
    <w:rsid w:val="00D74A06"/>
    <w:rsid w:val="00D75AAE"/>
    <w:rsid w:val="00D76AC3"/>
    <w:rsid w:val="00D8050D"/>
    <w:rsid w:val="00D87223"/>
    <w:rsid w:val="00DA096B"/>
    <w:rsid w:val="00DB438D"/>
    <w:rsid w:val="00DD3F0C"/>
    <w:rsid w:val="00DF26FF"/>
    <w:rsid w:val="00DF7771"/>
    <w:rsid w:val="00E06F40"/>
    <w:rsid w:val="00E16205"/>
    <w:rsid w:val="00E23AD5"/>
    <w:rsid w:val="00E44B98"/>
    <w:rsid w:val="00E52C18"/>
    <w:rsid w:val="00E9508B"/>
    <w:rsid w:val="00E95F22"/>
    <w:rsid w:val="00EA1AB8"/>
    <w:rsid w:val="00EB0FC1"/>
    <w:rsid w:val="00EC4EBA"/>
    <w:rsid w:val="00ED3E23"/>
    <w:rsid w:val="00ED426B"/>
    <w:rsid w:val="00ED656B"/>
    <w:rsid w:val="00EE0C36"/>
    <w:rsid w:val="00EE5C65"/>
    <w:rsid w:val="00EE5F9D"/>
    <w:rsid w:val="00F02188"/>
    <w:rsid w:val="00F02F63"/>
    <w:rsid w:val="00F05A97"/>
    <w:rsid w:val="00F1261C"/>
    <w:rsid w:val="00F27B34"/>
    <w:rsid w:val="00F8191D"/>
    <w:rsid w:val="00FA4830"/>
    <w:rsid w:val="00FB1867"/>
    <w:rsid w:val="00FB5B94"/>
    <w:rsid w:val="00FC49F0"/>
    <w:rsid w:val="00FD7864"/>
    <w:rsid w:val="00FF05C9"/>
    <w:rsid w:val="00FF121F"/>
    <w:rsid w:val="020C3600"/>
    <w:rsid w:val="029548BE"/>
    <w:rsid w:val="0316501C"/>
    <w:rsid w:val="035F3318"/>
    <w:rsid w:val="039E0DF7"/>
    <w:rsid w:val="04F0022B"/>
    <w:rsid w:val="05BF1B7D"/>
    <w:rsid w:val="068948CB"/>
    <w:rsid w:val="083C20B8"/>
    <w:rsid w:val="091574A4"/>
    <w:rsid w:val="0AB6351E"/>
    <w:rsid w:val="0AEE277F"/>
    <w:rsid w:val="0B1F3303"/>
    <w:rsid w:val="0C7516B2"/>
    <w:rsid w:val="0C807692"/>
    <w:rsid w:val="0DE36B99"/>
    <w:rsid w:val="0E0B63D0"/>
    <w:rsid w:val="0E3B3C64"/>
    <w:rsid w:val="0F0A6D3C"/>
    <w:rsid w:val="0F611949"/>
    <w:rsid w:val="0FD72C0C"/>
    <w:rsid w:val="103E38B5"/>
    <w:rsid w:val="10BF38FB"/>
    <w:rsid w:val="10E93D4E"/>
    <w:rsid w:val="11B62D57"/>
    <w:rsid w:val="12737E91"/>
    <w:rsid w:val="12DA5DA1"/>
    <w:rsid w:val="12E3158A"/>
    <w:rsid w:val="1549557C"/>
    <w:rsid w:val="157D650A"/>
    <w:rsid w:val="15A25C0B"/>
    <w:rsid w:val="16A128C5"/>
    <w:rsid w:val="184B5B81"/>
    <w:rsid w:val="19AF0CB4"/>
    <w:rsid w:val="19F023A6"/>
    <w:rsid w:val="1BC528C4"/>
    <w:rsid w:val="1C1945A6"/>
    <w:rsid w:val="1C4510E1"/>
    <w:rsid w:val="1D4266B3"/>
    <w:rsid w:val="1D756A60"/>
    <w:rsid w:val="1E537B54"/>
    <w:rsid w:val="1F3F7351"/>
    <w:rsid w:val="1F4D7EC7"/>
    <w:rsid w:val="20CF4E76"/>
    <w:rsid w:val="21BD5166"/>
    <w:rsid w:val="221365B8"/>
    <w:rsid w:val="226A3577"/>
    <w:rsid w:val="22DA593E"/>
    <w:rsid w:val="23241352"/>
    <w:rsid w:val="246C2851"/>
    <w:rsid w:val="24E06F8D"/>
    <w:rsid w:val="2537321F"/>
    <w:rsid w:val="26850942"/>
    <w:rsid w:val="26B164C1"/>
    <w:rsid w:val="27987506"/>
    <w:rsid w:val="288E5F3F"/>
    <w:rsid w:val="28AE5DA0"/>
    <w:rsid w:val="2A175959"/>
    <w:rsid w:val="2B6910C5"/>
    <w:rsid w:val="2D4B705C"/>
    <w:rsid w:val="2D6A3A3F"/>
    <w:rsid w:val="2DCC08AF"/>
    <w:rsid w:val="2DFD4901"/>
    <w:rsid w:val="2E182F2D"/>
    <w:rsid w:val="2E9B7C83"/>
    <w:rsid w:val="2ECA65D4"/>
    <w:rsid w:val="2EE338FA"/>
    <w:rsid w:val="30357A24"/>
    <w:rsid w:val="307C5365"/>
    <w:rsid w:val="30A22B85"/>
    <w:rsid w:val="34034262"/>
    <w:rsid w:val="34A100EE"/>
    <w:rsid w:val="35650626"/>
    <w:rsid w:val="35D37D9D"/>
    <w:rsid w:val="36C83AF0"/>
    <w:rsid w:val="36DC47B5"/>
    <w:rsid w:val="37977641"/>
    <w:rsid w:val="385C6105"/>
    <w:rsid w:val="38EB77CC"/>
    <w:rsid w:val="3A1D0EF5"/>
    <w:rsid w:val="3AA44A54"/>
    <w:rsid w:val="3AE822E0"/>
    <w:rsid w:val="3B617677"/>
    <w:rsid w:val="3B8678B6"/>
    <w:rsid w:val="3B9C3FD8"/>
    <w:rsid w:val="3C8B0C00"/>
    <w:rsid w:val="3CC73AC6"/>
    <w:rsid w:val="3CC7607D"/>
    <w:rsid w:val="3CCA53AD"/>
    <w:rsid w:val="3CF81873"/>
    <w:rsid w:val="3CFC024E"/>
    <w:rsid w:val="3D1E66D3"/>
    <w:rsid w:val="3D9C6A2E"/>
    <w:rsid w:val="3DF84757"/>
    <w:rsid w:val="3DFC60C1"/>
    <w:rsid w:val="3EEA5570"/>
    <w:rsid w:val="3F2D1CB6"/>
    <w:rsid w:val="3FD1113F"/>
    <w:rsid w:val="41171C7F"/>
    <w:rsid w:val="418E5F9D"/>
    <w:rsid w:val="428A38B6"/>
    <w:rsid w:val="42BF1B92"/>
    <w:rsid w:val="43D755DA"/>
    <w:rsid w:val="43F25407"/>
    <w:rsid w:val="440875AB"/>
    <w:rsid w:val="450F1F75"/>
    <w:rsid w:val="453C3F01"/>
    <w:rsid w:val="45520847"/>
    <w:rsid w:val="45E73322"/>
    <w:rsid w:val="49383A30"/>
    <w:rsid w:val="494A394A"/>
    <w:rsid w:val="4AE22D88"/>
    <w:rsid w:val="4B621286"/>
    <w:rsid w:val="4CDB6B18"/>
    <w:rsid w:val="4D1D2609"/>
    <w:rsid w:val="4D8971C2"/>
    <w:rsid w:val="4E305A20"/>
    <w:rsid w:val="4EB11A7C"/>
    <w:rsid w:val="4EE6167D"/>
    <w:rsid w:val="4F136CC9"/>
    <w:rsid w:val="4F586ABA"/>
    <w:rsid w:val="4F9C166D"/>
    <w:rsid w:val="530C784E"/>
    <w:rsid w:val="53406164"/>
    <w:rsid w:val="53774CFF"/>
    <w:rsid w:val="53DE59A8"/>
    <w:rsid w:val="5448673C"/>
    <w:rsid w:val="553B58E4"/>
    <w:rsid w:val="55AA541C"/>
    <w:rsid w:val="567E16A6"/>
    <w:rsid w:val="5728768E"/>
    <w:rsid w:val="57E809C6"/>
    <w:rsid w:val="58272CFA"/>
    <w:rsid w:val="58A00174"/>
    <w:rsid w:val="5906339C"/>
    <w:rsid w:val="596879A6"/>
    <w:rsid w:val="59F57B8E"/>
    <w:rsid w:val="5ADA0B1D"/>
    <w:rsid w:val="5B7E4A72"/>
    <w:rsid w:val="5D6C6AD3"/>
    <w:rsid w:val="5E811B87"/>
    <w:rsid w:val="5EB016E9"/>
    <w:rsid w:val="5FF25578"/>
    <w:rsid w:val="609E0F14"/>
    <w:rsid w:val="614E41B0"/>
    <w:rsid w:val="62973EAF"/>
    <w:rsid w:val="62BE08BB"/>
    <w:rsid w:val="631E222D"/>
    <w:rsid w:val="63890CAA"/>
    <w:rsid w:val="64A70A2F"/>
    <w:rsid w:val="654F3592"/>
    <w:rsid w:val="658835A0"/>
    <w:rsid w:val="65D2271B"/>
    <w:rsid w:val="66D37837"/>
    <w:rsid w:val="670A7A3E"/>
    <w:rsid w:val="679E2C8B"/>
    <w:rsid w:val="69EF3DF1"/>
    <w:rsid w:val="6B2F71CC"/>
    <w:rsid w:val="6CF83D02"/>
    <w:rsid w:val="6D7C272C"/>
    <w:rsid w:val="6D8B22BF"/>
    <w:rsid w:val="6EF51F98"/>
    <w:rsid w:val="6F034B31"/>
    <w:rsid w:val="6F6C545A"/>
    <w:rsid w:val="6F766087"/>
    <w:rsid w:val="6FD6482E"/>
    <w:rsid w:val="702D621C"/>
    <w:rsid w:val="70340726"/>
    <w:rsid w:val="70DB53CE"/>
    <w:rsid w:val="716A2D22"/>
    <w:rsid w:val="73006EB1"/>
    <w:rsid w:val="73417714"/>
    <w:rsid w:val="7431442E"/>
    <w:rsid w:val="747D1147"/>
    <w:rsid w:val="75DD1EEC"/>
    <w:rsid w:val="762C5749"/>
    <w:rsid w:val="765C5FCF"/>
    <w:rsid w:val="7787407A"/>
    <w:rsid w:val="77A5337F"/>
    <w:rsid w:val="77D05B9F"/>
    <w:rsid w:val="780A11FC"/>
    <w:rsid w:val="781B07A0"/>
    <w:rsid w:val="78824C27"/>
    <w:rsid w:val="79442D41"/>
    <w:rsid w:val="7B331FDF"/>
    <w:rsid w:val="7B5B3EF1"/>
    <w:rsid w:val="7BA515D0"/>
    <w:rsid w:val="7C2E2674"/>
    <w:rsid w:val="7CB3343B"/>
    <w:rsid w:val="7E4F6A23"/>
    <w:rsid w:val="7EC00980"/>
    <w:rsid w:val="7EEC2AC9"/>
    <w:rsid w:val="7F2467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qFormat="1" w:unhideWhenUsed="0" w:uiPriority="0" w:semiHidden="0"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next w:val="3"/>
    <w:link w:val="15"/>
    <w:semiHidden/>
    <w:unhideWhenUsed/>
    <w:qFormat/>
    <w:uiPriority w:val="99"/>
    <w:pPr>
      <w:jc w:val="left"/>
    </w:pPr>
  </w:style>
  <w:style w:type="paragraph" w:styleId="3">
    <w:name w:val="toc 5"/>
    <w:basedOn w:val="1"/>
    <w:next w:val="1"/>
    <w:qFormat/>
    <w:uiPriority w:val="0"/>
    <w:pPr>
      <w:ind w:left="840"/>
    </w:pPr>
    <w:rPr>
      <w:rFonts w:ascii="等线" w:eastAsia="等线"/>
      <w:sz w:val="18"/>
      <w:szCs w:val="18"/>
    </w:rPr>
  </w:style>
  <w:style w:type="paragraph" w:styleId="4">
    <w:name w:val="Balloon Text"/>
    <w:basedOn w:val="1"/>
    <w:link w:val="17"/>
    <w:semiHidden/>
    <w:unhideWhenUsed/>
    <w:qFormat/>
    <w:uiPriority w:val="99"/>
    <w:rPr>
      <w:sz w:val="18"/>
      <w:szCs w:val="18"/>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2"/>
    <w:next w:val="2"/>
    <w:link w:val="16"/>
    <w:semiHidden/>
    <w:unhideWhenUsed/>
    <w:qFormat/>
    <w:uiPriority w:val="99"/>
    <w:rPr>
      <w:b/>
      <w:bCs/>
    </w:rPr>
  </w:style>
  <w:style w:type="character" w:styleId="10">
    <w:name w:val="page number"/>
    <w:basedOn w:val="9"/>
    <w:qFormat/>
    <w:uiPriority w:val="0"/>
  </w:style>
  <w:style w:type="character" w:styleId="11">
    <w:name w:val="annotation reference"/>
    <w:basedOn w:val="9"/>
    <w:semiHidden/>
    <w:unhideWhenUsed/>
    <w:qFormat/>
    <w:uiPriority w:val="99"/>
    <w:rPr>
      <w:sz w:val="21"/>
      <w:szCs w:val="21"/>
    </w:rPr>
  </w:style>
  <w:style w:type="character" w:customStyle="1" w:styleId="12">
    <w:name w:val="页眉 Char"/>
    <w:basedOn w:val="9"/>
    <w:link w:val="6"/>
    <w:semiHidden/>
    <w:qFormat/>
    <w:uiPriority w:val="99"/>
    <w:rPr>
      <w:kern w:val="2"/>
      <w:sz w:val="18"/>
      <w:szCs w:val="18"/>
    </w:rPr>
  </w:style>
  <w:style w:type="character" w:customStyle="1" w:styleId="13">
    <w:name w:val="页脚 Char"/>
    <w:basedOn w:val="9"/>
    <w:link w:val="5"/>
    <w:qFormat/>
    <w:uiPriority w:val="99"/>
    <w:rPr>
      <w:kern w:val="2"/>
      <w:sz w:val="18"/>
      <w:szCs w:val="18"/>
    </w:rPr>
  </w:style>
  <w:style w:type="paragraph" w:customStyle="1" w:styleId="14">
    <w:name w:val="Char1"/>
    <w:basedOn w:val="1"/>
    <w:qFormat/>
    <w:uiPriority w:val="0"/>
    <w:pPr>
      <w:tabs>
        <w:tab w:val="left" w:pos="840"/>
      </w:tabs>
      <w:ind w:left="840" w:hanging="420"/>
    </w:pPr>
    <w:rPr>
      <w:rFonts w:ascii="Times New Roman" w:hAnsi="Times New Roman"/>
      <w:sz w:val="24"/>
      <w:szCs w:val="24"/>
    </w:rPr>
  </w:style>
  <w:style w:type="character" w:customStyle="1" w:styleId="15">
    <w:name w:val="批注文字 Char"/>
    <w:basedOn w:val="9"/>
    <w:link w:val="2"/>
    <w:semiHidden/>
    <w:qFormat/>
    <w:uiPriority w:val="99"/>
    <w:rPr>
      <w:kern w:val="2"/>
      <w:sz w:val="21"/>
      <w:szCs w:val="22"/>
    </w:rPr>
  </w:style>
  <w:style w:type="character" w:customStyle="1" w:styleId="16">
    <w:name w:val="批注主题 Char"/>
    <w:basedOn w:val="15"/>
    <w:link w:val="7"/>
    <w:semiHidden/>
    <w:qFormat/>
    <w:uiPriority w:val="99"/>
    <w:rPr>
      <w:b/>
      <w:bCs/>
    </w:rPr>
  </w:style>
  <w:style w:type="character" w:customStyle="1" w:styleId="17">
    <w:name w:val="批注框文本 Char"/>
    <w:basedOn w:val="9"/>
    <w:link w:val="4"/>
    <w:semiHidden/>
    <w:qFormat/>
    <w:uiPriority w:val="99"/>
    <w:rPr>
      <w:kern w:val="2"/>
      <w:sz w:val="18"/>
      <w:szCs w:val="18"/>
    </w:rPr>
  </w:style>
  <w:style w:type="paragraph" w:customStyle="1" w:styleId="18">
    <w:name w:val="Revision"/>
    <w:hidden/>
    <w:semiHidden/>
    <w:qFormat/>
    <w:uiPriority w:val="99"/>
    <w:rPr>
      <w:rFonts w:ascii="Calibri" w:hAnsi="Calibri" w:eastAsia="宋体" w:cs="Times New Roman"/>
      <w:kern w:val="2"/>
      <w:sz w:val="21"/>
      <w:szCs w:val="22"/>
      <w:lang w:val="en-US" w:eastAsia="zh-CN" w:bidi="ar-SA"/>
    </w:rPr>
  </w:style>
  <w:style w:type="paragraph" w:customStyle="1" w:styleId="19">
    <w:name w:val="正文 New"/>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T:\xxy\&#38634;&#33721;\0.&#29615;&#35780;&#30005;&#23376;&#23457;&#26597;\2.&#29615;&#35780;&#23457;&#25209;\00%20%20&#25209;&#22797;&#12289;&#21576;&#25209;&#34920;&#27169;&#26495;\&#12304;&#29615;&#35780;&#25209;&#22797;&#27169;&#26495;&#12305;&#29615;&#35780;&#25253;&#21578;&#34920;&#65288;2017&#24180;&#29256;&#65289;.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30880F-0172-4367-9D41-5B93968F3B74}">
  <ds:schemaRefs/>
</ds:datastoreItem>
</file>

<file path=docProps/app.xml><?xml version="1.0" encoding="utf-8"?>
<Properties xmlns="http://schemas.openxmlformats.org/officeDocument/2006/extended-properties" xmlns:vt="http://schemas.openxmlformats.org/officeDocument/2006/docPropsVTypes">
  <Template>【环评批复模板】环评报告表（2017年版）.dot</Template>
  <Company>Bureau of Environment Protection</Company>
  <Pages>4</Pages>
  <Words>2642</Words>
  <Characters>2851</Characters>
  <Lines>19</Lines>
  <Paragraphs>5</Paragraphs>
  <TotalTime>7</TotalTime>
  <ScaleCrop>false</ScaleCrop>
  <LinksUpToDate>false</LinksUpToDate>
  <CharactersWithSpaces>2914</CharactersWithSpaces>
  <Application>WPS Office_12.8.2.18606_F1E327BC-269C-435d-A152-05C5408002CA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2019-11-22T08:14:00Z</dcterms:created>
  <dc:creator>Panyu EPB</dc:creator>
  <cp:lastModifiedBy>1</cp:lastModifiedBy>
  <cp:lastPrinted>2012-12-06T03:13:00Z</cp:lastPrinted>
  <dcterms:modified xsi:type="dcterms:W3CDTF">2025-08-20T03:43:42Z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ogined">
    <vt:bool>true</vt:bool>
  </property>
  <property fmtid="{D5CDD505-2E9C-101B-9397-08002B2CF9AE}" pid="3" name="KSOProductBuildVer">
    <vt:lpwstr>2052-12.8.2.18606</vt:lpwstr>
  </property>
  <property fmtid="{D5CDD505-2E9C-101B-9397-08002B2CF9AE}" pid="4" name="ICV">
    <vt:lpwstr>94A2D7A03AD4492196BC3157D211B7C5_13</vt:lpwstr>
  </property>
  <property fmtid="{D5CDD505-2E9C-101B-9397-08002B2CF9AE}" pid="5" name="KSOTemplateDocerSaveRecord">
    <vt:lpwstr>eyJoZGlkIjoiOTFmYTNmMGY4YzliOTEyNGRkM2M5OTJiMTUxNWY2YjkiLCJ1c2VySWQiOiIxMDI2OTE4Mzc5In0=</vt:lpwstr>
  </property>
</Properties>
</file>