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8A5A4">
      <w:pPr>
        <w:adjustRightInd w:val="0"/>
        <w:snapToGrid w:val="0"/>
        <w:ind w:right="-156" w:hanging="180"/>
        <w:jc w:val="center"/>
        <w:rPr>
          <w:rFonts w:ascii="公文小标宋简" w:eastAsia="公文小标宋简"/>
          <w:b/>
          <w:bCs/>
          <w:smallCaps/>
          <w:snapToGrid w:val="0"/>
          <w:color w:val="000000" w:themeColor="text1"/>
          <w:spacing w:val="56"/>
          <w:kern w:val="0"/>
          <w:sz w:val="72"/>
          <w:szCs w:val="72"/>
          <w14:textFill>
            <w14:solidFill>
              <w14:schemeClr w14:val="tx1"/>
            </w14:solidFill>
          </w14:textFill>
        </w:rPr>
      </w:pPr>
    </w:p>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穗环管影（番）〔202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108</w:t>
      </w:r>
      <w:r>
        <w:rPr>
          <w:rFonts w:hint="eastAsia" w:ascii="仿宋_GB2312" w:eastAsia="仿宋_GB2312"/>
          <w:color w:val="000000" w:themeColor="text1"/>
          <w:sz w:val="32"/>
          <w:szCs w:val="32"/>
          <w14:textFill>
            <w14:solidFill>
              <w14:schemeClr w14:val="tx1"/>
            </w14:solidFill>
          </w14:textFill>
        </w:rPr>
        <w:t>号</w:t>
      </w:r>
    </w:p>
    <w:p w14:paraId="1978C5CD">
      <w:pPr>
        <w:keepNext w:val="0"/>
        <w:keepLines w:val="0"/>
        <w:pageBreakBefore w:val="0"/>
        <w:kinsoku/>
        <w:overflowPunct/>
        <w:topLinePunct w:val="0"/>
        <w:autoSpaceDE/>
        <w:autoSpaceDN/>
        <w:bidi w:val="0"/>
        <w:spacing w:line="560" w:lineRule="exact"/>
        <w:textAlignment w:val="auto"/>
        <w:rPr>
          <w:rFonts w:ascii="黑体" w:eastAsia="黑体"/>
          <w:color w:val="000000" w:themeColor="text1"/>
          <w14:textFill>
            <w14:solidFill>
              <w14:schemeClr w14:val="tx1"/>
            </w14:solidFill>
          </w14:textFill>
        </w:rPr>
      </w:pPr>
    </w:p>
    <w:p w14:paraId="766D922C">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000000" w:themeColor="text1"/>
          <w14:textFill>
            <w14:solidFill>
              <w14:schemeClr w14:val="tx1"/>
            </w14:solidFill>
          </w14:textFill>
        </w:rPr>
      </w:pPr>
    </w:p>
    <w:p w14:paraId="77B811AE">
      <w:pPr>
        <w:adjustRightInd w:val="0"/>
        <w:spacing w:line="560" w:lineRule="exact"/>
        <w:jc w:val="center"/>
        <w:rPr>
          <w:rFonts w:hint="default" w:ascii="Times New Roman" w:hAnsi="Times New Roman" w:eastAsia="方正小标宋简体" w:cs="Times New Roman"/>
          <w:spacing w:val="-11"/>
          <w:sz w:val="44"/>
          <w:szCs w:val="44"/>
          <w:highlight w:val="none"/>
        </w:rPr>
      </w:pPr>
      <w:r>
        <w:rPr>
          <w:rFonts w:hint="eastAsia" w:ascii="方正小标宋简体" w:eastAsia="方正小标宋简体"/>
          <w:color w:val="000000" w:themeColor="text1"/>
          <w:sz w:val="44"/>
          <w:szCs w:val="44"/>
          <w14:textFill>
            <w14:solidFill>
              <w14:schemeClr w14:val="tx1"/>
            </w14:solidFill>
          </w14:textFill>
        </w:rPr>
        <w:t>广州市生态环境局关于</w:t>
      </w:r>
      <w:r>
        <w:rPr>
          <w:rFonts w:hint="default" w:ascii="Times New Roman" w:hAnsi="Times New Roman" w:eastAsia="方正小标宋简体" w:cs="Times New Roman"/>
          <w:spacing w:val="0"/>
          <w:sz w:val="44"/>
          <w:szCs w:val="44"/>
          <w:highlight w:val="none"/>
        </w:rPr>
        <w:t>广州思安</w:t>
      </w:r>
      <w:r>
        <w:rPr>
          <w:rFonts w:hint="default" w:ascii="Times New Roman" w:hAnsi="Times New Roman" w:eastAsia="方正小标宋简体" w:cs="Times New Roman"/>
          <w:spacing w:val="-11"/>
          <w:sz w:val="44"/>
          <w:szCs w:val="44"/>
          <w:highlight w:val="none"/>
        </w:rPr>
        <w:t>医疗科技有限公司年产医疗用固定器械5万套</w:t>
      </w:r>
    </w:p>
    <w:p w14:paraId="2F19F064">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000000" w:themeColor="text1"/>
          <w:sz w:val="44"/>
          <w:szCs w:val="44"/>
          <w14:textFill>
            <w14:solidFill>
              <w14:schemeClr w14:val="tx1"/>
            </w14:solidFill>
          </w14:textFill>
        </w:rPr>
      </w:pPr>
      <w:r>
        <w:rPr>
          <w:rFonts w:hint="default" w:ascii="Times New Roman" w:hAnsi="Times New Roman" w:eastAsia="方正小标宋简体" w:cs="Times New Roman"/>
          <w:spacing w:val="0"/>
          <w:sz w:val="44"/>
          <w:szCs w:val="44"/>
          <w:highlight w:val="none"/>
        </w:rPr>
        <w:t>迁建项目</w:t>
      </w:r>
      <w:r>
        <w:rPr>
          <w:rFonts w:hint="eastAsia" w:ascii="Times New Roman" w:hAnsi="Times New Roman" w:eastAsia="方正小标宋简体" w:cs="Times New Roman"/>
          <w:spacing w:val="0"/>
          <w:sz w:val="44"/>
          <w:szCs w:val="44"/>
          <w:highlight w:val="none"/>
          <w:lang w:val="en-US" w:eastAsia="zh-CN"/>
        </w:rPr>
        <w:t>环境影响报告表</w:t>
      </w:r>
      <w:r>
        <w:rPr>
          <w:rFonts w:hint="eastAsia" w:ascii="方正小标宋简体" w:eastAsia="方正小标宋简体"/>
          <w:color w:val="000000" w:themeColor="text1"/>
          <w:sz w:val="44"/>
          <w:szCs w:val="44"/>
          <w14:textFill>
            <w14:solidFill>
              <w14:schemeClr w14:val="tx1"/>
            </w14:solidFill>
          </w14:textFill>
        </w:rPr>
        <w:t>的批复</w:t>
      </w:r>
    </w:p>
    <w:p w14:paraId="522FEEAE">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762FC833">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广州思安医疗科技有限公司（91440101775650658M）：</w:t>
      </w:r>
    </w:p>
    <w:p w14:paraId="25E07FA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你单位报送的《广州思安医疗科技有限公司年产医疗用固定器械5万套迁建项目</w:t>
      </w:r>
      <w:r>
        <w:rPr>
          <w:rFonts w:hint="eastAsia" w:ascii="仿宋_GB2312" w:eastAsia="仿宋_GB2312"/>
          <w:color w:val="000000" w:themeColor="text1"/>
          <w:sz w:val="32"/>
          <w:szCs w:val="32"/>
          <w:lang w:eastAsia="zh-CN"/>
          <w14:textFill>
            <w14:solidFill>
              <w14:schemeClr w14:val="tx1"/>
            </w14:solidFill>
          </w14:textFill>
        </w:rPr>
        <w:t>环境影响报告表</w:t>
      </w:r>
      <w:r>
        <w:rPr>
          <w:rFonts w:hint="eastAsia" w:ascii="仿宋_GB2312" w:eastAsia="仿宋_GB2312"/>
          <w:color w:val="000000" w:themeColor="text1"/>
          <w:sz w:val="32"/>
          <w:szCs w:val="32"/>
          <w14:textFill>
            <w14:solidFill>
              <w14:schemeClr w14:val="tx1"/>
            </w14:solidFill>
          </w14:textFill>
        </w:rPr>
        <w:t>》（以下简称《报告表》）及附送资料收悉。经研究，现批复如下：</w:t>
      </w:r>
    </w:p>
    <w:p w14:paraId="494928E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一、广州思安医疗科技有限公司年产医疗用固定器械5万套迁建项目（以下简称“该项目”）</w:t>
      </w:r>
      <w:r>
        <w:rPr>
          <w:rFonts w:hint="eastAsia" w:ascii="仿宋_GB2312" w:eastAsia="仿宋_GB2312"/>
          <w:color w:val="000000" w:themeColor="text1"/>
          <w:sz w:val="32"/>
          <w:szCs w:val="32"/>
          <w:lang w:val="en-US" w:eastAsia="zh-CN"/>
          <w14:textFill>
            <w14:solidFill>
              <w14:schemeClr w14:val="tx1"/>
            </w14:solidFill>
          </w14:textFill>
        </w:rPr>
        <w:t>位于</w:t>
      </w:r>
      <w:r>
        <w:rPr>
          <w:rFonts w:hint="eastAsia" w:ascii="仿宋_GB2312" w:eastAsia="仿宋_GB2312"/>
          <w:color w:val="000000" w:themeColor="text1"/>
          <w:sz w:val="32"/>
          <w:szCs w:val="32"/>
          <w14:textFill>
            <w14:solidFill>
              <w14:schemeClr w14:val="tx1"/>
            </w14:solidFill>
          </w14:textFill>
        </w:rPr>
        <w:t>广州市番禺区石壁街105国道屏山路段自编238号华任朗和机电园内（厂房六）首层，申报内容为</w:t>
      </w:r>
      <w:r>
        <w:rPr>
          <w:rFonts w:hint="eastAsia" w:ascii="仿宋_GB2312" w:eastAsia="仿宋_GB2312"/>
          <w:color w:val="000000" w:themeColor="text1"/>
          <w:sz w:val="32"/>
          <w:szCs w:val="32"/>
          <w:lang w:val="en-US" w:eastAsia="zh-CN"/>
          <w14:textFill>
            <w14:solidFill>
              <w14:schemeClr w14:val="tx1"/>
            </w14:solidFill>
          </w14:textFill>
        </w:rPr>
        <w:t>从事</w:t>
      </w:r>
      <w:r>
        <w:rPr>
          <w:rFonts w:hint="eastAsia" w:ascii="仿宋_GB2312" w:eastAsia="仿宋_GB2312"/>
          <w:color w:val="000000" w:themeColor="text1"/>
          <w:sz w:val="32"/>
          <w:szCs w:val="32"/>
          <w14:textFill>
            <w14:solidFill>
              <w14:schemeClr w14:val="tx1"/>
            </w14:solidFill>
          </w14:textFill>
        </w:rPr>
        <w:t>定位膜生产</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年产</w:t>
      </w:r>
      <w:r>
        <w:rPr>
          <w:rFonts w:hint="eastAsia" w:ascii="仿宋_GB2312" w:eastAsia="仿宋_GB2312"/>
          <w:color w:val="000000" w:themeColor="text1"/>
          <w:sz w:val="32"/>
          <w:szCs w:val="32"/>
          <w:lang w:val="en-US" w:eastAsia="zh-CN"/>
          <w14:textFill>
            <w14:solidFill>
              <w14:schemeClr w14:val="tx1"/>
            </w14:solidFill>
          </w14:textFill>
        </w:rPr>
        <w:t>定位膜</w:t>
      </w:r>
      <w:r>
        <w:rPr>
          <w:rFonts w:hint="eastAsia" w:ascii="仿宋_GB2312" w:eastAsia="仿宋_GB2312"/>
          <w:color w:val="000000" w:themeColor="text1"/>
          <w:sz w:val="32"/>
          <w:szCs w:val="32"/>
          <w14:textFill>
            <w14:solidFill>
              <w14:schemeClr w14:val="tx1"/>
            </w14:solidFill>
          </w14:textFill>
        </w:rPr>
        <w:t>5万套。该项目</w:t>
      </w:r>
      <w:r>
        <w:rPr>
          <w:rFonts w:hint="eastAsia" w:ascii="仿宋_GB2312" w:eastAsia="仿宋_GB2312"/>
          <w:color w:val="000000" w:themeColor="text1"/>
          <w:sz w:val="32"/>
          <w:szCs w:val="32"/>
          <w:lang w:val="en-US" w:eastAsia="zh-CN"/>
          <w14:textFill>
            <w14:solidFill>
              <w14:schemeClr w14:val="tx1"/>
            </w14:solidFill>
          </w14:textFill>
        </w:rPr>
        <w:t>租用1栋厂房的首层，</w:t>
      </w:r>
      <w:r>
        <w:rPr>
          <w:rFonts w:hint="eastAsia" w:ascii="仿宋_GB2312" w:eastAsia="仿宋_GB2312"/>
          <w:color w:val="000000" w:themeColor="text1"/>
          <w:sz w:val="32"/>
          <w:szCs w:val="32"/>
          <w14:textFill>
            <w14:solidFill>
              <w14:schemeClr w14:val="tx1"/>
            </w14:solidFill>
          </w14:textFill>
        </w:rPr>
        <w:t>占地面积</w:t>
      </w:r>
      <w:r>
        <w:rPr>
          <w:rFonts w:hint="eastAsia" w:ascii="仿宋_GB2312" w:eastAsia="仿宋_GB2312"/>
          <w:color w:val="000000" w:themeColor="text1"/>
          <w:sz w:val="32"/>
          <w:szCs w:val="32"/>
          <w:lang w:val="en-US" w:eastAsia="zh-CN"/>
          <w14:textFill>
            <w14:solidFill>
              <w14:schemeClr w14:val="tx1"/>
            </w14:solidFill>
          </w14:textFill>
        </w:rPr>
        <w:t>1600</w:t>
      </w:r>
      <w:r>
        <w:rPr>
          <w:rFonts w:hint="eastAsia" w:ascii="仿宋_GB2312" w:eastAsia="仿宋_GB2312"/>
          <w:color w:val="000000" w:themeColor="text1"/>
          <w:sz w:val="32"/>
          <w:szCs w:val="32"/>
          <w14:textFill>
            <w14:solidFill>
              <w14:schemeClr w14:val="tx1"/>
            </w14:solidFill>
          </w14:textFill>
        </w:rPr>
        <w:t>平方米，总建筑面积</w:t>
      </w:r>
      <w:r>
        <w:rPr>
          <w:rFonts w:hint="eastAsia" w:ascii="仿宋_GB2312" w:eastAsia="仿宋_GB2312"/>
          <w:color w:val="000000" w:themeColor="text1"/>
          <w:sz w:val="32"/>
          <w:szCs w:val="32"/>
          <w:lang w:val="en-US" w:eastAsia="zh-CN"/>
          <w14:textFill>
            <w14:solidFill>
              <w14:schemeClr w14:val="tx1"/>
            </w14:solidFill>
          </w14:textFill>
        </w:rPr>
        <w:t>1600</w:t>
      </w:r>
      <w:r>
        <w:rPr>
          <w:rFonts w:hint="eastAsia" w:ascii="仿宋_GB2312" w:eastAsia="仿宋_GB2312"/>
          <w:color w:val="000000" w:themeColor="text1"/>
          <w:sz w:val="32"/>
          <w:szCs w:val="32"/>
          <w14:textFill>
            <w14:solidFill>
              <w14:schemeClr w14:val="tx1"/>
            </w14:solidFill>
          </w14:textFill>
        </w:rPr>
        <w:t>平方米；主要设备有低温成型机1台、冲孔机1台、裁断机1台、超声波焊接机3台、粉碎机1台、混料机1台、喷漆烘干机1台</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；员工</w:t>
      </w:r>
      <w:r>
        <w:rPr>
          <w:rFonts w:hint="eastAsia" w:ascii="仿宋_GB2312" w:eastAsia="仿宋_GB2312"/>
          <w:color w:val="000000" w:themeColor="text1"/>
          <w:sz w:val="32"/>
          <w:szCs w:val="32"/>
          <w:lang w:val="en-US" w:eastAsia="zh-CN"/>
          <w14:textFill>
            <w14:solidFill>
              <w14:schemeClr w14:val="tx1"/>
            </w14:solidFill>
          </w14:textFill>
        </w:rPr>
        <w:t>30</w:t>
      </w:r>
      <w:r>
        <w:rPr>
          <w:rFonts w:hint="eastAsia" w:ascii="仿宋_GB2312" w:eastAsia="仿宋_GB2312"/>
          <w:color w:val="000000" w:themeColor="text1"/>
          <w:sz w:val="32"/>
          <w:szCs w:val="32"/>
          <w14:textFill>
            <w14:solidFill>
              <w14:schemeClr w14:val="tx1"/>
            </w14:solidFill>
          </w14:textFill>
        </w:rPr>
        <w:t>名，内部不安排食宿。本项目</w:t>
      </w:r>
      <w:r>
        <w:rPr>
          <w:rFonts w:hint="eastAsia" w:ascii="仿宋_GB2312" w:eastAsia="仿宋_GB2312"/>
          <w:color w:val="000000" w:themeColor="text1"/>
          <w:sz w:val="32"/>
          <w:szCs w:val="32"/>
          <w:lang w:eastAsia="zh-CN"/>
          <w14:textFill>
            <w14:solidFill>
              <w14:schemeClr w14:val="tx1"/>
            </w14:solidFill>
          </w14:textFill>
        </w:rPr>
        <w:t>仅</w:t>
      </w:r>
      <w:r>
        <w:rPr>
          <w:rFonts w:hint="eastAsia" w:ascii="仿宋_GB2312" w:eastAsia="仿宋_GB2312"/>
          <w:color w:val="000000" w:themeColor="text1"/>
          <w:sz w:val="32"/>
          <w:szCs w:val="32"/>
          <w14:textFill>
            <w14:solidFill>
              <w14:schemeClr w14:val="tx1"/>
            </w14:solidFill>
          </w14:textFill>
        </w:rPr>
        <w:t>使用聚己内酯粒</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不使用再生塑料</w:t>
      </w:r>
      <w:r>
        <w:rPr>
          <w:rFonts w:hint="eastAsia" w:ascii="仿宋_GB2312" w:eastAsia="仿宋_GB2312"/>
          <w:color w:val="000000" w:themeColor="text1"/>
          <w:sz w:val="32"/>
          <w:szCs w:val="32"/>
          <w:lang w:eastAsia="zh-CN"/>
          <w14:textFill>
            <w14:solidFill>
              <w14:schemeClr w14:val="tx1"/>
            </w14:solidFill>
          </w14:textFill>
        </w:rPr>
        <w:t>。</w:t>
      </w:r>
    </w:p>
    <w:p w14:paraId="3781EE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按照《报告表》的评价结论，在落实各项环境保护措施后，该项目产生的污染物及不良环境影响能够得到有效控制，从环境保护角度，在</w:t>
      </w:r>
      <w:r>
        <w:rPr>
          <w:rFonts w:hint="eastAsia" w:ascii="仿宋_GB2312" w:eastAsia="仿宋_GB2312"/>
          <w:color w:val="000000" w:themeColor="text1"/>
          <w:sz w:val="32"/>
          <w:szCs w:val="32"/>
          <w:lang w:eastAsia="zh-CN"/>
          <w14:textFill>
            <w14:solidFill>
              <w14:schemeClr w14:val="tx1"/>
            </w14:solidFill>
          </w14:textFill>
        </w:rPr>
        <w:t>拟</w:t>
      </w:r>
      <w:r>
        <w:rPr>
          <w:rFonts w:hint="eastAsia" w:ascii="仿宋_GB2312" w:eastAsia="仿宋_GB2312"/>
          <w:color w:val="000000" w:themeColor="text1"/>
          <w:sz w:val="32"/>
          <w:szCs w:val="32"/>
          <w14:textFill>
            <w14:solidFill>
              <w14:schemeClr w14:val="tx1"/>
            </w14:solidFill>
          </w14:textFill>
        </w:rPr>
        <w:t>选址处建设可行。经审查，我局原则同意《报告表》评价结论。该项目应当按照《报告表》所述性质、规模、地点、生产工艺和环境保护措施进行建设。</w:t>
      </w:r>
    </w:p>
    <w:p w14:paraId="30FFD88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二、该项目各类污染物排放控制要求如下：</w:t>
      </w:r>
    </w:p>
    <w:p w14:paraId="72CAAD5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水污染物</w:t>
      </w:r>
      <w:r>
        <w:rPr>
          <w:rFonts w:hint="eastAsia" w:ascii="仿宋_GB2312" w:eastAsia="仿宋_GB2312"/>
          <w:color w:val="000000" w:themeColor="text1"/>
          <w:sz w:val="32"/>
          <w:szCs w:val="32"/>
          <w14:textFill>
            <w14:solidFill>
              <w14:schemeClr w14:val="tx1"/>
            </w14:solidFill>
          </w14:textFill>
        </w:rPr>
        <w:t>排放执行广东省《水污染物排放限值》（DB44/26-2001）第二时段三级标准。生活污水排放量不超过</w:t>
      </w:r>
      <w:r>
        <w:rPr>
          <w:rFonts w:hint="eastAsia" w:ascii="仿宋_GB2312" w:eastAsia="仿宋_GB2312"/>
          <w:color w:val="000000" w:themeColor="text1"/>
          <w:sz w:val="32"/>
          <w:szCs w:val="32"/>
          <w:lang w:val="en-US" w:eastAsia="zh-CN"/>
          <w14:textFill>
            <w14:solidFill>
              <w14:schemeClr w14:val="tx1"/>
            </w14:solidFill>
          </w14:textFill>
        </w:rPr>
        <w:t>270</w:t>
      </w:r>
      <w:r>
        <w:rPr>
          <w:rFonts w:hint="eastAsia" w:ascii="仿宋_GB2312" w:eastAsia="仿宋_GB2312"/>
          <w:color w:val="000000" w:themeColor="text1"/>
          <w:sz w:val="32"/>
          <w:szCs w:val="32"/>
          <w14:textFill>
            <w14:solidFill>
              <w14:schemeClr w14:val="tx1"/>
            </w14:solidFill>
          </w14:textFill>
        </w:rPr>
        <w:t>吨/年。</w:t>
      </w:r>
    </w:p>
    <w:p w14:paraId="162B227D">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w:t>
      </w:r>
      <w:r>
        <w:rPr>
          <w:rFonts w:hint="eastAsia" w:ascii="仿宋_GB2312" w:eastAsia="仿宋_GB2312"/>
          <w:color w:val="000000" w:themeColor="text1"/>
          <w:sz w:val="32"/>
          <w:szCs w:val="32"/>
          <w:highlight w:val="none"/>
          <w:lang w:val="en-US" w:eastAsia="zh-CN"/>
          <w14:textFill>
            <w14:solidFill>
              <w14:schemeClr w14:val="tx1"/>
            </w14:solidFill>
          </w14:textFill>
        </w:rPr>
        <w:t>颗粒物</w:t>
      </w:r>
      <w:r>
        <w:rPr>
          <w:rFonts w:hint="eastAsia" w:ascii="仿宋_GB2312" w:eastAsia="仿宋_GB2312"/>
          <w:color w:val="000000" w:themeColor="text1"/>
          <w:sz w:val="32"/>
          <w:szCs w:val="32"/>
          <w:highlight w:val="none"/>
          <w14:textFill>
            <w14:solidFill>
              <w14:schemeClr w14:val="tx1"/>
            </w14:solidFill>
          </w14:textFill>
        </w:rPr>
        <w:t>排放执行广东省《大气污染物排放限值》（DB44/27-2001）第二时段二级标准</w:t>
      </w:r>
      <w:r>
        <w:rPr>
          <w:rFonts w:hint="eastAsia" w:ascii="仿宋_GB2312" w:eastAsia="仿宋_GB2312"/>
          <w:color w:val="000000" w:themeColor="text1"/>
          <w:sz w:val="32"/>
          <w:szCs w:val="32"/>
          <w:highlight w:val="none"/>
          <w:lang w:eastAsia="zh-CN"/>
          <w14:textFill>
            <w14:solidFill>
              <w14:schemeClr w14:val="tx1"/>
            </w14:solidFill>
          </w14:textFill>
        </w:rPr>
        <w:t>限值</w:t>
      </w:r>
      <w:r>
        <w:rPr>
          <w:rFonts w:hint="eastAsia" w:ascii="仿宋_GB2312" w:eastAsia="仿宋_GB2312"/>
          <w:color w:val="000000" w:themeColor="text1"/>
          <w:sz w:val="32"/>
          <w:szCs w:val="32"/>
          <w:highlight w:val="none"/>
          <w14:textFill>
            <w14:solidFill>
              <w14:schemeClr w14:val="tx1"/>
            </w14:solidFill>
          </w14:textFill>
        </w:rPr>
        <w:t>及无组织排放监控浓度限值</w:t>
      </w:r>
      <w:r>
        <w:rPr>
          <w:rFonts w:hint="eastAsia" w:ascii="仿宋_GB2312" w:eastAsia="仿宋_GB2312"/>
          <w:color w:val="auto"/>
          <w:sz w:val="32"/>
          <w:szCs w:val="32"/>
          <w:lang w:eastAsia="zh-CN"/>
        </w:rPr>
        <w:t>；臭气浓度</w:t>
      </w:r>
      <w:r>
        <w:rPr>
          <w:rFonts w:hint="eastAsia" w:ascii="仿宋_GB2312" w:eastAsia="仿宋_GB2312"/>
          <w:color w:val="auto"/>
          <w:sz w:val="32"/>
          <w:szCs w:val="32"/>
          <w:lang w:val="en-US" w:eastAsia="zh-CN"/>
        </w:rPr>
        <w:t>排放</w:t>
      </w:r>
      <w:r>
        <w:rPr>
          <w:rFonts w:hint="eastAsia" w:ascii="仿宋_GB2312" w:eastAsia="仿宋_GB2312"/>
          <w:color w:val="auto"/>
          <w:sz w:val="32"/>
          <w:szCs w:val="32"/>
          <w:lang w:eastAsia="zh-CN"/>
        </w:rPr>
        <w:t>执行《恶臭污染物排放标准》（GB14554-93）表1恶臭污染物厂界二级新扩改建标准值</w:t>
      </w:r>
      <w:r>
        <w:rPr>
          <w:rFonts w:hint="eastAsia" w:ascii="仿宋_GB2312" w:eastAsia="仿宋_GB2312"/>
          <w:color w:val="auto"/>
          <w:sz w:val="32"/>
          <w:szCs w:val="32"/>
          <w:lang w:val="en-US" w:eastAsia="zh-CN"/>
        </w:rPr>
        <w:t>及</w:t>
      </w:r>
      <w:r>
        <w:rPr>
          <w:rFonts w:hint="eastAsia" w:ascii="仿宋_GB2312" w:eastAsia="仿宋_GB2312"/>
          <w:color w:val="auto"/>
          <w:sz w:val="32"/>
          <w:szCs w:val="32"/>
          <w:lang w:eastAsia="zh-CN"/>
        </w:rPr>
        <w:t>表2恶臭污染物排放标准值要求；NMHC排放执行《合成树脂工业污染物排放标准》（GB31572-2015，含2024年修改单）表5大气污染物特别排放限值及广东省《固定污染源挥发性有机物综合排放标准》（DB 44/2367-2022）表3厂区内VOCs无组织排放限值要求</w:t>
      </w:r>
      <w:r>
        <w:rPr>
          <w:rFonts w:hint="eastAsia" w:ascii="仿宋_GB2312" w:eastAsia="仿宋_GB2312"/>
          <w:color w:val="000000" w:themeColor="text1"/>
          <w:sz w:val="32"/>
          <w:szCs w:val="32"/>
          <w:lang w:val="en-US" w:eastAsia="zh-CN"/>
          <w14:textFill>
            <w14:solidFill>
              <w14:schemeClr w14:val="tx1"/>
            </w14:solidFill>
          </w14:textFill>
        </w:rPr>
        <w:t>。</w:t>
      </w:r>
    </w:p>
    <w:p w14:paraId="240DFF2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（三）边界噪声排放执行《工业企业厂界环境噪声排放标准》（GB12348-2008）</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类区限值，即：昼间≤6</w:t>
      </w:r>
      <w:r>
        <w:rPr>
          <w:rFonts w:hint="eastAsia" w:ascii="仿宋_GB2312" w:eastAsia="仿宋_GB2312"/>
          <w:color w:val="000000" w:themeColor="text1"/>
          <w:sz w:val="32"/>
          <w:szCs w:val="32"/>
          <w:lang w:val="en-US" w:eastAsia="zh-CN"/>
          <w14:textFill>
            <w14:solidFill>
              <w14:schemeClr w14:val="tx1"/>
            </w14:solidFill>
          </w14:textFill>
        </w:rPr>
        <w:t>5dB（A）</w:t>
      </w:r>
      <w:r>
        <w:rPr>
          <w:rFonts w:hint="eastAsia" w:ascii="仿宋_GB2312" w:eastAsia="仿宋_GB2312"/>
          <w:color w:val="000000" w:themeColor="text1"/>
          <w:sz w:val="32"/>
          <w:szCs w:val="32"/>
          <w14:textFill>
            <w14:solidFill>
              <w14:schemeClr w14:val="tx1"/>
            </w14:solidFill>
          </w14:textFill>
        </w:rPr>
        <w:t>，夜间≤5</w:t>
      </w:r>
      <w:r>
        <w:rPr>
          <w:rFonts w:hint="eastAsia" w:ascii="仿宋_GB2312" w:eastAsia="仿宋_GB2312"/>
          <w:color w:val="000000" w:themeColor="text1"/>
          <w:sz w:val="32"/>
          <w:szCs w:val="32"/>
          <w:lang w:val="en-US" w:eastAsia="zh-CN"/>
          <w14:textFill>
            <w14:solidFill>
              <w14:schemeClr w14:val="tx1"/>
            </w14:solidFill>
          </w14:textFill>
        </w:rPr>
        <w:t>5dB（A）</w:t>
      </w:r>
      <w:r>
        <w:rPr>
          <w:rFonts w:hint="eastAsia" w:ascii="仿宋_GB2312" w:eastAsia="仿宋_GB2312"/>
          <w:color w:val="000000" w:themeColor="text1"/>
          <w:sz w:val="32"/>
          <w:szCs w:val="32"/>
          <w14:textFill>
            <w14:solidFill>
              <w14:schemeClr w14:val="tx1"/>
            </w14:solidFill>
          </w14:textFill>
        </w:rPr>
        <w:t>。</w:t>
      </w:r>
    </w:p>
    <w:p w14:paraId="05407098">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三、该项目应当认真落实《报告表》提出的各项环境保护措施，重点做好以下工作：</w:t>
      </w:r>
    </w:p>
    <w:p w14:paraId="4210F9E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（一）排水系统采用雨污分流。水溶性高分子涂料配制及清洗用水</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质检用热水循环使用，不外排。</w:t>
      </w:r>
      <w:r>
        <w:rPr>
          <w:rFonts w:hint="eastAsia" w:ascii="仿宋_GB2312" w:eastAsia="仿宋_GB2312"/>
          <w:color w:val="000000" w:themeColor="text1"/>
          <w:sz w:val="32"/>
          <w:szCs w:val="32"/>
          <w14:textFill>
            <w14:solidFill>
              <w14:schemeClr w14:val="tx1"/>
            </w14:solidFill>
          </w14:textFill>
        </w:rPr>
        <w:t>生活污水</w:t>
      </w:r>
      <w:r>
        <w:rPr>
          <w:rFonts w:hint="eastAsia" w:ascii="仿宋_GB2312" w:eastAsia="仿宋_GB2312"/>
          <w:color w:val="000000" w:themeColor="text1"/>
          <w:sz w:val="32"/>
          <w:szCs w:val="32"/>
          <w:lang w:eastAsia="zh-CN"/>
          <w14:textFill>
            <w14:solidFill>
              <w14:schemeClr w14:val="tx1"/>
            </w14:solidFill>
          </w14:textFill>
        </w:rPr>
        <w:t>经三级化粪池预处理后，连同更换的冷却塔废水等清净下水</w:t>
      </w:r>
      <w:r>
        <w:rPr>
          <w:rFonts w:hint="eastAsia" w:ascii="仿宋_GB2312" w:eastAsia="仿宋_GB2312"/>
          <w:color w:val="000000" w:themeColor="text1"/>
          <w:sz w:val="32"/>
          <w:szCs w:val="32"/>
          <w14:textFill>
            <w14:solidFill>
              <w14:schemeClr w14:val="tx1"/>
            </w14:solidFill>
          </w14:textFill>
        </w:rPr>
        <w:t>排入市政集污管网，送</w:t>
      </w:r>
      <w:r>
        <w:rPr>
          <w:rFonts w:hint="eastAsia" w:ascii="仿宋_GB2312" w:eastAsia="仿宋_GB2312"/>
          <w:color w:val="000000" w:themeColor="text1"/>
          <w:sz w:val="32"/>
          <w:szCs w:val="32"/>
          <w:lang w:eastAsia="zh-CN"/>
          <w14:textFill>
            <w14:solidFill>
              <w14:schemeClr w14:val="tx1"/>
            </w14:solidFill>
          </w14:textFill>
        </w:rPr>
        <w:t>钟村</w:t>
      </w:r>
      <w:r>
        <w:rPr>
          <w:rFonts w:hint="eastAsia" w:ascii="仿宋_GB2312" w:eastAsia="仿宋_GB2312"/>
          <w:color w:val="000000" w:themeColor="text1"/>
          <w:sz w:val="32"/>
          <w:szCs w:val="32"/>
          <w14:textFill>
            <w14:solidFill>
              <w14:schemeClr w14:val="tx1"/>
            </w14:solidFill>
          </w14:textFill>
        </w:rPr>
        <w:t>净水厂</w:t>
      </w:r>
      <w:r>
        <w:rPr>
          <w:rFonts w:hint="eastAsia" w:ascii="仿宋_GB2312" w:eastAsia="仿宋_GB2312"/>
          <w:color w:val="000000" w:themeColor="text1"/>
          <w:sz w:val="32"/>
          <w:szCs w:val="32"/>
          <w:lang w:val="en-US" w:eastAsia="zh-CN"/>
          <w14:textFill>
            <w14:solidFill>
              <w14:schemeClr w14:val="tx1"/>
            </w14:solidFill>
          </w14:textFill>
        </w:rPr>
        <w:t>集中</w:t>
      </w:r>
      <w:r>
        <w:rPr>
          <w:rFonts w:hint="eastAsia" w:ascii="仿宋_GB2312" w:eastAsia="仿宋_GB2312"/>
          <w:color w:val="000000" w:themeColor="text1"/>
          <w:sz w:val="32"/>
          <w:szCs w:val="32"/>
          <w14:textFill>
            <w14:solidFill>
              <w14:schemeClr w14:val="tx1"/>
            </w14:solidFill>
          </w14:textFill>
        </w:rPr>
        <w:t>处理。项目设置</w:t>
      </w:r>
      <w:r>
        <w:rPr>
          <w:rFonts w:hint="eastAsia" w:ascii="仿宋_GB2312" w:eastAsia="仿宋_GB2312"/>
          <w:color w:val="000000" w:themeColor="text1"/>
          <w:sz w:val="32"/>
          <w:szCs w:val="32"/>
          <w:lang w:val="en-US" w:eastAsia="zh-CN"/>
          <w14:textFill>
            <w14:solidFill>
              <w14:schemeClr w14:val="tx1"/>
            </w14:solidFill>
          </w14:textFill>
        </w:rPr>
        <w:t>废</w:t>
      </w:r>
      <w:r>
        <w:rPr>
          <w:rFonts w:hint="eastAsia" w:ascii="仿宋_GB2312" w:eastAsia="仿宋_GB2312"/>
          <w:color w:val="000000" w:themeColor="text1"/>
          <w:sz w:val="32"/>
          <w:szCs w:val="32"/>
          <w14:textFill>
            <w14:solidFill>
              <w14:schemeClr w14:val="tx1"/>
            </w14:solidFill>
          </w14:textFill>
        </w:rPr>
        <w:t>水排</w:t>
      </w:r>
      <w:r>
        <w:rPr>
          <w:rFonts w:hint="eastAsia" w:ascii="仿宋_GB2312" w:eastAsia="仿宋_GB2312"/>
          <w:color w:val="000000" w:themeColor="text1"/>
          <w:sz w:val="32"/>
          <w:szCs w:val="32"/>
          <w:lang w:eastAsia="zh-CN"/>
          <w14:textFill>
            <w14:solidFill>
              <w14:schemeClr w14:val="tx1"/>
            </w14:solidFill>
          </w14:textFill>
        </w:rPr>
        <w:t>放</w:t>
      </w:r>
      <w:r>
        <w:rPr>
          <w:rFonts w:hint="eastAsia" w:ascii="仿宋_GB2312" w:eastAsia="仿宋_GB2312"/>
          <w:color w:val="000000" w:themeColor="text1"/>
          <w:sz w:val="32"/>
          <w:szCs w:val="32"/>
          <w14:textFill>
            <w14:solidFill>
              <w14:schemeClr w14:val="tx1"/>
            </w14:solidFill>
          </w14:textFill>
        </w:rPr>
        <w:t>口</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w:t>
      </w:r>
    </w:p>
    <w:p w14:paraId="3F33BB3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（二）按照《固定污染源挥发性有机物综合排放标准》（DB44/2367-2022）的无组织排放控制要求落实相关措施</w:t>
      </w:r>
      <w:r>
        <w:rPr>
          <w:rFonts w:hint="eastAsia" w:ascii="仿宋_GB2312" w:eastAsia="仿宋_GB2312"/>
          <w:color w:val="000000" w:themeColor="text1"/>
          <w:sz w:val="32"/>
          <w:szCs w:val="32"/>
          <w:lang w:eastAsia="zh-CN"/>
          <w14:textFill>
            <w14:solidFill>
              <w14:schemeClr w14:val="tx1"/>
            </w14:solidFill>
          </w14:textFill>
        </w:rPr>
        <w:t>。涂装烘干工序产生的废气经过滤棉净化，</w:t>
      </w:r>
      <w:r>
        <w:rPr>
          <w:rFonts w:hint="eastAsia" w:ascii="仿宋_GB2312" w:eastAsia="仿宋_GB2312"/>
          <w:color w:val="000000" w:themeColor="text1"/>
          <w:sz w:val="32"/>
          <w:szCs w:val="32"/>
          <w:lang w:val="en-US" w:eastAsia="zh-CN"/>
          <w14:textFill>
            <w14:solidFill>
              <w14:schemeClr w14:val="tx1"/>
            </w14:solidFill>
          </w14:textFill>
        </w:rPr>
        <w:t>连同</w:t>
      </w:r>
      <w:r>
        <w:rPr>
          <w:rFonts w:hint="eastAsia" w:ascii="仿宋_GB2312" w:eastAsia="仿宋_GB2312"/>
          <w:color w:val="000000" w:themeColor="text1"/>
          <w:sz w:val="32"/>
          <w:szCs w:val="32"/>
          <w:lang w:eastAsia="zh-CN"/>
          <w14:textFill>
            <w14:solidFill>
              <w14:schemeClr w14:val="tx1"/>
            </w14:solidFill>
          </w14:textFill>
        </w:rPr>
        <w:t>低温成型工序产生的废气收集至楼顶经二级活性炭吸附装置</w:t>
      </w:r>
      <w:r>
        <w:rPr>
          <w:rFonts w:hint="eastAsia" w:ascii="仿宋_GB2312" w:eastAsia="仿宋_GB2312"/>
          <w:color w:val="000000" w:themeColor="text1"/>
          <w:sz w:val="32"/>
          <w:szCs w:val="32"/>
          <w:lang w:val="en-US" w:eastAsia="zh-CN"/>
          <w14:textFill>
            <w14:solidFill>
              <w14:schemeClr w14:val="tx1"/>
            </w14:solidFill>
          </w14:textFill>
        </w:rPr>
        <w:t>处理后高空排放</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排放口高度不低于15米</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项目设置废气排放口1个</w:t>
      </w:r>
      <w:r>
        <w:rPr>
          <w:rFonts w:hint="eastAsia" w:ascii="仿宋_GB2312" w:eastAsia="仿宋_GB2312"/>
          <w:color w:val="000000" w:themeColor="text1"/>
          <w:sz w:val="32"/>
          <w:szCs w:val="32"/>
          <w14:textFill>
            <w14:solidFill>
              <w14:schemeClr w14:val="tx1"/>
            </w14:solidFill>
          </w14:textFill>
        </w:rPr>
        <w:t>。</w:t>
      </w:r>
    </w:p>
    <w:p w14:paraId="29D80F9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加强</w:t>
      </w:r>
      <w:r>
        <w:rPr>
          <w:rFonts w:hint="eastAsia" w:ascii="仿宋_GB2312" w:eastAsia="仿宋_GB2312"/>
          <w:color w:val="000000" w:themeColor="text1"/>
          <w:sz w:val="32"/>
          <w:szCs w:val="32"/>
          <w14:textFill>
            <w14:solidFill>
              <w14:schemeClr w14:val="tx1"/>
            </w14:solidFill>
          </w14:textFill>
        </w:rPr>
        <w:t>车间边界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废气的监控，确保</w:t>
      </w:r>
      <w:r>
        <w:rPr>
          <w:rFonts w:hint="eastAsia" w:ascii="仿宋_GB2312" w:eastAsia="仿宋_GB2312"/>
          <w:color w:val="000000" w:themeColor="text1"/>
          <w:sz w:val="32"/>
          <w:szCs w:val="32"/>
          <w14:textFill>
            <w14:solidFill>
              <w14:schemeClr w14:val="tx1"/>
            </w14:solidFill>
          </w14:textFill>
        </w:rPr>
        <w:t>车间边界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监控点的废气达到相应标准限值的要求，监测超标时应</w:t>
      </w:r>
      <w:r>
        <w:rPr>
          <w:rFonts w:hint="eastAsia" w:ascii="仿宋_GB2312" w:hAnsi="仿宋_GB2312" w:eastAsia="仿宋_GB2312" w:cs="仿宋_GB2312"/>
          <w:color w:val="000000" w:themeColor="text1"/>
          <w:sz w:val="32"/>
          <w:szCs w:val="32"/>
          <w:lang w:eastAsia="zh-CN"/>
          <w14:textFill>
            <w14:solidFill>
              <w14:schemeClr w14:val="tx1"/>
            </w14:solidFill>
          </w14:textFill>
        </w:rPr>
        <w:t>加强</w:t>
      </w:r>
      <w:r>
        <w:rPr>
          <w:rFonts w:hint="eastAsia" w:ascii="仿宋_GB2312" w:hAnsi="仿宋_GB2312" w:eastAsia="仿宋_GB2312" w:cs="仿宋_GB2312"/>
          <w:color w:val="000000" w:themeColor="text1"/>
          <w:sz w:val="32"/>
          <w:szCs w:val="32"/>
          <w14:textFill>
            <w14:solidFill>
              <w14:schemeClr w14:val="tx1"/>
            </w14:solidFill>
          </w14:textFill>
        </w:rPr>
        <w:t>对无组织排放废气进行收集、净化处理。</w:t>
      </w:r>
    </w:p>
    <w:p w14:paraId="3B270B6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（三）选用低噪声设备，合理布设生产车间，对噪声源采取隔声、减振等措施，定期检修设备。</w:t>
      </w:r>
    </w:p>
    <w:p w14:paraId="7D3E0E5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（四）废机油罐、废机油、含油抹布及手套、废过滤棉、废活性炭等</w:t>
      </w:r>
      <w:r>
        <w:rPr>
          <w:rFonts w:hint="eastAsia" w:ascii="仿宋_GB2312" w:eastAsia="仿宋_GB2312"/>
          <w:color w:val="000000" w:themeColor="text1"/>
          <w:sz w:val="32"/>
          <w:szCs w:val="32"/>
          <w:lang w:val="en-US" w:eastAsia="zh-CN"/>
          <w14:textFill>
            <w14:solidFill>
              <w14:schemeClr w14:val="tx1"/>
            </w14:solidFill>
          </w14:textFill>
        </w:rPr>
        <w:t>属于</w:t>
      </w:r>
      <w:r>
        <w:rPr>
          <w:rFonts w:hint="eastAsia" w:ascii="仿宋_GB2312" w:eastAsia="仿宋_GB2312"/>
          <w:color w:val="000000" w:themeColor="text1"/>
          <w:sz w:val="32"/>
          <w:szCs w:val="32"/>
          <w14:textFill>
            <w14:solidFill>
              <w14:schemeClr w14:val="tx1"/>
            </w14:solidFill>
          </w14:textFill>
        </w:rPr>
        <w:t>危险废物</w:t>
      </w:r>
      <w:r>
        <w:rPr>
          <w:rFonts w:hint="eastAsia" w:ascii="仿宋_GB2312" w:eastAsia="仿宋_GB2312"/>
          <w:color w:val="000000" w:themeColor="text1"/>
          <w:sz w:val="32"/>
          <w:szCs w:val="32"/>
          <w:lang w:val="en-US"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须设置符合《危险废物贮存污染控制标准》（GB18597-20</w:t>
      </w:r>
      <w:r>
        <w:rPr>
          <w:rFonts w:hint="eastAsia" w:ascii="仿宋_GB2312" w:eastAsia="仿宋_GB2312"/>
          <w:color w:val="000000" w:themeColor="text1"/>
          <w:sz w:val="32"/>
          <w:szCs w:val="32"/>
          <w:lang w:val="en-US" w:eastAsia="zh-CN"/>
          <w14:textFill>
            <w14:solidFill>
              <w14:schemeClr w14:val="tx1"/>
            </w14:solidFill>
          </w14:textFill>
        </w:rPr>
        <w:t>23</w:t>
      </w:r>
      <w:r>
        <w:rPr>
          <w:rFonts w:hint="eastAsia" w:ascii="仿宋_GB2312" w:eastAsia="仿宋_GB2312"/>
          <w:color w:val="000000" w:themeColor="text1"/>
          <w:sz w:val="32"/>
          <w:szCs w:val="32"/>
          <w14:textFill>
            <w14:solidFill>
              <w14:schemeClr w14:val="tx1"/>
            </w14:solidFill>
          </w14:textFill>
        </w:rPr>
        <w:t>）要求的专用贮存场所存放并委托具备危险废物处理资质的机构处理。</w:t>
      </w:r>
    </w:p>
    <w:p w14:paraId="2640918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四、该项目的性质、规模、地点、采用的生产工艺或者防治污染、防止生态破坏的措施发生重大变动的，你单位应当重新报批环境影响评价文件。</w:t>
      </w:r>
    </w:p>
    <w:p w14:paraId="7DD2AC5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、该项目建设应严格执行配套建设的环境保护设施与主体工程同时设计、同时施工、同时投产使用的环境保护“三同时”制度，具体要求如下：</w:t>
      </w:r>
    </w:p>
    <w:p w14:paraId="24FC4721">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（一）项目竣工后，你单位应按规定申请取得排污许可证或填报排污登记表，并按照规定的标准、程序和时限，对配套建设的环境保护设施进行验收，编制验收报告，依法向社会公开。</w:t>
      </w:r>
    </w:p>
    <w:p w14:paraId="623B2E5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（二）项目配套建设的环境保护设施经验收合格后，方可投入生产或者使用。</w:t>
      </w:r>
    </w:p>
    <w:p w14:paraId="4535B85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六</w:t>
      </w:r>
      <w:r>
        <w:rPr>
          <w:rFonts w:hint="eastAsia" w:ascii="仿宋_GB2312" w:eastAsia="仿宋_GB2312"/>
          <w:color w:val="000000" w:themeColor="text1"/>
          <w:sz w:val="32"/>
          <w:szCs w:val="32"/>
          <w14:textFill>
            <w14:solidFill>
              <w14:schemeClr w14:val="tx1"/>
            </w14:solidFill>
          </w14:textFill>
        </w:rPr>
        <w:t>、该项目建设和运行过程中如涉及规划、土地利用、建设、水务、消防、安全等问题，应遵照相关法律法规要求到相应的行政主管部门办理有关手续。</w:t>
      </w:r>
    </w:p>
    <w:p w14:paraId="359B9971">
      <w:pPr>
        <w:pStyle w:val="8"/>
        <w:keepNext w:val="0"/>
        <w:keepLines w:val="0"/>
        <w:pageBreakBefore w:val="0"/>
        <w:kinsoku/>
        <w:overflowPunct/>
        <w:topLinePunct w:val="0"/>
        <w:autoSpaceDE/>
        <w:autoSpaceDN/>
        <w:bidi w:val="0"/>
        <w:spacing w:line="240" w:lineRule="auto"/>
        <w:ind w:firstLine="636"/>
        <w:textAlignment w:val="auto"/>
        <w:rPr>
          <w:rFonts w:hint="eastAsia" w:ascii="仿宋_GB2312" w:hAnsi="仿宋" w:eastAsia="仿宋_GB2312"/>
          <w:color w:val="000000" w:themeColor="text1"/>
          <w:sz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14:textFill>
            <w14:solidFill>
              <w14:schemeClr w14:val="tx1"/>
            </w14:solidFill>
          </w14:textFill>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7D2BADD5">
      <w:pPr>
        <w:pStyle w:val="8"/>
        <w:keepNext w:val="0"/>
        <w:keepLines w:val="0"/>
        <w:pageBreakBefore w:val="0"/>
        <w:kinsoku/>
        <w:overflowPunct/>
        <w:topLinePunct w:val="0"/>
        <w:autoSpaceDE/>
        <w:autoSpaceDN/>
        <w:bidi w:val="0"/>
        <w:spacing w:line="240" w:lineRule="auto"/>
        <w:ind w:firstLine="636"/>
        <w:textAlignment w:val="auto"/>
        <w:rPr>
          <w:rFonts w:hint="eastAsia" w:ascii="仿宋_GB2312" w:hAnsi="仿宋" w:eastAsia="仿宋_GB2312"/>
          <w:color w:val="000000" w:themeColor="text1"/>
          <w:sz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八</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14:textFill>
            <w14:solidFill>
              <w14:schemeClr w14:val="tx1"/>
            </w14:solidFill>
          </w14:textFill>
        </w:rPr>
        <w:t>自本批复批准之日起，原批复文件穗（番）环管影〔20</w:t>
      </w:r>
      <w:r>
        <w:rPr>
          <w:rFonts w:hint="eastAsia" w:ascii="仿宋_GB2312" w:hAnsi="仿宋" w:eastAsia="仿宋_GB2312"/>
          <w:color w:val="000000" w:themeColor="text1"/>
          <w:sz w:val="32"/>
          <w:lang w:val="en-US" w:eastAsia="zh-CN"/>
          <w14:textFill>
            <w14:solidFill>
              <w14:schemeClr w14:val="tx1"/>
            </w14:solidFill>
          </w14:textFill>
        </w:rPr>
        <w:t>19</w:t>
      </w:r>
      <w:r>
        <w:rPr>
          <w:rFonts w:hint="eastAsia" w:ascii="仿宋_GB2312" w:hAnsi="仿宋" w:eastAsia="仿宋_GB2312"/>
          <w:color w:val="000000" w:themeColor="text1"/>
          <w:sz w:val="32"/>
          <w14:textFill>
            <w14:solidFill>
              <w14:schemeClr w14:val="tx1"/>
            </w14:solidFill>
          </w14:textFill>
        </w:rPr>
        <w:t>〕</w:t>
      </w:r>
      <w:r>
        <w:rPr>
          <w:rFonts w:hint="eastAsia" w:ascii="仿宋_GB2312" w:hAnsi="仿宋" w:eastAsia="仿宋_GB2312"/>
          <w:color w:val="000000" w:themeColor="text1"/>
          <w:sz w:val="32"/>
          <w:lang w:val="en-US" w:eastAsia="zh-CN"/>
          <w14:textFill>
            <w14:solidFill>
              <w14:schemeClr w14:val="tx1"/>
            </w14:solidFill>
          </w14:textFill>
        </w:rPr>
        <w:t>477</w:t>
      </w:r>
      <w:r>
        <w:rPr>
          <w:rFonts w:hint="eastAsia" w:ascii="仿宋_GB2312" w:hAnsi="仿宋" w:eastAsia="仿宋_GB2312"/>
          <w:color w:val="000000" w:themeColor="text1"/>
          <w:sz w:val="32"/>
          <w14:textFill>
            <w14:solidFill>
              <w14:schemeClr w14:val="tx1"/>
            </w14:solidFill>
          </w14:textFill>
        </w:rPr>
        <w:t>号同时废止。</w:t>
      </w:r>
    </w:p>
    <w:p w14:paraId="49913197">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000000" w:themeColor="text1"/>
          <w:sz w:val="32"/>
          <w:szCs w:val="32"/>
          <w14:textFill>
            <w14:solidFill>
              <w14:schemeClr w14:val="tx1"/>
            </w14:solidFill>
          </w14:textFill>
        </w:rPr>
      </w:pPr>
    </w:p>
    <w:p w14:paraId="74EBAD51">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29A26305">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广州市生态环境局</w:t>
      </w:r>
    </w:p>
    <w:p w14:paraId="54231825">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18</w:t>
      </w:r>
      <w:r>
        <w:rPr>
          <w:rFonts w:hint="eastAsia" w:ascii="仿宋_GB2312" w:eastAsia="仿宋_GB2312"/>
          <w:color w:val="000000" w:themeColor="text1"/>
          <w:sz w:val="32"/>
          <w:szCs w:val="32"/>
          <w14:textFill>
            <w14:solidFill>
              <w14:schemeClr w14:val="tx1"/>
            </w14:solidFill>
          </w14:textFill>
        </w:rPr>
        <w:t>日</w:t>
      </w:r>
    </w:p>
    <w:p w14:paraId="48EB0E9F">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30F2C2E8">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07B1456F">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5D4A8AD4">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bookmarkStart w:id="0" w:name="_GoBack"/>
      <w:bookmarkEnd w:id="0"/>
    </w:p>
    <w:p w14:paraId="7F29DD9E">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4F233EE2">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公开方式：</w:t>
      </w:r>
      <w:r>
        <w:rPr>
          <w:rFonts w:hint="eastAsia" w:ascii="仿宋_GB2312" w:eastAsia="仿宋_GB2312"/>
          <w:color w:val="000000" w:themeColor="text1"/>
          <w:sz w:val="32"/>
          <w:szCs w:val="32"/>
          <w14:textFill>
            <w14:solidFill>
              <w14:schemeClr w14:val="tx1"/>
            </w14:solidFill>
          </w14:textFill>
        </w:rPr>
        <w:t>主动公开</w:t>
      </w:r>
    </w:p>
    <w:p w14:paraId="084C0797">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3019F1E2">
      <w:pPr>
        <w:spacing w:line="560" w:lineRule="exact"/>
        <w:ind w:left="1234" w:leftChars="201" w:hanging="812" w:hangingChars="254"/>
      </w:pPr>
      <w:r>
        <w:rPr>
          <w:rFonts w:hint="eastAsia" w:ascii="仿宋_GB2312" w:hAnsi="仿宋" w:eastAsia="仿宋_GB2312"/>
          <w:color w:val="000000" w:themeColor="text1"/>
          <w:sz w:val="32"/>
          <w:szCs w:val="24"/>
          <w14:textFill>
            <w14:solidFill>
              <w14:schemeClr w14:val="tx1"/>
            </w14:solidFill>
          </w14:textFill>
        </w:rPr>
        <w:t>抄送：广州市生态环境局番禺分局</w:t>
      </w:r>
      <w:r>
        <w:rPr>
          <w:rFonts w:hint="eastAsia" w:ascii="仿宋_GB2312" w:hAnsi="仿宋" w:eastAsia="仿宋_GB2312" w:cs="Times New Roman"/>
          <w:color w:val="000000" w:themeColor="text1"/>
          <w:sz w:val="32"/>
          <w:szCs w:val="24"/>
          <w14:textFill>
            <w14:solidFill>
              <w14:schemeClr w14:val="tx1"/>
            </w14:solidFill>
          </w14:textFill>
        </w:rPr>
        <w:t>执法</w:t>
      </w:r>
      <w:r>
        <w:rPr>
          <w:rFonts w:hint="eastAsia" w:ascii="仿宋_GB2312" w:hAnsi="仿宋" w:eastAsia="仿宋_GB2312" w:cs="Times New Roman"/>
          <w:color w:val="000000" w:themeColor="text1"/>
          <w:sz w:val="32"/>
          <w:szCs w:val="24"/>
          <w:lang w:val="en-US" w:eastAsia="zh-CN"/>
          <w14:textFill>
            <w14:solidFill>
              <w14:schemeClr w14:val="tx1"/>
            </w14:solidFill>
          </w14:textFill>
        </w:rPr>
        <w:t>一</w:t>
      </w:r>
      <w:r>
        <w:rPr>
          <w:rFonts w:hint="eastAsia" w:ascii="仿宋_GB2312" w:hAnsi="仿宋" w:eastAsia="仿宋_GB2312" w:cs="Times New Roman"/>
          <w:color w:val="000000" w:themeColor="text1"/>
          <w:sz w:val="32"/>
          <w:szCs w:val="24"/>
          <w14:textFill>
            <w14:solidFill>
              <w14:schemeClr w14:val="tx1"/>
            </w14:solidFill>
          </w14:textFill>
        </w:rPr>
        <w:t>科、</w:t>
      </w:r>
      <w:r>
        <w:rPr>
          <w:rFonts w:hint="eastAsia" w:ascii="仿宋_GB2312" w:hAnsi="仿宋" w:eastAsia="仿宋_GB2312" w:cs="Times New Roman"/>
          <w:color w:val="000000" w:themeColor="text1"/>
          <w:sz w:val="32"/>
          <w:szCs w:val="24"/>
          <w:lang w:eastAsia="zh-CN"/>
          <w14:textFill>
            <w14:solidFill>
              <w14:schemeClr w14:val="tx1"/>
            </w14:solidFill>
          </w14:textFill>
        </w:rPr>
        <w:t>番禺</w:t>
      </w:r>
      <w:r>
        <w:rPr>
          <w:rFonts w:hint="eastAsia" w:ascii="仿宋_GB2312" w:hAnsi="仿宋" w:eastAsia="仿宋_GB2312" w:cs="Times New Roman"/>
          <w:color w:val="000000" w:themeColor="text1"/>
          <w:sz w:val="32"/>
          <w:szCs w:val="24"/>
          <w14:textFill>
            <w14:solidFill>
              <w14:schemeClr w14:val="tx1"/>
            </w14:solidFill>
          </w14:textFill>
        </w:rPr>
        <w:t>第</w:t>
      </w:r>
      <w:r>
        <w:rPr>
          <w:rFonts w:hint="eastAsia" w:ascii="仿宋_GB2312" w:hAnsi="仿宋" w:eastAsia="仿宋_GB2312" w:cs="Times New Roman"/>
          <w:color w:val="000000" w:themeColor="text1"/>
          <w:sz w:val="32"/>
          <w:szCs w:val="24"/>
          <w:lang w:val="en-US" w:eastAsia="zh-CN"/>
          <w14:textFill>
            <w14:solidFill>
              <w14:schemeClr w14:val="tx1"/>
            </w14:solidFill>
          </w14:textFill>
        </w:rPr>
        <w:t>二</w:t>
      </w:r>
      <w:r>
        <w:rPr>
          <w:rFonts w:hint="eastAsia" w:ascii="仿宋_GB2312" w:hAnsi="仿宋" w:eastAsia="仿宋_GB2312" w:cs="Times New Roman"/>
          <w:color w:val="000000" w:themeColor="text1"/>
          <w:sz w:val="32"/>
          <w:szCs w:val="24"/>
          <w14:textFill>
            <w14:solidFill>
              <w14:schemeClr w14:val="tx1"/>
            </w14:solidFill>
          </w14:textFill>
        </w:rPr>
        <w:t>环保所</w:t>
      </w:r>
      <w:r>
        <w:rPr>
          <w:rFonts w:hint="eastAsia" w:ascii="仿宋_GB2312" w:hAnsi="仿宋" w:eastAsia="仿宋_GB2312"/>
          <w:color w:val="000000" w:themeColor="text1"/>
          <w:sz w:val="32"/>
          <w:szCs w:val="24"/>
          <w14:textFill>
            <w14:solidFill>
              <w14:schemeClr w14:val="tx1"/>
            </w14:solidFill>
          </w14:textFill>
        </w:rPr>
        <w:t>，广州</w:t>
      </w:r>
      <w:r>
        <w:rPr>
          <w:rFonts w:hint="eastAsia" w:ascii="仿宋_GB2312" w:hAnsi="仿宋" w:eastAsia="仿宋_GB2312"/>
          <w:color w:val="000000" w:themeColor="text1"/>
          <w:sz w:val="32"/>
          <w:szCs w:val="24"/>
          <w:lang w:val="en-US" w:eastAsia="zh-CN"/>
          <w14:textFill>
            <w14:solidFill>
              <w14:schemeClr w14:val="tx1"/>
            </w14:solidFill>
          </w14:textFill>
        </w:rPr>
        <w:t>尚然环保科技</w:t>
      </w:r>
      <w:r>
        <w:rPr>
          <w:rFonts w:hint="eastAsia" w:ascii="仿宋_GB2312" w:hAnsi="仿宋" w:eastAsia="仿宋_GB2312"/>
          <w:color w:val="000000" w:themeColor="text1"/>
          <w:sz w:val="32"/>
          <w:szCs w:val="24"/>
          <w14:textFill>
            <w14:solidFill>
              <w14:schemeClr w14:val="tx1"/>
            </w14:solidFill>
          </w14:textFill>
        </w:rPr>
        <w:t>有限公司。</w:t>
      </w:r>
    </w:p>
    <w:p w14:paraId="09EC74C9"/>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新宋体-1803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公文小标宋简">
    <w:altName w:val="宋体"/>
    <w:panose1 w:val="0201060901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DC91">
    <w:pPr>
      <w:pStyle w:val="4"/>
      <w:framePr w:wrap="around" w:vAnchor="text" w:hAnchor="margin" w:xAlign="outside" w:y="1"/>
      <w:rPr>
        <w:rStyle w:val="7"/>
        <w:rFonts w:ascii="宋体" w:hAnsi="宋体"/>
        <w:sz w:val="28"/>
        <w:szCs w:val="28"/>
      </w:rPr>
    </w:pPr>
    <w:r>
      <w:rPr>
        <w:rStyle w:val="7"/>
        <w:rFonts w:hint="eastAsia" w:ascii="宋体" w:hAnsi="宋体"/>
        <w:sz w:val="28"/>
        <w:szCs w:val="28"/>
      </w:rPr>
      <w:t xml:space="preserve">— </w:t>
    </w: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3</w:t>
    </w:r>
    <w:r>
      <w:rPr>
        <w:rStyle w:val="7"/>
        <w:rFonts w:ascii="宋体" w:hAnsi="宋体"/>
        <w:sz w:val="28"/>
        <w:szCs w:val="28"/>
      </w:rPr>
      <w:fldChar w:fldCharType="end"/>
    </w:r>
    <w:r>
      <w:rPr>
        <w:rStyle w:val="7"/>
        <w:rFonts w:hint="eastAsia" w:ascii="宋体" w:hAnsi="宋体"/>
        <w:sz w:val="28"/>
        <w:szCs w:val="28"/>
      </w:rPr>
      <w:t xml:space="preserve"> —</w:t>
    </w:r>
  </w:p>
  <w:p w14:paraId="48DE3797">
    <w:pPr>
      <w:pStyle w:val="4"/>
      <w:ind w:right="360" w:firstLine="360"/>
      <w:jc w:val="center"/>
      <w:rPr>
        <w:rFonts w:ascii="Times New Roman" w:hAnsi="Times New Roman"/>
        <w:sz w:val="28"/>
        <w:szCs w:val="28"/>
      </w:rPr>
    </w:pPr>
  </w:p>
  <w:p w14:paraId="3B967C6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ED8E">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14:paraId="4AA547C0">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7469F"/>
    <w:rsid w:val="025B104D"/>
    <w:rsid w:val="109B1A09"/>
    <w:rsid w:val="1C57469F"/>
    <w:rsid w:val="2F5D55B9"/>
    <w:rsid w:val="2FE249C1"/>
    <w:rsid w:val="3B4413CB"/>
    <w:rsid w:val="43955500"/>
    <w:rsid w:val="4CAE41A1"/>
    <w:rsid w:val="69407E24"/>
    <w:rsid w:val="7F322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eastAsia="宋体" w:cs="Times New Roman"/>
    </w:rPr>
  </w:style>
  <w:style w:type="paragraph" w:customStyle="1" w:styleId="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区委办</Company>
  <Pages>4</Pages>
  <Words>1831</Words>
  <Characters>1991</Characters>
  <Lines>0</Lines>
  <Paragraphs>0</Paragraphs>
  <TotalTime>4</TotalTime>
  <ScaleCrop>false</ScaleCrop>
  <LinksUpToDate>false</LinksUpToDate>
  <CharactersWithSpaces>2058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2025-08-08T08:57:00Z</dcterms:created>
  <dc:creator>圆圈圈儿 ࿔</dc:creator>
  <cp:lastModifiedBy>圆圈圈儿 ࿔</cp:lastModifiedBy>
  <dcterms:modified xsi:type="dcterms:W3CDTF">2025-08-18T03:29:20Z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2EBA9D7B46364C9B8DC9340AC462B186_11</vt:lpwstr>
  </property>
  <property fmtid="{D5CDD505-2E9C-101B-9397-08002B2CF9AE}" pid="4" name="KSOTemplateDocerSaveRecord">
    <vt:lpwstr>eyJoZGlkIjoiODdkOTNkZGUwYWU4YWU0YzViNWEwNmQ1ODczOTg2ZTkiLCJ1c2VySWQiOiIxNzIzMDIxNzY5In0=</vt:lpwstr>
  </property>
</Properties>
</file>