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5C11E">
      <w:pPr>
        <w:adjustRightInd w:val="0"/>
        <w:snapToGrid w:val="0"/>
        <w:ind w:right="-156" w:hanging="180"/>
        <w:jc w:val="center"/>
        <w:rPr>
          <w:rFonts w:ascii="公文小标宋简" w:eastAsia="公文小标宋简"/>
          <w:b/>
          <w:bCs/>
          <w:smallCaps/>
          <w:snapToGrid w:val="0"/>
          <w:color w:val="000000" w:themeColor="text1"/>
          <w:spacing w:val="56"/>
          <w:kern w:val="0"/>
          <w:sz w:val="72"/>
          <w:szCs w:val="72"/>
          <w14:textFill>
            <w14:solidFill>
              <w14:schemeClr w14:val="tx1"/>
            </w14:solidFill>
          </w14:textFill>
        </w:rPr>
      </w:pPr>
    </w:p>
    <w:p w14:paraId="6BA21403">
      <w:pPr>
        <w:keepNext w:val="0"/>
        <w:keepLines w:val="0"/>
        <w:pageBreakBefore w:val="0"/>
        <w:kinsoku/>
        <w:wordWrap w:val="0"/>
        <w:overflowPunct/>
        <w:topLinePunct w:val="0"/>
        <w:autoSpaceDE/>
        <w:autoSpaceDN/>
        <w:bidi w:val="0"/>
        <w:adjustRightInd w:val="0"/>
        <w:snapToGrid w:val="0"/>
        <w:spacing w:line="560" w:lineRule="exact"/>
        <w:ind w:firstLine="640" w:firstLineChars="200"/>
        <w:textAlignment w:val="auto"/>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穗环管影（番）〔202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w:t>
      </w:r>
      <w:r>
        <w:rPr>
          <w:rFonts w:hint="eastAsia"/>
          <w:color w:val="000000" w:themeColor="text1"/>
          <w:sz w:val="32"/>
          <w:szCs w:val="32"/>
          <w:lang w:val="en-US" w:eastAsia="zh-CN"/>
          <w14:textFill>
            <w14:solidFill>
              <w14:schemeClr w14:val="tx1"/>
            </w14:solidFill>
          </w14:textFill>
        </w:rPr>
        <w:t>107</w:t>
      </w:r>
      <w:r>
        <w:rPr>
          <w:rFonts w:hint="eastAsia" w:ascii="仿宋_GB2312" w:eastAsia="仿宋_GB2312"/>
          <w:color w:val="000000" w:themeColor="text1"/>
          <w:sz w:val="32"/>
          <w:szCs w:val="32"/>
          <w14:textFill>
            <w14:solidFill>
              <w14:schemeClr w14:val="tx1"/>
            </w14:solidFill>
          </w14:textFill>
        </w:rPr>
        <w:t>号</w:t>
      </w:r>
    </w:p>
    <w:p w14:paraId="4A0197B5">
      <w:pPr>
        <w:keepNext w:val="0"/>
        <w:keepLines w:val="0"/>
        <w:pageBreakBefore w:val="0"/>
        <w:kinsoku/>
        <w:overflowPunct/>
        <w:topLinePunct w:val="0"/>
        <w:autoSpaceDE/>
        <w:autoSpaceDN/>
        <w:bidi w:val="0"/>
        <w:spacing w:line="560" w:lineRule="exact"/>
        <w:textAlignment w:val="auto"/>
        <w:rPr>
          <w:rFonts w:ascii="黑体" w:eastAsia="黑体"/>
          <w:color w:val="000000" w:themeColor="text1"/>
          <w14:textFill>
            <w14:solidFill>
              <w14:schemeClr w14:val="tx1"/>
            </w14:solidFill>
          </w14:textFill>
        </w:rPr>
      </w:pPr>
    </w:p>
    <w:p w14:paraId="3668F077">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000000" w:themeColor="text1"/>
          <w14:textFill>
            <w14:solidFill>
              <w14:schemeClr w14:val="tx1"/>
            </w14:solidFill>
          </w14:textFill>
        </w:rPr>
      </w:pPr>
    </w:p>
    <w:p w14:paraId="78D8A65A">
      <w:pPr>
        <w:pStyle w:val="2"/>
        <w:bidi w:val="0"/>
        <w:rPr>
          <w:rFonts w:hint="eastAsia"/>
        </w:rPr>
      </w:pPr>
      <w:r>
        <w:rPr>
          <w:rFonts w:hint="eastAsia"/>
        </w:rPr>
        <w:t>广州市生态环境局关于广东九安智能</w:t>
      </w:r>
      <w:r>
        <w:rPr>
          <w:rFonts w:hint="eastAsia"/>
          <w:lang w:val="en-US" w:eastAsia="zh-CN"/>
        </w:rPr>
        <w:t>科技</w:t>
      </w:r>
      <w:r>
        <w:rPr>
          <w:rFonts w:hint="eastAsia"/>
        </w:rPr>
        <w:t>股份</w:t>
      </w:r>
    </w:p>
    <w:p w14:paraId="62228972">
      <w:pPr>
        <w:pStyle w:val="2"/>
        <w:bidi w:val="0"/>
        <w:rPr>
          <w:rFonts w:hint="eastAsia"/>
        </w:rPr>
      </w:pPr>
      <w:r>
        <w:rPr>
          <w:rFonts w:hint="eastAsia"/>
        </w:rPr>
        <w:t>有限公司年产摄像机模组2000万片、摄像机</w:t>
      </w:r>
    </w:p>
    <w:p w14:paraId="207F544F">
      <w:pPr>
        <w:pStyle w:val="2"/>
        <w:bidi w:val="0"/>
        <w:rPr>
          <w:rFonts w:hint="eastAsia"/>
        </w:rPr>
      </w:pPr>
      <w:r>
        <w:rPr>
          <w:rFonts w:hint="eastAsia"/>
        </w:rPr>
        <w:t>整机500万台、录像机主板80万片、录像机</w:t>
      </w:r>
    </w:p>
    <w:p w14:paraId="4A4B26D4">
      <w:pPr>
        <w:pStyle w:val="2"/>
        <w:bidi w:val="0"/>
      </w:pPr>
      <w:r>
        <w:rPr>
          <w:rFonts w:hint="eastAsia"/>
        </w:rPr>
        <w:t>整机40万台建设项目环境影响报告表的批复</w:t>
      </w:r>
    </w:p>
    <w:p w14:paraId="5FF7A35D">
      <w:pPr>
        <w:pStyle w:val="2"/>
        <w:bidi w:val="0"/>
      </w:pPr>
    </w:p>
    <w:p w14:paraId="45980BCE">
      <w:pPr>
        <w:bidi w:val="0"/>
        <w:ind w:left="0" w:leftChars="0" w:firstLine="0" w:firstLineChars="0"/>
        <w:rPr>
          <w:rFonts w:hint="eastAsia"/>
        </w:rPr>
      </w:pPr>
      <w:bookmarkStart w:id="0" w:name="_GoBack"/>
      <w:bookmarkEnd w:id="0"/>
      <w:r>
        <w:rPr>
          <w:rFonts w:hint="eastAsia"/>
        </w:rPr>
        <w:t>广东九安智能</w:t>
      </w:r>
      <w:r>
        <w:rPr>
          <w:rFonts w:hint="eastAsia"/>
          <w:lang w:val="en-US" w:eastAsia="zh-CN"/>
        </w:rPr>
        <w:t>科技</w:t>
      </w:r>
      <w:r>
        <w:rPr>
          <w:rFonts w:hint="eastAsia"/>
        </w:rPr>
        <w:t>股份有限公司（91440101797375941C）：</w:t>
      </w:r>
    </w:p>
    <w:p w14:paraId="5E42D52D">
      <w:pPr>
        <w:bidi w:val="0"/>
      </w:pPr>
      <w:r>
        <w:rPr>
          <w:rFonts w:hint="eastAsia"/>
        </w:rPr>
        <w:t>你单位报送的《广东九安智能</w:t>
      </w:r>
      <w:r>
        <w:rPr>
          <w:rFonts w:hint="eastAsia"/>
          <w:lang w:val="en-US" w:eastAsia="zh-CN"/>
        </w:rPr>
        <w:t>科技</w:t>
      </w:r>
      <w:r>
        <w:rPr>
          <w:rFonts w:hint="eastAsia"/>
        </w:rPr>
        <w:t>股份有限公司年产摄像机模组2000万片、摄像机整机500万台、录像机主板80万片、录像机整机40万台建设项目》（以下简称《报告表》）及附送资料收悉。经研究，现批复如下：</w:t>
      </w:r>
    </w:p>
    <w:p w14:paraId="0A495E0E">
      <w:pPr>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hint="default"/>
          <w:lang w:eastAsia="zh-CN"/>
        </w:rPr>
      </w:pPr>
      <w:r>
        <w:rPr>
          <w:rFonts w:hint="eastAsia"/>
        </w:rPr>
        <w:t>一、</w:t>
      </w:r>
      <w:r>
        <w:rPr>
          <w:rFonts w:hint="default"/>
        </w:rPr>
        <w:t>广东九安智能</w:t>
      </w:r>
      <w:r>
        <w:rPr>
          <w:rFonts w:hint="eastAsia"/>
          <w:lang w:val="en-US" w:eastAsia="zh-CN"/>
        </w:rPr>
        <w:t>科技</w:t>
      </w:r>
      <w:r>
        <w:rPr>
          <w:rFonts w:hint="default"/>
        </w:rPr>
        <w:t>股份有限公司年产摄像机模组2000万片、摄像机整机500万台、录像机主板80万片、录像机整机40万台建设项目（以下简称“该项目”）位于广州市番禺区大石街山西村西侧1号厂房1-2层和2号厂房1-2层，申报内容为</w:t>
      </w:r>
      <w:r>
        <w:rPr>
          <w:rFonts w:hint="eastAsia"/>
          <w:lang w:val="en-US" w:eastAsia="zh-CN"/>
        </w:rPr>
        <w:t>从事视听设备生产，</w:t>
      </w:r>
      <w:r>
        <w:rPr>
          <w:rFonts w:hint="default"/>
          <w:lang w:eastAsia="zh-CN"/>
        </w:rPr>
        <w:t>年产摄像机模组2000万片、摄像机整机500万台、录像机主板80万片、录像机整机40万台</w:t>
      </w:r>
      <w:r>
        <w:rPr>
          <w:rFonts w:hint="default"/>
        </w:rPr>
        <w:t>。该项目</w:t>
      </w:r>
      <w:r>
        <w:rPr>
          <w:rFonts w:hint="default"/>
          <w:lang w:val="en-US" w:eastAsia="zh-CN"/>
        </w:rPr>
        <w:t>租用2栋厂房的首层和二层，</w:t>
      </w:r>
      <w:r>
        <w:rPr>
          <w:rFonts w:hint="default"/>
        </w:rPr>
        <w:t>占地面积2235.53平方米，总建筑面积4471.06平方米；主要设备有自动烧录机</w:t>
      </w:r>
      <w:r>
        <w:rPr>
          <w:rFonts w:hint="default"/>
          <w:lang w:val="en-US" w:eastAsia="zh-CN"/>
        </w:rPr>
        <w:t>10台、上板机12台、SPI检测机12台、锡膏印刷机12台、锡膏搅拌机2台、贴片机30台、双轨氮气回流焊机6台、飞行镭雕机12台、点胶机6台、自动清洁机/自动螺丝机6台、干燥柜16台、烤箱9台、WIFI自动测试生产设备、IPC自动测试生产设备、包装设备、组装测试设备等</w:t>
      </w:r>
      <w:r>
        <w:rPr>
          <w:rFonts w:hint="default"/>
        </w:rPr>
        <w:t>；员工</w:t>
      </w:r>
      <w:r>
        <w:rPr>
          <w:rFonts w:hint="default"/>
          <w:lang w:val="en-US" w:eastAsia="zh-CN"/>
        </w:rPr>
        <w:t>500</w:t>
      </w:r>
      <w:r>
        <w:rPr>
          <w:rFonts w:hint="default"/>
        </w:rPr>
        <w:t>名，内部不安排食宿。</w:t>
      </w:r>
    </w:p>
    <w:p w14:paraId="1FC5EFC5">
      <w:pPr>
        <w:bidi w:val="0"/>
      </w:pPr>
      <w:r>
        <w:rPr>
          <w:rFonts w:hint="eastAsia"/>
        </w:rPr>
        <w:t>按照《报告表》的评价结论，在落实各项环境保护措施后，该项目产生的污染物及不良环境影响能够得到有效控制，从环境保护角度，在</w:t>
      </w:r>
      <w:r>
        <w:rPr>
          <w:rFonts w:hint="eastAsia"/>
          <w:lang w:eastAsia="zh-CN"/>
        </w:rPr>
        <w:t>现</w:t>
      </w:r>
      <w:r>
        <w:rPr>
          <w:rFonts w:hint="eastAsia"/>
        </w:rPr>
        <w:t>选址处建设可行。经审查，我局原则同意《报告表》评价结论。该项目应当按照《报告表》所述性质、规模、地点、生产工艺和环境保护措施进行建设。</w:t>
      </w:r>
    </w:p>
    <w:p w14:paraId="415765F6">
      <w:pPr>
        <w:bidi w:val="0"/>
      </w:pPr>
      <w:r>
        <w:rPr>
          <w:rFonts w:hint="eastAsia"/>
        </w:rPr>
        <w:t>二、该项目各类污染物排放控制要求如下：</w:t>
      </w:r>
    </w:p>
    <w:p w14:paraId="0B45A84B">
      <w:pPr>
        <w:bidi w:val="0"/>
      </w:pPr>
      <w:r>
        <w:rPr>
          <w:rFonts w:hint="eastAsia"/>
        </w:rPr>
        <w:t>（一）</w:t>
      </w:r>
      <w:r>
        <w:rPr>
          <w:rFonts w:hint="eastAsia"/>
          <w:lang w:eastAsia="zh-CN"/>
        </w:rPr>
        <w:t>水污染物</w:t>
      </w:r>
      <w:r>
        <w:rPr>
          <w:rFonts w:hint="eastAsia"/>
        </w:rPr>
        <w:t>排放执行广东省《水污染物排放限值》（DB44/26-2001）第二时段三级标准。生活污水排放量不超过</w:t>
      </w:r>
      <w:r>
        <w:rPr>
          <w:rFonts w:hint="eastAsia"/>
          <w:lang w:val="en-US" w:eastAsia="zh-CN"/>
        </w:rPr>
        <w:t>4500</w:t>
      </w:r>
      <w:r>
        <w:rPr>
          <w:rFonts w:hint="eastAsia"/>
        </w:rPr>
        <w:t>吨/年。</w:t>
      </w:r>
    </w:p>
    <w:p w14:paraId="369C46DE">
      <w:pPr>
        <w:bidi w:val="0"/>
        <w:rPr>
          <w:rFonts w:hint="eastAsia"/>
        </w:rPr>
      </w:pPr>
      <w:r>
        <w:rPr>
          <w:rFonts w:hint="eastAsia"/>
        </w:rPr>
        <w:t>（二）</w:t>
      </w:r>
      <w:r>
        <w:rPr>
          <w:rFonts w:hint="eastAsia"/>
          <w:lang w:val="en-US" w:eastAsia="zh-CN"/>
        </w:rPr>
        <w:t>颗粒物、锡及其化合物</w:t>
      </w:r>
      <w:r>
        <w:rPr>
          <w:rFonts w:hint="eastAsia"/>
        </w:rPr>
        <w:t>排放执行广东省《大气污染物排放限值》（DB44/27-2001）第二时段二级标准</w:t>
      </w:r>
      <w:r>
        <w:rPr>
          <w:rFonts w:hint="eastAsia"/>
          <w:lang w:eastAsia="zh-CN"/>
        </w:rPr>
        <w:t>限值</w:t>
      </w:r>
      <w:r>
        <w:rPr>
          <w:rFonts w:hint="eastAsia"/>
        </w:rPr>
        <w:t>及无组织排放监控浓度限值</w:t>
      </w:r>
      <w:r>
        <w:rPr>
          <w:rFonts w:hint="eastAsia"/>
          <w:lang w:eastAsia="zh-CN"/>
        </w:rPr>
        <w:t>；</w:t>
      </w:r>
      <w:r>
        <w:rPr>
          <w:rFonts w:hint="eastAsia"/>
          <w:lang w:val="en-US" w:eastAsia="zh-CN"/>
        </w:rPr>
        <w:t>总</w:t>
      </w:r>
      <w:r>
        <w:rPr>
          <w:rFonts w:hint="eastAsia"/>
          <w:lang w:eastAsia="zh-CN"/>
        </w:rPr>
        <w:t>挥发性有机物、</w:t>
      </w:r>
      <w:r>
        <w:rPr>
          <w:rFonts w:hint="eastAsia"/>
        </w:rPr>
        <w:t>非甲烷总烃排放执行广东省《固定污染源挥发性有机物综合排放标准》（DB44/2367-2022）表1挥发性有机物排放限值</w:t>
      </w:r>
      <w:r>
        <w:rPr>
          <w:rFonts w:hint="eastAsia"/>
          <w:lang w:eastAsia="zh-CN"/>
        </w:rPr>
        <w:t>和</w:t>
      </w:r>
      <w:r>
        <w:rPr>
          <w:rFonts w:hint="eastAsia"/>
        </w:rPr>
        <w:t>表3厂区内VOCs无组织排放限值</w:t>
      </w:r>
      <w:r>
        <w:rPr>
          <w:rFonts w:hint="eastAsia"/>
          <w:lang w:val="en-US" w:eastAsia="zh-CN"/>
        </w:rPr>
        <w:t>。</w:t>
      </w:r>
    </w:p>
    <w:p w14:paraId="53FB396B">
      <w:pPr>
        <w:bidi w:val="0"/>
      </w:pPr>
      <w:r>
        <w:rPr>
          <w:rFonts w:hint="eastAsia"/>
        </w:rPr>
        <w:t>（三）边界噪声排放执行《工业企业厂界环境噪声排放标准》（GB12348-2008）</w:t>
      </w:r>
      <w:r>
        <w:rPr>
          <w:rFonts w:hint="eastAsia"/>
          <w:lang w:val="en-US" w:eastAsia="zh-CN"/>
        </w:rPr>
        <w:t>2</w:t>
      </w:r>
      <w:r>
        <w:rPr>
          <w:rFonts w:hint="eastAsia"/>
        </w:rPr>
        <w:t>类区限值，即：昼间≤6</w:t>
      </w:r>
      <w:r>
        <w:rPr>
          <w:rFonts w:hint="eastAsia"/>
          <w:lang w:val="en-US" w:eastAsia="zh-CN"/>
        </w:rPr>
        <w:t>0dB（A）</w:t>
      </w:r>
      <w:r>
        <w:rPr>
          <w:rFonts w:hint="eastAsia"/>
        </w:rPr>
        <w:t>，夜间≤5</w:t>
      </w:r>
      <w:r>
        <w:rPr>
          <w:rFonts w:hint="eastAsia"/>
          <w:lang w:val="en-US" w:eastAsia="zh-CN"/>
        </w:rPr>
        <w:t>0dB（A）</w:t>
      </w:r>
      <w:r>
        <w:rPr>
          <w:rFonts w:hint="eastAsia"/>
        </w:rPr>
        <w:t>。</w:t>
      </w:r>
    </w:p>
    <w:p w14:paraId="0C490C48">
      <w:pPr>
        <w:bidi w:val="0"/>
      </w:pPr>
      <w:r>
        <w:rPr>
          <w:rFonts w:hint="eastAsia"/>
        </w:rPr>
        <w:t>三、该项目应当认真落实《报告表》提出的各项环境保护措施，重点做好以下工作：</w:t>
      </w:r>
    </w:p>
    <w:p w14:paraId="2F098C52">
      <w:pPr>
        <w:bidi w:val="0"/>
      </w:pPr>
      <w:r>
        <w:rPr>
          <w:rFonts w:hint="eastAsia"/>
        </w:rPr>
        <w:t>（一）排水系统采用雨污分流。生活污水</w:t>
      </w:r>
      <w:r>
        <w:rPr>
          <w:rFonts w:hint="eastAsia"/>
          <w:lang w:eastAsia="zh-CN"/>
        </w:rPr>
        <w:t>经三级化粪池预处理后</w:t>
      </w:r>
      <w:r>
        <w:rPr>
          <w:rFonts w:hint="eastAsia"/>
        </w:rPr>
        <w:t>排入市政集污管网，送</w:t>
      </w:r>
      <w:r>
        <w:rPr>
          <w:rFonts w:hint="eastAsia"/>
          <w:lang w:eastAsia="zh-CN"/>
        </w:rPr>
        <w:t>大石</w:t>
      </w:r>
      <w:r>
        <w:rPr>
          <w:rFonts w:hint="eastAsia"/>
        </w:rPr>
        <w:t>净水厂处理。项目设置</w:t>
      </w:r>
      <w:r>
        <w:rPr>
          <w:rFonts w:hint="eastAsia"/>
          <w:lang w:val="en-US" w:eastAsia="zh-CN"/>
        </w:rPr>
        <w:t>废</w:t>
      </w:r>
      <w:r>
        <w:rPr>
          <w:rFonts w:hint="eastAsia"/>
        </w:rPr>
        <w:t>水排</w:t>
      </w:r>
      <w:r>
        <w:rPr>
          <w:rFonts w:hint="eastAsia"/>
          <w:lang w:eastAsia="zh-CN"/>
        </w:rPr>
        <w:t>放</w:t>
      </w:r>
      <w:r>
        <w:rPr>
          <w:rFonts w:hint="eastAsia"/>
        </w:rPr>
        <w:t>口</w:t>
      </w:r>
      <w:r>
        <w:rPr>
          <w:rFonts w:hint="eastAsia"/>
          <w:lang w:val="en-US" w:eastAsia="zh-CN"/>
        </w:rPr>
        <w:t>1</w:t>
      </w:r>
      <w:r>
        <w:rPr>
          <w:rFonts w:hint="eastAsia"/>
        </w:rPr>
        <w:t>个。</w:t>
      </w:r>
    </w:p>
    <w:p w14:paraId="4585246B">
      <w:pPr>
        <w:bidi w:val="0"/>
        <w:rPr>
          <w:rFonts w:hint="eastAsia"/>
        </w:rPr>
      </w:pPr>
      <w:r>
        <w:rPr>
          <w:rFonts w:hint="eastAsia"/>
        </w:rPr>
        <w:t>（二）按照《固定污染源挥发性有机物综合排放标准》（DB44/2367-2022）的无组织排放控制要求落实相关措施</w:t>
      </w:r>
      <w:r>
        <w:rPr>
          <w:rFonts w:hint="eastAsia"/>
          <w:lang w:eastAsia="zh-CN"/>
        </w:rPr>
        <w:t>。</w:t>
      </w:r>
      <w:r>
        <w:rPr>
          <w:rFonts w:hint="eastAsia"/>
          <w:lang w:val="en-US" w:eastAsia="zh-CN"/>
        </w:rPr>
        <w:t>手工</w:t>
      </w:r>
      <w:r>
        <w:rPr>
          <w:rFonts w:hint="eastAsia"/>
          <w:lang w:eastAsia="zh-CN"/>
        </w:rPr>
        <w:t>焊接、回流焊、</w:t>
      </w:r>
      <w:r>
        <w:rPr>
          <w:rFonts w:hint="eastAsia"/>
          <w:lang w:val="en-US" w:eastAsia="zh-CN"/>
        </w:rPr>
        <w:t>点</w:t>
      </w:r>
      <w:r>
        <w:rPr>
          <w:rFonts w:hint="eastAsia"/>
          <w:lang w:eastAsia="zh-CN"/>
        </w:rPr>
        <w:t>胶、擦拭、清洗废气收集经“水喷淋塔+二级活性炭吸附装置”</w:t>
      </w:r>
      <w:r>
        <w:rPr>
          <w:rFonts w:hint="eastAsia"/>
          <w:lang w:val="en-US" w:eastAsia="zh-CN"/>
        </w:rPr>
        <w:t>处理后引至楼顶高空排放</w:t>
      </w:r>
      <w:r>
        <w:rPr>
          <w:rFonts w:hint="eastAsia"/>
        </w:rPr>
        <w:t>，</w:t>
      </w:r>
      <w:r>
        <w:rPr>
          <w:rFonts w:hint="eastAsia"/>
          <w:lang w:val="en-US" w:eastAsia="zh-CN"/>
        </w:rPr>
        <w:t>排放口高度不低于15米</w:t>
      </w:r>
      <w:r>
        <w:rPr>
          <w:rFonts w:hint="eastAsia"/>
        </w:rPr>
        <w:t>。</w:t>
      </w:r>
      <w:r>
        <w:rPr>
          <w:rFonts w:hint="eastAsia"/>
          <w:lang w:val="en-US" w:eastAsia="zh-CN"/>
        </w:rPr>
        <w:t>项目设置废气排放口1个</w:t>
      </w:r>
      <w:r>
        <w:rPr>
          <w:rFonts w:hint="eastAsia"/>
        </w:rPr>
        <w:t>。</w:t>
      </w:r>
    </w:p>
    <w:p w14:paraId="6FF8B4D3">
      <w:pPr>
        <w:bidi w:val="0"/>
        <w:rPr>
          <w:rFonts w:hint="eastAsia"/>
        </w:rPr>
      </w:pPr>
      <w:r>
        <w:rPr>
          <w:rFonts w:hint="eastAsia"/>
        </w:rPr>
        <w:t>加强车间边界无组织</w:t>
      </w:r>
      <w:r>
        <w:rPr>
          <w:rFonts w:hint="eastAsia"/>
          <w:lang w:eastAsia="zh-CN"/>
        </w:rPr>
        <w:t>排放</w:t>
      </w:r>
      <w:r>
        <w:rPr>
          <w:rFonts w:hint="eastAsia"/>
        </w:rPr>
        <w:t>废气的监控，确保车间边界无组织</w:t>
      </w:r>
      <w:r>
        <w:rPr>
          <w:rFonts w:hint="eastAsia"/>
          <w:lang w:eastAsia="zh-CN"/>
        </w:rPr>
        <w:t>排放</w:t>
      </w:r>
      <w:r>
        <w:rPr>
          <w:rFonts w:hint="eastAsia"/>
        </w:rPr>
        <w:t>监控点的废气达到相应标准限值的要求，监测超标时应</w:t>
      </w:r>
      <w:r>
        <w:rPr>
          <w:rFonts w:hint="eastAsia"/>
          <w:lang w:eastAsia="zh-CN"/>
        </w:rPr>
        <w:t>加强</w:t>
      </w:r>
      <w:r>
        <w:rPr>
          <w:rFonts w:hint="eastAsia"/>
        </w:rPr>
        <w:t>对无组织排放废气进行收集、净化处理。</w:t>
      </w:r>
    </w:p>
    <w:p w14:paraId="65EA7A11">
      <w:pPr>
        <w:bidi w:val="0"/>
      </w:pPr>
      <w:r>
        <w:rPr>
          <w:rFonts w:hint="eastAsia"/>
        </w:rPr>
        <w:t>（三）选用低噪声设备，合理布设生产车间，对噪声源采取隔声、减振等措施，定期检修设备。</w:t>
      </w:r>
    </w:p>
    <w:p w14:paraId="7800FED2">
      <w:pPr>
        <w:bidi w:val="0"/>
      </w:pPr>
      <w:r>
        <w:rPr>
          <w:rFonts w:hint="eastAsia"/>
        </w:rPr>
        <w:t>（四）危险性包装废弃物、废电路板、废机油、含油废抹布及手套、废无尘纸、废活性炭、废洗板水、废UV灯管、喷淋废水等</w:t>
      </w:r>
      <w:r>
        <w:rPr>
          <w:rFonts w:hint="eastAsia"/>
          <w:lang w:val="en-US" w:eastAsia="zh-CN"/>
        </w:rPr>
        <w:t>属于</w:t>
      </w:r>
      <w:r>
        <w:rPr>
          <w:rFonts w:hint="eastAsia"/>
        </w:rPr>
        <w:t>危险废物</w:t>
      </w:r>
      <w:r>
        <w:rPr>
          <w:rFonts w:hint="eastAsia"/>
          <w:lang w:val="en-US" w:eastAsia="zh-CN"/>
        </w:rPr>
        <w:t>的</w:t>
      </w:r>
      <w:r>
        <w:rPr>
          <w:rFonts w:hint="eastAsia"/>
        </w:rPr>
        <w:t>须设置符合《危险废物贮存污染控制标准》（GB18597-20</w:t>
      </w:r>
      <w:r>
        <w:rPr>
          <w:rFonts w:hint="eastAsia"/>
          <w:lang w:val="en-US" w:eastAsia="zh-CN"/>
        </w:rPr>
        <w:t>23</w:t>
      </w:r>
      <w:r>
        <w:rPr>
          <w:rFonts w:hint="eastAsia"/>
        </w:rPr>
        <w:t>）要求的专用贮存场所存放并委托具备危险废物处理资质的机构处理。</w:t>
      </w:r>
    </w:p>
    <w:p w14:paraId="16EB1A3D">
      <w:pPr>
        <w:bidi w:val="0"/>
      </w:pPr>
      <w:r>
        <w:rPr>
          <w:rFonts w:hint="eastAsia"/>
        </w:rPr>
        <w:t>四、该项目的性质、规模、地点、采用的生产工艺或者防治污染、防止生态破坏的措施发生重大变动的，你单位应当重新报批环境影响评价文件。</w:t>
      </w:r>
    </w:p>
    <w:p w14:paraId="3698EAE2">
      <w:pPr>
        <w:bidi w:val="0"/>
        <w:rPr>
          <w:rFonts w:hint="eastAsia"/>
        </w:rPr>
      </w:pPr>
      <w:r>
        <w:rPr>
          <w:rFonts w:hint="eastAsia"/>
          <w:lang w:eastAsia="zh-CN"/>
        </w:rPr>
        <w:t>五</w:t>
      </w:r>
      <w:r>
        <w:rPr>
          <w:rFonts w:hint="eastAsia"/>
        </w:rPr>
        <w:t>、该项目建设应严格执行配套建设的环境保护设施与主体工程同时设计、同时施工、同时投产使用的环境保护“三同时”制度，具体要求如下：</w:t>
      </w:r>
    </w:p>
    <w:p w14:paraId="6A4ED8A6">
      <w:pPr>
        <w:bidi w:val="0"/>
        <w:rPr>
          <w:rFonts w:hint="eastAsia"/>
        </w:rPr>
      </w:pPr>
      <w:r>
        <w:rPr>
          <w:rFonts w:hint="eastAsia"/>
        </w:rPr>
        <w:t>（一）项目竣工后，你单位应按规定申请取得排污许可证或填报排污登记表，并按照规定的标准、程序和时限，对配套建设的环境保护设施进行验收，编制验收报告，依法向社会公开。</w:t>
      </w:r>
    </w:p>
    <w:p w14:paraId="5B28F57E">
      <w:pPr>
        <w:bidi w:val="0"/>
      </w:pPr>
      <w:r>
        <w:rPr>
          <w:rFonts w:hint="eastAsia"/>
        </w:rPr>
        <w:t>（二）项目配套建设的环境保护设施经验收合格后，方可投入生产或者使用。</w:t>
      </w:r>
    </w:p>
    <w:p w14:paraId="099119A0">
      <w:pPr>
        <w:bidi w:val="0"/>
      </w:pPr>
      <w:r>
        <w:rPr>
          <w:rFonts w:hint="eastAsia"/>
          <w:lang w:eastAsia="zh-CN"/>
        </w:rPr>
        <w:t>六</w:t>
      </w:r>
      <w:r>
        <w:rPr>
          <w:rFonts w:hint="eastAsia"/>
        </w:rPr>
        <w:t>、该项目建设和运行过程中如涉及规划、土地利用、建设、水务、消防、安全等问题，应遵照相关法律法规要求到相应的行政主管部门办理有关手续。</w:t>
      </w:r>
    </w:p>
    <w:p w14:paraId="44B495D4">
      <w:pPr>
        <w:bidi w:val="0"/>
        <w:rPr>
          <w:rFonts w:hint="eastAsia"/>
        </w:rPr>
      </w:pPr>
      <w:r>
        <w:rPr>
          <w:rFonts w:hint="eastAsia"/>
          <w:lang w:eastAsia="zh-CN"/>
        </w:rPr>
        <w:t>七</w:t>
      </w:r>
      <w:r>
        <w:rPr>
          <w:rFonts w:hint="eastAsia"/>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720AEF1E">
      <w:pPr>
        <w:bidi w:val="0"/>
        <w:rPr>
          <w:rFonts w:hint="eastAsia"/>
        </w:rPr>
      </w:pPr>
      <w:r>
        <w:rPr>
          <w:rFonts w:hint="eastAsia"/>
          <w:lang w:val="en-US" w:eastAsia="zh-CN"/>
        </w:rPr>
        <w:t>八</w:t>
      </w:r>
      <w:r>
        <w:rPr>
          <w:rFonts w:hint="eastAsia"/>
        </w:rPr>
        <w:t>、自本批复批准之日起，原批复文件穗环管影（番）〔2022〕128号、穗环管影（番）〔2024〕92号同时废止。</w:t>
      </w:r>
    </w:p>
    <w:p w14:paraId="2426F09B">
      <w:pPr>
        <w:keepNext w:val="0"/>
        <w:keepLines w:val="0"/>
        <w:pageBreakBefore w:val="0"/>
        <w:kinsoku/>
        <w:overflowPunct/>
        <w:topLinePunct w:val="0"/>
        <w:autoSpaceDE/>
        <w:autoSpaceDN/>
        <w:bidi w:val="0"/>
        <w:spacing w:line="560" w:lineRule="exact"/>
        <w:ind w:firstLine="0" w:firstLineChars="0"/>
        <w:textAlignment w:val="auto"/>
        <w:rPr>
          <w:rFonts w:ascii="仿宋_GB2312" w:eastAsia="仿宋_GB2312"/>
          <w:color w:val="000000" w:themeColor="text1"/>
          <w:sz w:val="32"/>
          <w:szCs w:val="32"/>
          <w14:textFill>
            <w14:solidFill>
              <w14:schemeClr w14:val="tx1"/>
            </w14:solidFill>
          </w14:textFill>
        </w:rPr>
      </w:pPr>
    </w:p>
    <w:p w14:paraId="1864091A">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3B60468D">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广州市生态环境局</w:t>
      </w:r>
    </w:p>
    <w:p w14:paraId="652E8AE0">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lang w:val="en-US" w:eastAsia="zh-CN"/>
          <w14:textFill>
            <w14:solidFill>
              <w14:schemeClr w14:val="tx1"/>
            </w14:solidFill>
          </w14:textFill>
        </w:rPr>
        <w:t>25</w:t>
      </w:r>
      <w:r>
        <w:rPr>
          <w:rFonts w:hint="eastAsia" w:ascii="仿宋_GB2312" w:eastAsia="仿宋_GB2312"/>
          <w:color w:val="000000" w:themeColor="text1"/>
          <w:sz w:val="32"/>
          <w:szCs w:val="32"/>
          <w14:textFill>
            <w14:solidFill>
              <w14:schemeClr w14:val="tx1"/>
            </w14:solidFill>
          </w14:textFill>
        </w:rPr>
        <w:t>年</w:t>
      </w:r>
      <w:r>
        <w:rPr>
          <w:rFonts w:hint="eastAsia" w:ascii="仿宋_GB2312" w:eastAsia="仿宋_GB2312"/>
          <w:color w:val="000000" w:themeColor="text1"/>
          <w:sz w:val="32"/>
          <w:szCs w:val="32"/>
          <w:lang w:val="en-US" w:eastAsia="zh-CN"/>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月</w:t>
      </w:r>
      <w:r>
        <w:rPr>
          <w:rFonts w:hint="eastAsia"/>
          <w:color w:val="000000" w:themeColor="text1"/>
          <w:sz w:val="32"/>
          <w:szCs w:val="32"/>
          <w:lang w:val="en-US" w:eastAsia="zh-CN"/>
          <w14:textFill>
            <w14:solidFill>
              <w14:schemeClr w14:val="tx1"/>
            </w14:solidFill>
          </w14:textFill>
        </w:rPr>
        <w:t>15</w:t>
      </w:r>
      <w:r>
        <w:rPr>
          <w:rFonts w:hint="eastAsia" w:ascii="仿宋_GB2312" w:eastAsia="仿宋_GB2312"/>
          <w:color w:val="000000" w:themeColor="text1"/>
          <w:sz w:val="32"/>
          <w:szCs w:val="32"/>
          <w14:textFill>
            <w14:solidFill>
              <w14:schemeClr w14:val="tx1"/>
            </w14:solidFill>
          </w14:textFill>
        </w:rPr>
        <w:t>日</w:t>
      </w:r>
    </w:p>
    <w:p w14:paraId="5EF5AD72">
      <w:pPr>
        <w:keepNext w:val="0"/>
        <w:keepLines w:val="0"/>
        <w:pageBreakBefore w:val="0"/>
        <w:kinsoku/>
        <w:overflowPunct/>
        <w:topLinePunct w:val="0"/>
        <w:autoSpaceDE/>
        <w:autoSpaceDN/>
        <w:bidi w:val="0"/>
        <w:spacing w:line="560" w:lineRule="exact"/>
        <w:ind w:firstLine="0" w:firstLineChars="0"/>
        <w:textAlignment w:val="auto"/>
        <w:rPr>
          <w:rFonts w:ascii="仿宋_GB2312" w:eastAsia="仿宋_GB2312"/>
          <w:color w:val="000000" w:themeColor="text1"/>
          <w:sz w:val="32"/>
          <w:szCs w:val="32"/>
          <w14:textFill>
            <w14:solidFill>
              <w14:schemeClr w14:val="tx1"/>
            </w14:solidFill>
          </w14:textFill>
        </w:rPr>
      </w:pPr>
    </w:p>
    <w:p w14:paraId="6264FFE9">
      <w:pPr>
        <w:keepNext w:val="0"/>
        <w:keepLines w:val="0"/>
        <w:pageBreakBefore w:val="0"/>
        <w:kinsoku/>
        <w:overflowPunct/>
        <w:topLinePunct w:val="0"/>
        <w:autoSpaceDE/>
        <w:autoSpaceDN/>
        <w:bidi w:val="0"/>
        <w:spacing w:line="560" w:lineRule="exact"/>
        <w:ind w:firstLine="0" w:firstLineChars="0"/>
        <w:textAlignment w:val="auto"/>
        <w:rPr>
          <w:rFonts w:ascii="仿宋_GB2312" w:eastAsia="仿宋_GB2312"/>
          <w:color w:val="000000" w:themeColor="text1"/>
          <w:sz w:val="32"/>
          <w:szCs w:val="32"/>
          <w14:textFill>
            <w14:solidFill>
              <w14:schemeClr w14:val="tx1"/>
            </w14:solidFill>
          </w14:textFill>
        </w:rPr>
      </w:pPr>
    </w:p>
    <w:p w14:paraId="30E2DDC2">
      <w:pPr>
        <w:keepNext w:val="0"/>
        <w:keepLines w:val="0"/>
        <w:pageBreakBefore w:val="0"/>
        <w:kinsoku/>
        <w:overflowPunct/>
        <w:topLinePunct w:val="0"/>
        <w:autoSpaceDE/>
        <w:autoSpaceDN/>
        <w:bidi w:val="0"/>
        <w:spacing w:line="560" w:lineRule="exact"/>
        <w:ind w:firstLine="0" w:firstLineChars="0"/>
        <w:textAlignment w:val="auto"/>
        <w:rPr>
          <w:rFonts w:ascii="仿宋_GB2312" w:eastAsia="仿宋_GB2312"/>
          <w:color w:val="000000" w:themeColor="text1"/>
          <w:sz w:val="32"/>
          <w:szCs w:val="32"/>
          <w14:textFill>
            <w14:solidFill>
              <w14:schemeClr w14:val="tx1"/>
            </w14:solidFill>
          </w14:textFill>
        </w:rPr>
      </w:pPr>
    </w:p>
    <w:p w14:paraId="1CDD1693">
      <w:pPr>
        <w:keepNext w:val="0"/>
        <w:keepLines w:val="0"/>
        <w:pageBreakBefore w:val="0"/>
        <w:kinsoku/>
        <w:overflowPunct/>
        <w:topLinePunct w:val="0"/>
        <w:autoSpaceDE/>
        <w:autoSpaceDN/>
        <w:bidi w:val="0"/>
        <w:spacing w:line="560" w:lineRule="exact"/>
        <w:ind w:firstLine="0" w:firstLineChars="0"/>
        <w:textAlignment w:val="auto"/>
        <w:rPr>
          <w:rFonts w:ascii="仿宋_GB2312" w:eastAsia="仿宋_GB2312"/>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公开方式：</w:t>
      </w:r>
      <w:r>
        <w:rPr>
          <w:rFonts w:hint="eastAsia" w:ascii="仿宋_GB2312" w:eastAsia="仿宋_GB2312"/>
          <w:color w:val="000000" w:themeColor="text1"/>
          <w:sz w:val="32"/>
          <w:szCs w:val="32"/>
          <w14:textFill>
            <w14:solidFill>
              <w14:schemeClr w14:val="tx1"/>
            </w14:solidFill>
          </w14:textFill>
        </w:rPr>
        <w:t>主动公开</w:t>
      </w:r>
    </w:p>
    <w:p w14:paraId="3E687E82">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01DDD72F">
      <w:pPr>
        <w:adjustRightInd/>
        <w:spacing w:line="560" w:lineRule="exact"/>
        <w:ind w:left="1354" w:leftChars="201" w:hanging="711" w:hangingChars="254"/>
      </w:pPr>
      <w:r>
        <w:rPr>
          <w:rFonts w:hint="eastAsia" w:ascii="仿宋_GB2312" w:hAnsi="Calibri" w:eastAsia="仿宋_GB2312" w:cs="Times New Roman"/>
          <w:color w:val="auto"/>
          <w:sz w:val="28"/>
          <w:szCs w:val="28"/>
        </w:rPr>
        <w:t>抄送：广州市生态环境局番禺分局执法</w:t>
      </w:r>
      <w:r>
        <w:rPr>
          <w:rFonts w:hint="eastAsia" w:ascii="仿宋_GB2312" w:hAnsi="Calibri" w:eastAsia="仿宋_GB2312" w:cs="Times New Roman"/>
          <w:color w:val="auto"/>
          <w:sz w:val="28"/>
          <w:szCs w:val="28"/>
          <w:lang w:val="en-US" w:eastAsia="zh-CN"/>
        </w:rPr>
        <w:t>一</w:t>
      </w:r>
      <w:r>
        <w:rPr>
          <w:rFonts w:hint="eastAsia" w:ascii="仿宋_GB2312" w:hAnsi="Calibri" w:eastAsia="仿宋_GB2312" w:cs="Times New Roman"/>
          <w:color w:val="auto"/>
          <w:sz w:val="28"/>
          <w:szCs w:val="28"/>
        </w:rPr>
        <w:t>科、</w:t>
      </w:r>
      <w:r>
        <w:rPr>
          <w:rFonts w:hint="eastAsia" w:ascii="仿宋_GB2312" w:hAnsi="Calibri" w:eastAsia="仿宋_GB2312" w:cs="Times New Roman"/>
          <w:color w:val="auto"/>
          <w:sz w:val="28"/>
          <w:szCs w:val="28"/>
          <w:lang w:eastAsia="zh-CN"/>
        </w:rPr>
        <w:t>番禺</w:t>
      </w:r>
      <w:r>
        <w:rPr>
          <w:rFonts w:hint="eastAsia" w:ascii="仿宋_GB2312" w:hAnsi="Calibri" w:eastAsia="仿宋_GB2312" w:cs="Times New Roman"/>
          <w:color w:val="auto"/>
          <w:sz w:val="28"/>
          <w:szCs w:val="28"/>
        </w:rPr>
        <w:t>第</w:t>
      </w:r>
      <w:r>
        <w:rPr>
          <w:rFonts w:hint="eastAsia" w:ascii="仿宋_GB2312" w:hAnsi="Calibri" w:eastAsia="仿宋_GB2312" w:cs="Times New Roman"/>
          <w:color w:val="auto"/>
          <w:sz w:val="28"/>
          <w:szCs w:val="28"/>
          <w:lang w:val="en-US" w:eastAsia="zh-CN"/>
        </w:rPr>
        <w:t>二</w:t>
      </w:r>
      <w:r>
        <w:rPr>
          <w:rFonts w:hint="eastAsia" w:ascii="仿宋_GB2312" w:hAnsi="Calibri" w:eastAsia="仿宋_GB2312" w:cs="Times New Roman"/>
          <w:color w:val="auto"/>
          <w:sz w:val="28"/>
          <w:szCs w:val="28"/>
        </w:rPr>
        <w:t>环保所，广州市番禺环境科学研究所有限公司</w:t>
      </w:r>
      <w:r>
        <w:rPr>
          <w:rFonts w:hint="eastAsia" w:hAnsi="Calibri" w:cs="Times New Roman"/>
          <w:color w:val="auto"/>
          <w:sz w:val="28"/>
          <w:szCs w:val="28"/>
          <w:lang w:eastAsia="zh-CN"/>
        </w:rPr>
        <w:t>。</w:t>
      </w:r>
    </w:p>
    <w:sectPr>
      <w:footerReference r:id="rId5" w:type="default"/>
      <w:footerReference r:id="rId6" w:type="even"/>
      <w:pgSz w:w="11906" w:h="16838"/>
      <w:pgMar w:top="1588" w:right="1474" w:bottom="1134" w:left="1588" w:header="851" w:footer="624" w:gutter="0"/>
      <w:cols w:space="425" w:num="1"/>
      <w:titlePg/>
      <w:docGrid w:type="lines" w:linePitch="613" w:charSpace="2167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新宋体-1803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公文小标宋简">
    <w:altName w:val="宋体"/>
    <w:panose1 w:val="02010609010101010101"/>
    <w:charset w:val="86"/>
    <w:family w:val="moder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5DC91">
    <w:pPr>
      <w:pStyle w:val="7"/>
      <w:framePr w:wrap="around" w:vAnchor="text" w:hAnchor="margin" w:xAlign="outside" w:y="1"/>
      <w:rPr>
        <w:rStyle w:val="10"/>
        <w:rFonts w:ascii="宋体" w:hAnsi="宋体"/>
        <w:sz w:val="28"/>
        <w:szCs w:val="28"/>
      </w:rPr>
    </w:pPr>
    <w:r>
      <w:rPr>
        <w:rStyle w:val="10"/>
        <w:rFonts w:hint="eastAsia" w:ascii="宋体" w:hAnsi="宋体"/>
        <w:sz w:val="28"/>
        <w:szCs w:val="28"/>
      </w:rPr>
      <w:t xml:space="preserve">— </w:t>
    </w: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rPr>
      <w:t>3</w:t>
    </w:r>
    <w:r>
      <w:rPr>
        <w:rStyle w:val="10"/>
        <w:rFonts w:ascii="宋体" w:hAnsi="宋体"/>
        <w:sz w:val="28"/>
        <w:szCs w:val="28"/>
      </w:rPr>
      <w:fldChar w:fldCharType="end"/>
    </w:r>
    <w:r>
      <w:rPr>
        <w:rStyle w:val="10"/>
        <w:rFonts w:hint="eastAsia" w:ascii="宋体" w:hAnsi="宋体"/>
        <w:sz w:val="28"/>
        <w:szCs w:val="28"/>
      </w:rPr>
      <w:t xml:space="preserve"> —</w:t>
    </w:r>
  </w:p>
  <w:p w14:paraId="48DE3797">
    <w:pPr>
      <w:pStyle w:val="7"/>
      <w:ind w:right="360" w:firstLine="360"/>
      <w:jc w:val="center"/>
      <w:rPr>
        <w:rFonts w:ascii="Times New Roman" w:hAnsi="Times New Roman"/>
        <w:sz w:val="28"/>
        <w:szCs w:val="28"/>
      </w:rPr>
    </w:pPr>
  </w:p>
  <w:p w14:paraId="3B967C6C">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2ED8E">
    <w:pPr>
      <w:pStyle w:val="7"/>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14:paraId="4AA547C0">
    <w:pPr>
      <w:pStyle w:val="7"/>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793BE7"/>
    <w:rsid w:val="03D46C40"/>
    <w:rsid w:val="0FC803F4"/>
    <w:rsid w:val="128B2877"/>
    <w:rsid w:val="16FC339B"/>
    <w:rsid w:val="450A0068"/>
    <w:rsid w:val="595F3722"/>
    <w:rsid w:val="6A2A745E"/>
    <w:rsid w:val="75342E5D"/>
    <w:rsid w:val="78793B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1670" w:firstLineChars="200"/>
      <w:jc w:val="both"/>
    </w:pPr>
    <w:rPr>
      <w:rFonts w:ascii="仿宋_GB2312" w:hAnsi="仿宋_GB2312" w:eastAsia="仿宋_GB2312" w:cs="楷体_GB2312"/>
      <w:kern w:val="2"/>
      <w:sz w:val="32"/>
      <w:szCs w:val="32"/>
      <w:lang w:val="en-US" w:eastAsia="zh-CN" w:bidi="ar-SA"/>
    </w:rPr>
  </w:style>
  <w:style w:type="paragraph" w:styleId="2">
    <w:name w:val="heading 1"/>
    <w:basedOn w:val="3"/>
    <w:next w:val="3"/>
    <w:qFormat/>
    <w:uiPriority w:val="0"/>
    <w:pPr>
      <w:keepNext/>
      <w:keepLines/>
      <w:spacing w:before="0" w:beforeLines="0" w:beforeAutospacing="0" w:after="0" w:afterLines="0" w:afterAutospacing="0" w:line="560" w:lineRule="exact"/>
      <w:ind w:firstLine="0" w:firstLineChars="0"/>
      <w:outlineLvl w:val="0"/>
    </w:pPr>
    <w:rPr>
      <w:rFonts w:ascii="方正小标宋简体" w:hAnsi="方正小标宋简体" w:eastAsia="方正小标宋简体" w:cs="方正小标宋简体"/>
      <w:b w:val="0"/>
      <w:kern w:val="44"/>
      <w:sz w:val="44"/>
      <w:szCs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4">
    <w:name w:val="Body Text"/>
    <w:basedOn w:val="1"/>
    <w:next w:val="5"/>
    <w:qFormat/>
    <w:uiPriority w:val="0"/>
    <w:pPr>
      <w:spacing w:after="120"/>
    </w:pPr>
    <w:rPr>
      <w:rFonts w:ascii="Calibri" w:hAnsi="Calibri" w:eastAsia="宋体" w:cs="Times New Roman"/>
    </w:rPr>
  </w:style>
  <w:style w:type="paragraph" w:customStyle="1" w:styleId="5">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6">
    <w:name w:val="Plain Text"/>
    <w:basedOn w:val="1"/>
    <w:qFormat/>
    <w:uiPriority w:val="0"/>
    <w:rPr>
      <w:rFonts w:ascii="宋体" w:hAnsi="Courier New"/>
      <w:szCs w:val="21"/>
    </w:rPr>
  </w:style>
  <w:style w:type="paragraph" w:styleId="7">
    <w:name w:val="footer"/>
    <w:basedOn w:val="1"/>
    <w:unhideWhenUsed/>
    <w:qFormat/>
    <w:uiPriority w:val="99"/>
    <w:pPr>
      <w:tabs>
        <w:tab w:val="center" w:pos="4153"/>
        <w:tab w:val="right" w:pos="8306"/>
      </w:tabs>
      <w:snapToGrid w:val="0"/>
      <w:jc w:val="left"/>
    </w:pPr>
    <w:rPr>
      <w:sz w:val="18"/>
      <w:szCs w:val="18"/>
    </w:rPr>
  </w:style>
  <w:style w:type="character" w:styleId="10">
    <w:name w:val="page number"/>
    <w:basedOn w:val="9"/>
    <w:qFormat/>
    <w:uiPriority w:val="0"/>
  </w:style>
  <w:style w:type="paragraph" w:customStyle="1" w:styleId="11">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
    <w:name w:val="font4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区委办</Company>
  <Pages>4</Pages>
  <Words>1914</Words>
  <Characters>2107</Characters>
  <Lines>0</Lines>
  <Paragraphs>0</Paragraphs>
  <TotalTime>33</TotalTime>
  <ScaleCrop>false</ScaleCrop>
  <LinksUpToDate>false</LinksUpToDate>
  <CharactersWithSpaces>2155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2025-08-07T08:17:00Z</dcterms:created>
  <dc:creator>圆圈圈儿 ࿔</dc:creator>
  <cp:lastModifiedBy>圆圈圈儿 ࿔</cp:lastModifiedBy>
  <dcterms:modified xsi:type="dcterms:W3CDTF">2025-08-15T07:21:01Z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0E6951B332B845029D239261AFCC4172_13</vt:lpwstr>
  </property>
  <property fmtid="{D5CDD505-2E9C-101B-9397-08002B2CF9AE}" pid="4" name="KSOTemplateDocerSaveRecord">
    <vt:lpwstr>eyJoZGlkIjoiODdkOTNkZGUwYWU4YWU0YzViNWEwNmQ1ODczOTg2ZTkiLCJ1c2VySWQiOiIxNzIzMDIxNzY5In0=</vt:lpwstr>
  </property>
</Properties>
</file>