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50E96A">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hint="eastAsia" w:ascii="仿宋_GB2312"/>
          <w:color w:val="auto"/>
        </w:rPr>
      </w:pPr>
    </w:p>
    <w:p w14:paraId="3E878044">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hint="eastAsia" w:ascii="仿宋_GB2312"/>
          <w:color w:val="auto"/>
        </w:rPr>
      </w:pPr>
    </w:p>
    <w:p w14:paraId="1AA5779C">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auto"/>
        </w:rPr>
      </w:pPr>
      <w:bookmarkStart w:id="0" w:name="_GoBack"/>
      <w:bookmarkEnd w:id="0"/>
      <w:r>
        <w:rPr>
          <w:rFonts w:hint="eastAsia" w:ascii="仿宋_GB2312"/>
          <w:color w:val="auto"/>
        </w:rPr>
        <w:t xml:space="preserve">                              </w:t>
      </w: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104</w:t>
      </w:r>
      <w:r>
        <w:rPr>
          <w:rFonts w:hint="eastAsia" w:ascii="仿宋_GB2312" w:eastAsia="仿宋_GB2312"/>
          <w:color w:val="auto"/>
          <w:sz w:val="32"/>
          <w:szCs w:val="32"/>
        </w:rPr>
        <w:t>号</w:t>
      </w:r>
    </w:p>
    <w:p w14:paraId="0D9D23AD">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0AC8BEF1">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auto"/>
        </w:rPr>
      </w:pPr>
    </w:p>
    <w:p w14:paraId="48CF0F7D">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广州市生态环境局关于广州亚俊氏真空科技</w:t>
      </w:r>
    </w:p>
    <w:p w14:paraId="005B6EB6">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股份有限公司第三次改扩建项目</w:t>
      </w:r>
    </w:p>
    <w:p w14:paraId="03173BE7">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rPr>
        <w:t>环境影响报告表的批复</w:t>
      </w:r>
    </w:p>
    <w:p w14:paraId="00880D9C">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BBAC0A4">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rPr>
      </w:pPr>
      <w:r>
        <w:rPr>
          <w:rFonts w:hint="eastAsia" w:ascii="仿宋_GB2312" w:eastAsia="仿宋_GB2312"/>
          <w:color w:val="auto"/>
          <w:sz w:val="32"/>
          <w:szCs w:val="32"/>
        </w:rPr>
        <w:t>广州亚俊氏真空科技股份有限公司（914401016659454205）：</w:t>
      </w:r>
    </w:p>
    <w:p w14:paraId="06F9824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你单位报送的《广州亚俊氏真空科技股份有限公司第三次改扩建项目环境影响报告表》（以下简称《报告表》）及附送资料收悉。经研究，现批复如下：</w:t>
      </w:r>
    </w:p>
    <w:p w14:paraId="6234E81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一、广州亚俊氏真空科技股份有限公司第三次改扩建项目（以下简称“该项目”）位于广州市番禺区南村镇启业路1号，申报内容为</w:t>
      </w:r>
      <w:r>
        <w:rPr>
          <w:rFonts w:hint="eastAsia" w:ascii="仿宋_GB2312" w:eastAsia="仿宋_GB2312"/>
          <w:color w:val="auto"/>
          <w:sz w:val="32"/>
          <w:szCs w:val="32"/>
          <w:lang w:val="en-US" w:eastAsia="zh-CN"/>
        </w:rPr>
        <w:t>调整生产布局</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新增注塑生产线、注塑模具加工生产线、亚克力真空盖生产线；真空包装机和恒温加热器生产线及产能不变；取消食物低温处理器、真空包装袋的生产线；原占地面积、建筑面积、员工数量均不变。该项目年增产注塑模具300套、塑料零配件30万套、亚克力真空盖20万套，仅供真空包装机和恒温加热器配套使用；新增</w:t>
      </w:r>
      <w:r>
        <w:rPr>
          <w:rFonts w:hint="eastAsia" w:ascii="仿宋_GB2312" w:eastAsia="仿宋_GB2312"/>
          <w:color w:val="auto"/>
          <w:sz w:val="32"/>
          <w:szCs w:val="32"/>
        </w:rPr>
        <w:t>主要设备有</w:t>
      </w:r>
      <w:r>
        <w:rPr>
          <w:rFonts w:hint="eastAsia" w:ascii="仿宋_GB2312" w:eastAsia="仿宋_GB2312"/>
          <w:color w:val="auto"/>
          <w:sz w:val="32"/>
          <w:szCs w:val="32"/>
          <w:lang w:val="en-US" w:eastAsia="zh-CN"/>
        </w:rPr>
        <w:t>注塑机15台、碎料机5台、混色机2台、数控CNC 2台、火花机3台、开料机1台、电烤箱2台、顶包定型机2台及其他设备一批等；</w:t>
      </w:r>
      <w:r>
        <w:rPr>
          <w:rFonts w:hint="eastAsia" w:ascii="仿宋_GB2312" w:eastAsia="仿宋_GB2312"/>
          <w:color w:val="auto"/>
          <w:sz w:val="32"/>
          <w:szCs w:val="32"/>
        </w:rPr>
        <w:t>注塑</w:t>
      </w:r>
      <w:r>
        <w:rPr>
          <w:rFonts w:hint="eastAsia" w:ascii="仿宋_GB2312" w:eastAsia="仿宋_GB2312"/>
          <w:color w:val="auto"/>
          <w:sz w:val="32"/>
          <w:szCs w:val="32"/>
          <w:lang w:val="en-US" w:eastAsia="zh-CN"/>
        </w:rPr>
        <w:t>工序</w:t>
      </w:r>
      <w:r>
        <w:rPr>
          <w:rFonts w:hint="eastAsia" w:ascii="仿宋_GB2312" w:eastAsia="仿宋_GB2312"/>
          <w:color w:val="auto"/>
          <w:sz w:val="32"/>
          <w:szCs w:val="32"/>
        </w:rPr>
        <w:t>只使用</w:t>
      </w:r>
      <w:r>
        <w:rPr>
          <w:rFonts w:hint="eastAsia" w:ascii="仿宋_GB2312" w:eastAsia="仿宋_GB2312"/>
          <w:color w:val="auto"/>
          <w:sz w:val="32"/>
          <w:szCs w:val="32"/>
          <w:lang w:val="en-US" w:eastAsia="zh-CN"/>
        </w:rPr>
        <w:t>PP塑料、PE塑料、PPO塑料</w:t>
      </w:r>
      <w:r>
        <w:rPr>
          <w:rFonts w:hint="eastAsia" w:ascii="仿宋_GB2312" w:eastAsia="仿宋_GB2312"/>
          <w:color w:val="auto"/>
          <w:sz w:val="32"/>
          <w:szCs w:val="32"/>
        </w:rPr>
        <w:t>，不使用再生塑料。</w:t>
      </w:r>
    </w:p>
    <w:p w14:paraId="0B64A3C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项目产生的污染物及不良环境影响能够得到有效控制，从环境保护角度，在拟选址处建设可行。经审查，我局原则同意《报告表》评价结论。该项目应当按照《报告表》所述性质、规模、地点、生产工艺和环境保护措施进行建设。</w:t>
      </w:r>
    </w:p>
    <w:p w14:paraId="655CFE1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5C2993F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rPr>
        <w:t>（</w:t>
      </w:r>
      <w:r>
        <w:rPr>
          <w:rFonts w:hint="eastAsia" w:ascii="仿宋_GB2312" w:eastAsia="仿宋_GB2312"/>
          <w:color w:val="auto"/>
          <w:sz w:val="32"/>
          <w:szCs w:val="32"/>
          <w:lang w:val="en-US" w:eastAsia="zh-CN"/>
        </w:rPr>
        <w:t>一</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颗粒物</w:t>
      </w:r>
      <w:r>
        <w:rPr>
          <w:rFonts w:hint="eastAsia" w:ascii="仿宋_GB2312" w:eastAsia="仿宋_GB2312"/>
          <w:color w:val="auto"/>
          <w:sz w:val="32"/>
          <w:szCs w:val="32"/>
        </w:rPr>
        <w:t>排放执行广东省《大气污染物排放限值》（DB44/27-2001）第二时段无组织排放监控浓度限值。臭气浓度排放执行《恶臭污染物排放标准》（GB14554-93）表1厂界新扩改建二级标准限值和表2排放标准值</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非甲烷总烃排放执行</w:t>
      </w:r>
      <w:r>
        <w:rPr>
          <w:rFonts w:hint="eastAsia" w:ascii="仿宋_GB2312" w:eastAsia="仿宋_GB2312"/>
          <w:color w:val="auto"/>
          <w:sz w:val="32"/>
          <w:szCs w:val="32"/>
        </w:rPr>
        <w:t>《合成树脂工业污染物排放标准》（GB 31572-2015及2024年修改单）表5大气污染物特别排放限值</w:t>
      </w:r>
      <w:r>
        <w:rPr>
          <w:rFonts w:ascii="仿宋_GB2312" w:eastAsia="仿宋_GB2312"/>
          <w:color w:val="auto"/>
          <w:sz w:val="32"/>
          <w:szCs w:val="32"/>
        </w:rPr>
        <w:t>。</w:t>
      </w:r>
      <w:r>
        <w:rPr>
          <w:rFonts w:hint="eastAsia" w:ascii="仿宋_GB2312" w:eastAsia="仿宋_GB2312"/>
          <w:color w:val="auto"/>
          <w:sz w:val="32"/>
          <w:szCs w:val="32"/>
        </w:rPr>
        <w:t>厂区内非甲烷总烃排放执行广东省《固定污染</w:t>
      </w:r>
      <w:r>
        <w:rPr>
          <w:rFonts w:hint="eastAsia" w:ascii="仿宋_GB2312" w:eastAsia="仿宋_GB2312" w:cs="Times New Roman"/>
          <w:color w:val="auto"/>
          <w:sz w:val="32"/>
          <w:szCs w:val="32"/>
        </w:rPr>
        <w:t>源挥发性有机物综合排放标准》（DB44/2367-2022）表3厂区内VOCs无组织排放限值</w:t>
      </w:r>
      <w:r>
        <w:rPr>
          <w:rFonts w:hint="eastAsia" w:ascii="仿宋_GB2312" w:eastAsia="仿宋_GB2312" w:cs="Times New Roman"/>
          <w:color w:val="auto"/>
          <w:sz w:val="32"/>
          <w:szCs w:val="32"/>
          <w:lang w:eastAsia="zh-CN"/>
        </w:rPr>
        <w:t>。</w:t>
      </w:r>
      <w:r>
        <w:rPr>
          <w:rFonts w:hint="eastAsia" w:ascii="仿宋_GB2312" w:eastAsia="仿宋_GB2312"/>
          <w:color w:val="auto"/>
          <w:sz w:val="32"/>
          <w:szCs w:val="32"/>
          <w:lang w:val="en-US" w:eastAsia="zh-CN"/>
        </w:rPr>
        <w:t>总体项目挥发性有机物排放量不超过0.497吨/年。</w:t>
      </w:r>
    </w:p>
    <w:p w14:paraId="1C45200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w:t>
      </w:r>
      <w:r>
        <w:rPr>
          <w:rFonts w:hint="eastAsia" w:ascii="仿宋_GB2312" w:eastAsia="仿宋_GB2312"/>
          <w:color w:val="auto"/>
          <w:sz w:val="32"/>
          <w:szCs w:val="32"/>
          <w:lang w:eastAsia="zh-CN"/>
        </w:rPr>
        <w:t>二</w:t>
      </w:r>
      <w:r>
        <w:rPr>
          <w:rFonts w:hint="eastAsia" w:ascii="仿宋_GB2312" w:eastAsia="仿宋_GB2312"/>
          <w:color w:val="auto"/>
          <w:sz w:val="32"/>
          <w:szCs w:val="32"/>
        </w:rPr>
        <w:t>）距离交通干线一侧30米以内的边界噪声排放执行《工业企业厂界环境噪声排放标准》（GB12348-2008）4类区限值，即：昼间≤7</w:t>
      </w:r>
      <w:r>
        <w:rPr>
          <w:rFonts w:hint="eastAsia" w:ascii="仿宋_GB2312" w:eastAsia="仿宋_GB2312"/>
          <w:color w:val="auto"/>
          <w:sz w:val="32"/>
          <w:szCs w:val="32"/>
          <w:lang w:val="en-US" w:eastAsia="zh-CN"/>
        </w:rPr>
        <w:t>0dB（A）</w:t>
      </w:r>
      <w:r>
        <w:rPr>
          <w:rFonts w:hint="eastAsia" w:ascii="仿宋_GB2312" w:eastAsia="仿宋_GB2312"/>
          <w:color w:val="auto"/>
          <w:sz w:val="32"/>
          <w:szCs w:val="32"/>
        </w:rPr>
        <w:t>，夜间≤55</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其余</w:t>
      </w:r>
      <w:r>
        <w:rPr>
          <w:rFonts w:hint="eastAsia" w:ascii="仿宋_GB2312" w:eastAsia="仿宋_GB2312"/>
          <w:color w:val="auto"/>
          <w:sz w:val="32"/>
          <w:szCs w:val="32"/>
        </w:rPr>
        <w:t>边界噪声排放执行2类区限值，即：昼间≤60</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，夜间≤50</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w:t>
      </w:r>
    </w:p>
    <w:p w14:paraId="5D589B1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三、该项目应当认真落实《报告表》提出的各项环境保护措施，重点做好以下工作：</w:t>
      </w:r>
    </w:p>
    <w:p w14:paraId="548C04D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rPr>
        <w:t>（一）</w:t>
      </w:r>
      <w:r>
        <w:rPr>
          <w:rFonts w:hint="eastAsia" w:ascii="仿宋_GB2312" w:eastAsia="仿宋_GB2312"/>
          <w:color w:val="auto"/>
          <w:sz w:val="32"/>
          <w:szCs w:val="32"/>
          <w:lang w:val="en-US" w:eastAsia="zh-CN"/>
        </w:rPr>
        <w:t>无新增废水排放</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间接冷却水循环使用，定期更换作为清净下水与生活污水一并外排至市政污水管网。项目不新增废水排放口。</w:t>
      </w:r>
    </w:p>
    <w:p w14:paraId="3A96B3D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按照</w:t>
      </w:r>
      <w:r>
        <w:rPr>
          <w:rFonts w:hint="eastAsia" w:ascii="仿宋_GB2312" w:eastAsia="仿宋_GB2312"/>
          <w:color w:val="auto"/>
          <w:sz w:val="32"/>
          <w:szCs w:val="32"/>
          <w:lang w:eastAsia="zh-CN"/>
        </w:rPr>
        <w:t>广东省</w:t>
      </w:r>
      <w:r>
        <w:rPr>
          <w:rFonts w:hint="eastAsia" w:ascii="仿宋_GB2312" w:eastAsia="仿宋_GB2312"/>
          <w:color w:val="auto"/>
          <w:sz w:val="32"/>
          <w:szCs w:val="32"/>
        </w:rPr>
        <w:t>《固定污染源挥发性有机物综合排放标准》（DB44</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2367-2022）的无组织排放控制要求落实相关措施</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注塑、加热、顶包定型工序产生的废气收集至二级活性炭吸附装置处理后，通过专用管道引至所在建筑物楼顶高空排放，排气筒高度不低于15米。工艺废气排放口位置发生变化，不新增废气排放口。</w:t>
      </w:r>
      <w:r>
        <w:rPr>
          <w:rFonts w:hint="eastAsia" w:ascii="仿宋_GB2312" w:eastAsia="仿宋_GB2312"/>
          <w:color w:val="auto"/>
          <w:sz w:val="32"/>
          <w:szCs w:val="32"/>
        </w:rPr>
        <w:t>项目</w:t>
      </w:r>
      <w:r>
        <w:rPr>
          <w:rFonts w:hint="eastAsia" w:ascii="仿宋_GB2312" w:eastAsia="仿宋_GB2312"/>
          <w:color w:val="auto"/>
          <w:sz w:val="32"/>
          <w:szCs w:val="32"/>
          <w:lang w:val="en-US" w:eastAsia="zh-CN"/>
        </w:rPr>
        <w:t>总体</w:t>
      </w:r>
      <w:r>
        <w:rPr>
          <w:rFonts w:hint="eastAsia" w:ascii="仿宋_GB2312" w:eastAsia="仿宋_GB2312"/>
          <w:color w:val="auto"/>
          <w:sz w:val="32"/>
          <w:szCs w:val="32"/>
        </w:rPr>
        <w:t>设置废气排放口</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个。</w:t>
      </w:r>
    </w:p>
    <w:p w14:paraId="148AB73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rPr>
        <w:t>加强</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089C39E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（三）选用低噪声设备，合理布设生产车间，对噪声源采取隔声、减振等措施，定期检修设备。</w:t>
      </w:r>
    </w:p>
    <w:p w14:paraId="75D3641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（四）废活性炭、废切削液、废矿物油及油桶、含油金属屑和废抹布等危险废物须设置符合《危险废物贮存污染控制标准》（GB18597-20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）要求的专用贮存场所存放并委托具备危险废物处理资质的机构处理。</w:t>
      </w:r>
    </w:p>
    <w:p w14:paraId="73B05BF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四、该项目的性质、规模、地点、采用的生产工艺或者防治污染、防止生态破坏的措施发生重大变动的，你单位应当重新报批环境影响评价文件。</w:t>
      </w:r>
    </w:p>
    <w:p w14:paraId="6FF04D6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五</w:t>
      </w:r>
      <w:r>
        <w:rPr>
          <w:rFonts w:hint="eastAsia" w:ascii="仿宋_GB2312" w:eastAsia="仿宋_GB2312"/>
          <w:color w:val="auto"/>
          <w:sz w:val="32"/>
          <w:szCs w:val="32"/>
        </w:rPr>
        <w:t>、该项目建设应严格执行配套建设的环境保护设施与主体工程同时设计、同时施工、同时投产使用的环境保护“三同时”制度，具体要求如下：</w:t>
      </w:r>
    </w:p>
    <w:p w14:paraId="085CFB9D">
      <w:pPr>
        <w:keepNext w:val="0"/>
        <w:keepLines w:val="0"/>
        <w:pageBreakBefore w:val="0"/>
        <w:widowControl/>
        <w:tabs>
          <w:tab w:val="left" w:pos="1418"/>
        </w:tabs>
        <w:kinsoku/>
        <w:wordWrap/>
        <w:overflowPunct/>
        <w:topLinePunct w:val="0"/>
        <w:autoSpaceDE/>
        <w:autoSpaceDN/>
        <w:bidi w:val="0"/>
        <w:adjustRightInd/>
        <w:snapToGrid/>
        <w:spacing w:line="56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49DAD14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3564EFE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六</w:t>
      </w:r>
      <w:r>
        <w:rPr>
          <w:rFonts w:hint="eastAsia" w:ascii="仿宋_GB2312" w:eastAsia="仿宋_GB2312"/>
          <w:color w:val="auto"/>
          <w:sz w:val="32"/>
          <w:szCs w:val="32"/>
        </w:rPr>
        <w:t>、该项目建设和运行过程中如涉及规划、土地利用、建设、水务、消防、安全等问题，应遵照相关法律法规要求到相应的行政主管部门办理有关手续。</w:t>
      </w:r>
    </w:p>
    <w:p w14:paraId="0A04E271">
      <w:pPr>
        <w:pStyle w:val="18"/>
        <w:keepNext w:val="0"/>
        <w:keepLines w:val="0"/>
        <w:pageBreakBefore w:val="0"/>
        <w:kinsoku/>
        <w:wordWrap/>
        <w:overflowPunct/>
        <w:topLinePunct w:val="0"/>
        <w:autoSpaceDE/>
        <w:autoSpaceDN/>
        <w:bidi w:val="0"/>
        <w:adjustRightInd/>
        <w:snapToGrid/>
        <w:spacing w:line="560" w:lineRule="exact"/>
        <w:ind w:firstLine="636"/>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七</w:t>
      </w:r>
      <w:r>
        <w:rPr>
          <w:rFonts w:hint="eastAsia" w:ascii="仿宋_GB2312" w:eastAsia="仿宋_GB2312"/>
          <w:color w:val="auto"/>
          <w:sz w:val="32"/>
          <w:szCs w:val="32"/>
        </w:rPr>
        <w:t>、</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7F82B0E6">
      <w:pPr>
        <w:keepNext w:val="0"/>
        <w:keepLines w:val="0"/>
        <w:pageBreakBefore w:val="0"/>
        <w:kinsoku/>
        <w:overflowPunct/>
        <w:topLinePunct w:val="0"/>
        <w:autoSpaceDE/>
        <w:autoSpaceDN/>
        <w:bidi w:val="0"/>
        <w:spacing w:line="560" w:lineRule="exact"/>
        <w:jc w:val="center"/>
        <w:textAlignment w:val="auto"/>
        <w:rPr>
          <w:rFonts w:hint="eastAsia" w:ascii="仿宋_GB2312" w:eastAsia="仿宋_GB2312"/>
          <w:color w:val="auto"/>
          <w:sz w:val="32"/>
          <w:szCs w:val="32"/>
        </w:rPr>
      </w:pPr>
    </w:p>
    <w:p w14:paraId="2C094379">
      <w:pPr>
        <w:keepNext w:val="0"/>
        <w:keepLines w:val="0"/>
        <w:pageBreakBefore w:val="0"/>
        <w:kinsoku/>
        <w:overflowPunct/>
        <w:topLinePunct w:val="0"/>
        <w:autoSpaceDE/>
        <w:autoSpaceDN/>
        <w:bidi w:val="0"/>
        <w:spacing w:line="560" w:lineRule="exact"/>
        <w:jc w:val="center"/>
        <w:textAlignment w:val="auto"/>
        <w:rPr>
          <w:rFonts w:hint="eastAsia" w:ascii="仿宋_GB2312" w:eastAsia="仿宋_GB2312"/>
          <w:color w:val="auto"/>
          <w:sz w:val="32"/>
          <w:szCs w:val="32"/>
        </w:rPr>
      </w:pPr>
    </w:p>
    <w:p w14:paraId="1B0CC906">
      <w:pPr>
        <w:keepNext w:val="0"/>
        <w:keepLines w:val="0"/>
        <w:pageBreakBefore w:val="0"/>
        <w:kinsoku/>
        <w:overflowPunct/>
        <w:topLinePunct w:val="0"/>
        <w:autoSpaceDE/>
        <w:autoSpaceDN/>
        <w:bidi w:val="0"/>
        <w:spacing w:line="560" w:lineRule="exact"/>
        <w:jc w:val="center"/>
        <w:textAlignment w:val="auto"/>
        <w:rPr>
          <w:rFonts w:hint="eastAsia" w:ascii="仿宋_GB2312" w:eastAsia="仿宋_GB2312"/>
          <w:color w:val="auto"/>
          <w:sz w:val="32"/>
          <w:szCs w:val="32"/>
        </w:rPr>
      </w:pPr>
    </w:p>
    <w:p w14:paraId="7E90A0C7">
      <w:pPr>
        <w:keepNext w:val="0"/>
        <w:keepLines w:val="0"/>
        <w:pageBreakBefore w:val="0"/>
        <w:kinsoku/>
        <w:overflowPunct/>
        <w:topLinePunct w:val="0"/>
        <w:autoSpaceDE/>
        <w:autoSpaceDN/>
        <w:bidi w:val="0"/>
        <w:spacing w:line="560" w:lineRule="exac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7BC6E7C2">
      <w:pPr>
        <w:keepNext w:val="0"/>
        <w:keepLines w:val="0"/>
        <w:pageBreakBefore w:val="0"/>
        <w:kinsoku/>
        <w:overflowPunct/>
        <w:topLinePunct w:val="0"/>
        <w:autoSpaceDE/>
        <w:autoSpaceDN/>
        <w:bidi w:val="0"/>
        <w:spacing w:line="560" w:lineRule="exact"/>
        <w:ind w:right="4" w:rightChars="0"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日</w:t>
      </w:r>
    </w:p>
    <w:p w14:paraId="372AA674">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5BAB33CE">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46B541E">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B5413A7">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326EB5F5">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0CCA8466">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22184C5B">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452DAE3">
      <w:pPr>
        <w:keepNext w:val="0"/>
        <w:keepLines w:val="0"/>
        <w:pageBreakBefore w:val="0"/>
        <w:kinsoku/>
        <w:overflowPunct/>
        <w:topLinePunct w:val="0"/>
        <w:autoSpaceDE/>
        <w:autoSpaceDN/>
        <w:bidi w:val="0"/>
        <w:spacing w:line="560" w:lineRule="exact"/>
        <w:ind w:left="1133" w:leftChars="201" w:hanging="711" w:hangingChars="254"/>
        <w:textAlignment w:val="auto"/>
        <w:rPr>
          <w:rFonts w:hint="eastAsia" w:ascii="仿宋_GB2312" w:eastAsia="仿宋_GB2312"/>
          <w:color w:val="auto"/>
          <w:sz w:val="28"/>
          <w:szCs w:val="28"/>
        </w:rPr>
      </w:pPr>
      <w:r>
        <w:rPr>
          <w:rFonts w:hint="eastAsia" w:ascii="仿宋_GB2312" w:eastAsia="仿宋_GB2312"/>
          <w:color w:val="auto"/>
          <w:sz w:val="28"/>
          <w:szCs w:val="28"/>
        </w:rPr>
        <w:t>抄送：广州市生态环境局番禺分局执法</w:t>
      </w:r>
      <w:r>
        <w:rPr>
          <w:rFonts w:hint="eastAsia" w:ascii="仿宋_GB2312" w:eastAsia="仿宋_GB2312"/>
          <w:color w:val="auto"/>
          <w:sz w:val="28"/>
          <w:szCs w:val="28"/>
          <w:lang w:val="en-US" w:eastAsia="zh-CN"/>
        </w:rPr>
        <w:t>三</w:t>
      </w:r>
      <w:r>
        <w:rPr>
          <w:rFonts w:hint="eastAsia" w:ascii="仿宋_GB2312" w:eastAsia="仿宋_GB2312"/>
          <w:color w:val="auto"/>
          <w:sz w:val="28"/>
          <w:szCs w:val="28"/>
        </w:rPr>
        <w:t>科、</w:t>
      </w:r>
      <w:r>
        <w:rPr>
          <w:rFonts w:hint="eastAsia" w:ascii="仿宋_GB2312" w:eastAsia="仿宋_GB2312"/>
          <w:color w:val="auto"/>
          <w:sz w:val="28"/>
          <w:szCs w:val="28"/>
          <w:lang w:eastAsia="zh-CN"/>
        </w:rPr>
        <w:t>番禺</w:t>
      </w:r>
      <w:r>
        <w:rPr>
          <w:rFonts w:hint="eastAsia" w:ascii="仿宋_GB2312" w:eastAsia="仿宋_GB2312"/>
          <w:color w:val="auto"/>
          <w:sz w:val="28"/>
          <w:szCs w:val="28"/>
        </w:rPr>
        <w:t>第</w:t>
      </w:r>
      <w:r>
        <w:rPr>
          <w:rFonts w:hint="eastAsia" w:ascii="仿宋_GB2312" w:eastAsia="仿宋_GB2312"/>
          <w:color w:val="auto"/>
          <w:sz w:val="28"/>
          <w:szCs w:val="28"/>
          <w:lang w:val="en-US" w:eastAsia="zh-CN"/>
        </w:rPr>
        <w:t>三</w:t>
      </w:r>
      <w:r>
        <w:rPr>
          <w:rFonts w:hint="eastAsia" w:ascii="仿宋_GB2312" w:eastAsia="仿宋_GB2312"/>
          <w:color w:val="auto"/>
          <w:sz w:val="28"/>
          <w:szCs w:val="28"/>
        </w:rPr>
        <w:t>环保所，广州市</w:t>
      </w:r>
      <w:r>
        <w:rPr>
          <w:rFonts w:hint="eastAsia" w:ascii="仿宋_GB2312" w:eastAsia="仿宋_GB2312"/>
          <w:color w:val="auto"/>
          <w:sz w:val="28"/>
          <w:szCs w:val="28"/>
          <w:lang w:val="en-US" w:eastAsia="zh-CN"/>
        </w:rPr>
        <w:t>番禺</w:t>
      </w:r>
      <w:r>
        <w:rPr>
          <w:rFonts w:hint="eastAsia" w:ascii="仿宋_GB2312" w:eastAsia="仿宋_GB2312"/>
          <w:color w:val="auto"/>
          <w:sz w:val="28"/>
          <w:szCs w:val="28"/>
        </w:rPr>
        <w:t>环境工程有限公司。</w:t>
      </w:r>
    </w:p>
    <w:p w14:paraId="460BA382">
      <w:pPr>
        <w:keepNext w:val="0"/>
        <w:keepLines w:val="0"/>
        <w:pageBreakBefore w:val="0"/>
        <w:kinsoku/>
        <w:overflowPunct/>
        <w:topLinePunct w:val="0"/>
        <w:autoSpaceDE/>
        <w:autoSpaceDN/>
        <w:bidi w:val="0"/>
        <w:spacing w:line="560" w:lineRule="exact"/>
        <w:ind w:left="1133" w:leftChars="201" w:hanging="711" w:hangingChars="254"/>
        <w:textAlignment w:val="auto"/>
        <w:rPr>
          <w:rFonts w:hint="eastAsia" w:ascii="仿宋_GB2312" w:eastAsia="仿宋_GB2312" w:cs="Times New Roman"/>
          <w:color w:val="auto"/>
          <w:sz w:val="28"/>
          <w:szCs w:val="28"/>
        </w:rPr>
      </w:pPr>
    </w:p>
    <w:sectPr>
      <w:footerReference r:id="rId5" w:type="first"/>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panose1 w:val="02010609010101010101"/>
    <w:charset w:val="86"/>
    <w:family w:val="moder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2C85D">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3</w:t>
    </w:r>
    <w:r>
      <w:rPr>
        <w:rStyle w:val="9"/>
        <w:rFonts w:ascii="宋体" w:hAnsi="宋体"/>
        <w:sz w:val="28"/>
        <w:szCs w:val="28"/>
      </w:rPr>
      <w:fldChar w:fldCharType="end"/>
    </w:r>
    <w:r>
      <w:rPr>
        <w:rStyle w:val="9"/>
        <w:rFonts w:hint="eastAsia" w:ascii="宋体" w:hAnsi="宋体"/>
        <w:sz w:val="28"/>
        <w:szCs w:val="28"/>
      </w:rPr>
      <w:t xml:space="preserve"> —</w:t>
    </w:r>
  </w:p>
  <w:p w14:paraId="2F2DBBD7">
    <w:pPr>
      <w:pStyle w:val="4"/>
      <w:ind w:right="360" w:firstLine="360"/>
      <w:jc w:val="center"/>
      <w:rPr>
        <w:rFonts w:ascii="Times New Roman" w:hAnsi="Times New Roman"/>
        <w:sz w:val="28"/>
        <w:szCs w:val="28"/>
      </w:rPr>
    </w:pPr>
  </w:p>
  <w:p w14:paraId="09C462B3">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25C89">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4E781A9A">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5DF20">
    <w:pPr>
      <w:pStyle w:val="4"/>
    </w:pPr>
    <w:r>
      <w:rPr>
        <w:rFonts w:hint="eastAsia" w:ascii="方正小标宋简体" w:hAnsi="方正小标宋简体" w:eastAsia="方正小标宋简体" w:cs="方正小标宋简体"/>
        <w:color w:val="000000" w:themeColor="text1"/>
        <w:sz w:val="44"/>
        <w:szCs w:val="44"/>
        <w:lang w:bidi="ar"/>
        <w14:textFill>
          <w14:solidFill>
            <w14:schemeClr w14:val="tx1"/>
          </w14:solidFill>
        </w14:textFill>
      </w:rPr>
      <mc:AlternateContent>
        <mc:Choice Requires="wps">
          <w:drawing>
            <wp:anchor distT="0" distB="0" distL="114300" distR="114300" simplePos="0" relativeHeight="251659264" behindDoc="0" locked="1" layoutInCell="1" allowOverlap="1">
              <wp:simplePos x="0" y="0"/>
              <wp:positionH relativeFrom="page">
                <wp:align>center</wp:align>
              </wp:positionH>
              <wp:positionV relativeFrom="page">
                <wp:posOffset>9893935</wp:posOffset>
              </wp:positionV>
              <wp:extent cx="6120130" cy="6350"/>
              <wp:effectExtent l="0" t="28575" r="13970" b="41275"/>
              <wp:wrapNone/>
              <wp:docPr id="2" name="直接连接符 2"/>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a:off x="0" y="0"/>
                        <a:ext cx="6120130" cy="6350"/>
                      </a:xfrm>
                      <a:prstGeom prst="line">
                        <a:avLst/>
                      </a:prstGeom>
                      <a:ln w="57150" cap="flat" cmpd="thinThick">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top:779.05pt;height:0.5pt;width:481.9pt;mso-position-horizontal:center;mso-position-horizontal-relative:page;mso-position-vertical-relative:page;z-index:251659264;mso-width-relative:page;mso-height-relative:page;" filled="f" stroked="t" coordsize="21600,21600" o:gfxdata="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ZA3NZ9YAAAAKAQAADwAAAAAA&#10;AAABACAAAAAiAAAAZHJzL2Rvd25yZXYueG1sUEsBAhQAFAAAAAgAh07iQK/4DyMVAgAAHQQAAA4A&#10;AAAAAAAAAQAgAAAAJQEAAGRycy9lMm9Eb2MueG1sUEsFBgAAAAAGAAYAWQEAAKwFAAAAAA==&#10;">
              <v:fill on="f" focussize="0,0"/>
              <v:stroke weight="4.5pt" color="#FF0000" linestyle="thinThick" joinstyle="round"/>
              <v:imagedata o:title=""/>
              <o:lock v:ext="edit" aspectratio="t"/>
              <w10:anchorlock/>
            </v:lin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3OTI2Y2Y4NTVhMDE4ZDI0NmQ3YmQxYzcwODhjOTY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D529A"/>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1B86851"/>
    <w:rsid w:val="021460CD"/>
    <w:rsid w:val="0225684B"/>
    <w:rsid w:val="03363F3D"/>
    <w:rsid w:val="04817C37"/>
    <w:rsid w:val="053247A7"/>
    <w:rsid w:val="05414FD9"/>
    <w:rsid w:val="091574A4"/>
    <w:rsid w:val="09ED3BCE"/>
    <w:rsid w:val="0E955E3E"/>
    <w:rsid w:val="0E971B2A"/>
    <w:rsid w:val="0F833CC8"/>
    <w:rsid w:val="106A71D6"/>
    <w:rsid w:val="10BF38FB"/>
    <w:rsid w:val="10FE2EC4"/>
    <w:rsid w:val="11D03E55"/>
    <w:rsid w:val="12737E91"/>
    <w:rsid w:val="12AB1C3C"/>
    <w:rsid w:val="12CD72C1"/>
    <w:rsid w:val="12DA5DA1"/>
    <w:rsid w:val="13AB4C23"/>
    <w:rsid w:val="13BB17F2"/>
    <w:rsid w:val="157D650A"/>
    <w:rsid w:val="16FA246F"/>
    <w:rsid w:val="1BC528C4"/>
    <w:rsid w:val="1C1D0B2C"/>
    <w:rsid w:val="1C616E81"/>
    <w:rsid w:val="1D4266B3"/>
    <w:rsid w:val="1E757FC7"/>
    <w:rsid w:val="1F4D7EC7"/>
    <w:rsid w:val="1FAD0826"/>
    <w:rsid w:val="1FC82394"/>
    <w:rsid w:val="2012755B"/>
    <w:rsid w:val="204B755B"/>
    <w:rsid w:val="20CF4E76"/>
    <w:rsid w:val="22024847"/>
    <w:rsid w:val="221365B8"/>
    <w:rsid w:val="227D66DC"/>
    <w:rsid w:val="22D312BB"/>
    <w:rsid w:val="232448DF"/>
    <w:rsid w:val="246B5CE5"/>
    <w:rsid w:val="26A87BC4"/>
    <w:rsid w:val="27127D0A"/>
    <w:rsid w:val="276276B7"/>
    <w:rsid w:val="27BD6789"/>
    <w:rsid w:val="28AE5DA0"/>
    <w:rsid w:val="295248DB"/>
    <w:rsid w:val="29A43513"/>
    <w:rsid w:val="2B1F396E"/>
    <w:rsid w:val="2B3726AD"/>
    <w:rsid w:val="2D004820"/>
    <w:rsid w:val="2F393C7B"/>
    <w:rsid w:val="2FAE193C"/>
    <w:rsid w:val="307C5365"/>
    <w:rsid w:val="30A22B85"/>
    <w:rsid w:val="325A6F1E"/>
    <w:rsid w:val="361C27B0"/>
    <w:rsid w:val="37000936"/>
    <w:rsid w:val="3705608F"/>
    <w:rsid w:val="37C3534B"/>
    <w:rsid w:val="37FC022F"/>
    <w:rsid w:val="38EB77CC"/>
    <w:rsid w:val="38F30E4E"/>
    <w:rsid w:val="395413A0"/>
    <w:rsid w:val="3A143258"/>
    <w:rsid w:val="3A2A7A38"/>
    <w:rsid w:val="3AA44A54"/>
    <w:rsid w:val="3AE822E0"/>
    <w:rsid w:val="3BDC5B02"/>
    <w:rsid w:val="3CC7607D"/>
    <w:rsid w:val="3EC51AE0"/>
    <w:rsid w:val="3F49060B"/>
    <w:rsid w:val="3F5B35F1"/>
    <w:rsid w:val="3FB306B4"/>
    <w:rsid w:val="40140588"/>
    <w:rsid w:val="409B6129"/>
    <w:rsid w:val="41171C7F"/>
    <w:rsid w:val="421D23EE"/>
    <w:rsid w:val="423F023E"/>
    <w:rsid w:val="42817ECC"/>
    <w:rsid w:val="442524D2"/>
    <w:rsid w:val="44A51F36"/>
    <w:rsid w:val="450F1F75"/>
    <w:rsid w:val="453C3F01"/>
    <w:rsid w:val="460A0D61"/>
    <w:rsid w:val="483779D9"/>
    <w:rsid w:val="49B945DF"/>
    <w:rsid w:val="49DE5C93"/>
    <w:rsid w:val="4AA34302"/>
    <w:rsid w:val="4AE22D88"/>
    <w:rsid w:val="4B621286"/>
    <w:rsid w:val="4E2638D4"/>
    <w:rsid w:val="4E333214"/>
    <w:rsid w:val="4EB11A7C"/>
    <w:rsid w:val="4EE06776"/>
    <w:rsid w:val="4F586ABA"/>
    <w:rsid w:val="4F9C166D"/>
    <w:rsid w:val="51207E3F"/>
    <w:rsid w:val="51F97ABA"/>
    <w:rsid w:val="524D3164"/>
    <w:rsid w:val="526124D3"/>
    <w:rsid w:val="526D636A"/>
    <w:rsid w:val="528146B5"/>
    <w:rsid w:val="53B57B56"/>
    <w:rsid w:val="54592BC2"/>
    <w:rsid w:val="55F433AB"/>
    <w:rsid w:val="55FE082D"/>
    <w:rsid w:val="56562F7A"/>
    <w:rsid w:val="56EB0672"/>
    <w:rsid w:val="57262204"/>
    <w:rsid w:val="58272CFA"/>
    <w:rsid w:val="583D1DA6"/>
    <w:rsid w:val="596879A6"/>
    <w:rsid w:val="5997723D"/>
    <w:rsid w:val="59EF5441"/>
    <w:rsid w:val="59F57B8E"/>
    <w:rsid w:val="5A876B01"/>
    <w:rsid w:val="5B7E4A72"/>
    <w:rsid w:val="5CD10ED2"/>
    <w:rsid w:val="5D17002E"/>
    <w:rsid w:val="5D302779"/>
    <w:rsid w:val="5DC909B8"/>
    <w:rsid w:val="5E0D6250"/>
    <w:rsid w:val="5E87559F"/>
    <w:rsid w:val="5E91383E"/>
    <w:rsid w:val="5EEB20AD"/>
    <w:rsid w:val="5F986076"/>
    <w:rsid w:val="5FAC665B"/>
    <w:rsid w:val="5FEF186C"/>
    <w:rsid w:val="60AB5036"/>
    <w:rsid w:val="60F00D75"/>
    <w:rsid w:val="61CB6793"/>
    <w:rsid w:val="62973EAF"/>
    <w:rsid w:val="670A7A3E"/>
    <w:rsid w:val="6786138F"/>
    <w:rsid w:val="67CD1782"/>
    <w:rsid w:val="68A62F74"/>
    <w:rsid w:val="690349F5"/>
    <w:rsid w:val="69EF3DF1"/>
    <w:rsid w:val="6B2F71CC"/>
    <w:rsid w:val="6B435101"/>
    <w:rsid w:val="6B79486E"/>
    <w:rsid w:val="6BDD3D14"/>
    <w:rsid w:val="6C47151C"/>
    <w:rsid w:val="6D35765F"/>
    <w:rsid w:val="6D36654C"/>
    <w:rsid w:val="6D57543A"/>
    <w:rsid w:val="6D8B22BF"/>
    <w:rsid w:val="6DCC7A56"/>
    <w:rsid w:val="6E852BE1"/>
    <w:rsid w:val="6EF174EB"/>
    <w:rsid w:val="6FA2401A"/>
    <w:rsid w:val="70855E86"/>
    <w:rsid w:val="73006EB1"/>
    <w:rsid w:val="73417714"/>
    <w:rsid w:val="73923FC8"/>
    <w:rsid w:val="74936A51"/>
    <w:rsid w:val="750021A3"/>
    <w:rsid w:val="7507411D"/>
    <w:rsid w:val="762C5749"/>
    <w:rsid w:val="765C5FCF"/>
    <w:rsid w:val="768415A7"/>
    <w:rsid w:val="77255CF2"/>
    <w:rsid w:val="774C7907"/>
    <w:rsid w:val="77A5337F"/>
    <w:rsid w:val="79894A9E"/>
    <w:rsid w:val="798C1BA4"/>
    <w:rsid w:val="7B331FDF"/>
    <w:rsid w:val="7BA515D0"/>
    <w:rsid w:val="7C332544"/>
    <w:rsid w:val="7C8E76E8"/>
    <w:rsid w:val="7CDF2A45"/>
    <w:rsid w:val="7DCC2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眉 Char"/>
    <w:basedOn w:val="8"/>
    <w:link w:val="5"/>
    <w:semiHidden/>
    <w:qFormat/>
    <w:uiPriority w:val="99"/>
    <w:rPr>
      <w:kern w:val="2"/>
      <w:sz w:val="18"/>
      <w:szCs w:val="18"/>
    </w:rPr>
  </w:style>
  <w:style w:type="character" w:customStyle="1" w:styleId="12">
    <w:name w:val="页脚 Char"/>
    <w:basedOn w:val="8"/>
    <w:link w:val="4"/>
    <w:qFormat/>
    <w:uiPriority w:val="99"/>
    <w:rPr>
      <w:kern w:val="2"/>
      <w:sz w:val="18"/>
      <w:szCs w:val="18"/>
    </w:rPr>
  </w:style>
  <w:style w:type="paragraph" w:customStyle="1" w:styleId="13">
    <w:name w:val="Char1"/>
    <w:basedOn w:val="1"/>
    <w:qFormat/>
    <w:uiPriority w:val="0"/>
    <w:pPr>
      <w:tabs>
        <w:tab w:val="left" w:pos="840"/>
      </w:tabs>
      <w:ind w:left="840" w:hanging="420"/>
    </w:pPr>
    <w:rPr>
      <w:rFonts w:ascii="Times New Roman" w:hAnsi="Times New Roman"/>
      <w:sz w:val="24"/>
      <w:szCs w:val="24"/>
    </w:rPr>
  </w:style>
  <w:style w:type="character" w:customStyle="1" w:styleId="14">
    <w:name w:val="批注文字 Char"/>
    <w:basedOn w:val="8"/>
    <w:link w:val="2"/>
    <w:semiHidden/>
    <w:qFormat/>
    <w:uiPriority w:val="99"/>
    <w:rPr>
      <w:kern w:val="2"/>
      <w:sz w:val="21"/>
      <w:szCs w:val="22"/>
    </w:rPr>
  </w:style>
  <w:style w:type="character" w:customStyle="1" w:styleId="15">
    <w:name w:val="批注主题 Char"/>
    <w:basedOn w:val="14"/>
    <w:link w:val="6"/>
    <w:semiHidden/>
    <w:qFormat/>
    <w:uiPriority w:val="99"/>
    <w:rPr>
      <w:b/>
      <w:bCs/>
    </w:rPr>
  </w:style>
  <w:style w:type="character" w:customStyle="1" w:styleId="16">
    <w:name w:val="批注框文本 Char"/>
    <w:basedOn w:val="8"/>
    <w:link w:val="3"/>
    <w:semiHidden/>
    <w:qFormat/>
    <w:uiPriority w:val="99"/>
    <w:rPr>
      <w:kern w:val="2"/>
      <w:sz w:val="18"/>
      <w:szCs w:val="18"/>
    </w:rPr>
  </w:style>
  <w:style w:type="paragraph" w:customStyle="1" w:styleId="17">
    <w:name w:val="Revision"/>
    <w:hidden/>
    <w:semiHidden/>
    <w:qFormat/>
    <w:uiPriority w:val="99"/>
    <w:rPr>
      <w:rFonts w:ascii="Calibri" w:hAnsi="Calibri"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1881</Words>
  <Characters>2034</Characters>
  <Lines>19</Lines>
  <Paragraphs>5</Paragraphs>
  <TotalTime>0</TotalTime>
  <ScaleCrop>false</ScaleCrop>
  <LinksUpToDate>false</LinksUpToDate>
  <CharactersWithSpaces>2104</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Sherry</cp:lastModifiedBy>
  <cp:lastPrinted>2025-08-08T07:10:00Z</cp:lastPrinted>
  <dcterms:modified xsi:type="dcterms:W3CDTF">2025-08-11T02:01:37Z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2052-12.8.2.18606</vt:lpwstr>
  </property>
  <property fmtid="{D5CDD505-2E9C-101B-9397-08002B2CF9AE}" pid="4" name="ICV">
    <vt:lpwstr>674B41A6EAA04F38866F67657EEA231F_13</vt:lpwstr>
  </property>
  <property fmtid="{D5CDD505-2E9C-101B-9397-08002B2CF9AE}" pid="5" name="KSOTemplateDocerSaveRecord">
    <vt:lpwstr>eyJoZGlkIjoiZjYyYjY3ZGUwZmE3YmJlMGZkNDBhMjIxYWU5OTAxMDEiLCJ1c2VySWQiOiIxNzIzMDIxNzY5In0=</vt:lpwstr>
  </property>
</Properties>
</file>