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429EAD">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val="0"/>
        <w:autoSpaceDN w:val="0"/>
        <w:bidi w:val="0"/>
        <w:adjustRightInd/>
        <w:snapToGrid/>
        <w:spacing w:line="600" w:lineRule="exact"/>
        <w:jc w:val="right"/>
        <w:textAlignment w:val="auto"/>
        <w:rPr>
          <w:rFonts w:hint="default" w:ascii="Times New Roman" w:hAnsi="Times New Roman" w:eastAsia="仿宋_GB2312" w:cs="Times New Roman"/>
          <w:sz w:val="32"/>
          <w:szCs w:val="32"/>
        </w:rPr>
      </w:pPr>
    </w:p>
    <w:p w14:paraId="7E25F7B7">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val="0"/>
        <w:autoSpaceDN w:val="0"/>
        <w:bidi w:val="0"/>
        <w:adjustRightInd/>
        <w:snapToGrid/>
        <w:spacing w:line="600" w:lineRule="exact"/>
        <w:jc w:val="right"/>
        <w:textAlignment w:val="auto"/>
        <w:rPr>
          <w:rFonts w:hint="default" w:ascii="Times New Roman" w:hAnsi="Times New Roman" w:eastAsia="仿宋_GB2312" w:cs="Times New Roman"/>
          <w:sz w:val="32"/>
          <w:szCs w:val="32"/>
        </w:rPr>
      </w:pPr>
    </w:p>
    <w:p w14:paraId="63885A94">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val="0"/>
        <w:autoSpaceDN w:val="0"/>
        <w:bidi w:val="0"/>
        <w:adjustRightInd/>
        <w:snapToGrid/>
        <w:spacing w:line="600" w:lineRule="exact"/>
        <w:jc w:val="right"/>
        <w:textAlignment w:val="auto"/>
        <w:rPr>
          <w:rFonts w:hint="default" w:ascii="Times New Roman" w:hAnsi="Times New Roman" w:eastAsia="方正小标宋简体" w:cs="Times New Roman"/>
          <w:color w:val="000000"/>
          <w:sz w:val="44"/>
          <w:szCs w:val="44"/>
        </w:rPr>
      </w:pPr>
      <w:r>
        <w:rPr>
          <w:rFonts w:hint="default" w:ascii="Times New Roman" w:hAnsi="Times New Roman" w:eastAsia="仿宋_GB2312" w:cs="Times New Roman"/>
          <w:sz w:val="32"/>
          <w:szCs w:val="32"/>
        </w:rPr>
        <w:t>穗环管影（番）〔202</w:t>
      </w:r>
      <w:r>
        <w:rPr>
          <w:rFonts w:hint="eastAsia" w:eastAsia="仿宋_GB2312" w:cs="Times New Roman"/>
          <w:sz w:val="32"/>
          <w:szCs w:val="32"/>
          <w:lang w:val="en-US" w:eastAsia="zh-CN"/>
        </w:rPr>
        <w:t>5</w:t>
      </w:r>
      <w:r>
        <w:rPr>
          <w:rFonts w:hint="default" w:ascii="Times New Roman" w:hAnsi="Times New Roman" w:eastAsia="仿宋_GB2312" w:cs="Times New Roman"/>
          <w:sz w:val="32"/>
          <w:szCs w:val="32"/>
        </w:rPr>
        <w:t>〕</w:t>
      </w:r>
      <w:r>
        <w:rPr>
          <w:rFonts w:hint="eastAsia" w:eastAsia="仿宋_GB2312" w:cs="Times New Roman"/>
          <w:sz w:val="32"/>
          <w:szCs w:val="32"/>
          <w:lang w:val="en-US" w:eastAsia="zh-CN"/>
        </w:rPr>
        <w:t>102</w:t>
      </w:r>
      <w:r>
        <w:rPr>
          <w:rFonts w:hint="default" w:ascii="Times New Roman" w:hAnsi="Times New Roman" w:eastAsia="仿宋_GB2312" w:cs="Times New Roman"/>
          <w:sz w:val="32"/>
          <w:szCs w:val="32"/>
        </w:rPr>
        <w:t>号</w:t>
      </w:r>
    </w:p>
    <w:p w14:paraId="35528809">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val="0"/>
        <w:autoSpaceDN w:val="0"/>
        <w:bidi w:val="0"/>
        <w:adjustRightInd/>
        <w:snapToGrid/>
        <w:spacing w:line="600" w:lineRule="exact"/>
        <w:jc w:val="both"/>
        <w:textAlignment w:val="auto"/>
        <w:rPr>
          <w:rFonts w:hint="default" w:ascii="Times New Roman" w:hAnsi="Times New Roman" w:eastAsia="方正小标宋简体" w:cs="Times New Roman"/>
          <w:color w:val="000000"/>
          <w:sz w:val="44"/>
          <w:szCs w:val="44"/>
        </w:rPr>
      </w:pPr>
      <w:bookmarkStart w:id="0" w:name="_GoBack"/>
      <w:bookmarkEnd w:id="0"/>
    </w:p>
    <w:p w14:paraId="67917039">
      <w:pPr>
        <w:adjustRightInd w:val="0"/>
        <w:spacing w:line="560" w:lineRule="exact"/>
        <w:jc w:val="center"/>
        <w:rPr>
          <w:rFonts w:hint="eastAsia" w:ascii="方正小标宋简体" w:hAnsi="方正小标宋简体" w:eastAsia="方正小标宋简体" w:cs="方正小标宋简体"/>
          <w:color w:val="000000" w:themeColor="text1"/>
          <w:sz w:val="44"/>
          <w:szCs w:val="44"/>
          <w:lang w:bidi="ar"/>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lang w:bidi="ar"/>
          <w14:textFill>
            <w14:solidFill>
              <w14:schemeClr w14:val="tx1"/>
            </w14:solidFill>
          </w14:textFill>
        </w:rPr>
        <w:t>广州市生态环境局关于广东粤丘检测</w:t>
      </w:r>
    </w:p>
    <w:p w14:paraId="1505BDB5">
      <w:pPr>
        <w:adjustRightInd w:val="0"/>
        <w:spacing w:line="560" w:lineRule="exact"/>
        <w:jc w:val="center"/>
        <w:rPr>
          <w:rFonts w:hint="eastAsia" w:ascii="方正小标宋简体" w:hAnsi="方正小标宋简体" w:eastAsia="方正小标宋简体" w:cs="方正小标宋简体"/>
          <w:color w:val="000000" w:themeColor="text1"/>
          <w:sz w:val="44"/>
          <w:szCs w:val="44"/>
          <w:lang w:bidi="ar"/>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lang w:bidi="ar"/>
          <w14:textFill>
            <w14:solidFill>
              <w14:schemeClr w14:val="tx1"/>
            </w14:solidFill>
          </w14:textFill>
        </w:rPr>
        <w:t>科技有限公司检测实验室新建项目</w:t>
      </w:r>
    </w:p>
    <w:p w14:paraId="762451E3">
      <w:pPr>
        <w:adjustRightInd w:val="0"/>
        <w:spacing w:line="560" w:lineRule="exact"/>
        <w:jc w:val="center"/>
        <w:rPr>
          <w:rFonts w:hint="default" w:ascii="Times New Roman" w:hAnsi="Times New Roman" w:eastAsia="方正小标宋简体" w:cs="Times New Roman"/>
          <w:sz w:val="44"/>
          <w:szCs w:val="44"/>
        </w:rPr>
      </w:pPr>
      <w:r>
        <w:rPr>
          <w:rFonts w:hint="eastAsia" w:ascii="方正小标宋简体" w:hAnsi="方正小标宋简体" w:eastAsia="方正小标宋简体" w:cs="方正小标宋简体"/>
          <w:color w:val="000000" w:themeColor="text1"/>
          <w:sz w:val="44"/>
          <w:szCs w:val="44"/>
          <w:lang w:bidi="ar"/>
          <w14:textFill>
            <w14:solidFill>
              <w14:schemeClr w14:val="tx1"/>
            </w14:solidFill>
          </w14:textFill>
        </w:rPr>
        <w:t>环境影响报告表的批复</w:t>
      </w:r>
    </w:p>
    <w:p w14:paraId="2EB2DD9B">
      <w:pPr>
        <w:adjustRightInd w:val="0"/>
        <w:spacing w:line="560" w:lineRule="exact"/>
        <w:jc w:val="center"/>
        <w:rPr>
          <w:rFonts w:hint="default" w:ascii="Times New Roman" w:hAnsi="Times New Roman" w:cs="Times New Roman"/>
        </w:rPr>
      </w:pPr>
    </w:p>
    <w:p w14:paraId="3A65C095">
      <w:pPr>
        <w:pStyle w:val="8"/>
        <w:keepNext w:val="0"/>
        <w:keepLines w:val="0"/>
        <w:pageBreakBefore w:val="0"/>
        <w:kinsoku/>
        <w:wordWrap/>
        <w:overflowPunct/>
        <w:topLinePunct w:val="0"/>
        <w:autoSpaceDE/>
        <w:autoSpaceDN/>
        <w:bidi w:val="0"/>
        <w:adjustRightInd w:val="0"/>
        <w:snapToGrid w:val="0"/>
        <w:spacing w:line="312" w:lineRule="auto"/>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广东粤丘检测科技有限公司（91440101MA5ALQ5A4R）：</w:t>
      </w:r>
    </w:p>
    <w:p w14:paraId="0EE9E911">
      <w:pPr>
        <w:pStyle w:val="8"/>
        <w:keepNext w:val="0"/>
        <w:keepLines w:val="0"/>
        <w:pageBreakBefore w:val="0"/>
        <w:kinsoku/>
        <w:wordWrap/>
        <w:overflowPunct/>
        <w:topLinePunct w:val="0"/>
        <w:autoSpaceDE/>
        <w:autoSpaceDN/>
        <w:bidi w:val="0"/>
        <w:adjustRightInd w:val="0"/>
        <w:snapToGrid w:val="0"/>
        <w:spacing w:line="312" w:lineRule="auto"/>
        <w:ind w:firstLine="636"/>
        <w:textAlignment w:val="auto"/>
        <w:rPr>
          <w:rFonts w:hint="eastAsia" w:ascii="仿宋_GB2312" w:eastAsia="仿宋_GB2312"/>
          <w:sz w:val="32"/>
          <w:szCs w:val="32"/>
        </w:rPr>
      </w:pPr>
      <w:r>
        <w:rPr>
          <w:rFonts w:hint="eastAsia" w:ascii="仿宋_GB2312" w:eastAsia="仿宋_GB2312"/>
          <w:sz w:val="32"/>
          <w:szCs w:val="32"/>
        </w:rPr>
        <w:t>你单位报送的《广东粤丘检测科技有限公司检测实验室新建项目环境影响报告表》（以下简称《报告表》）及附送资料收悉。经研究，现批复如下：</w:t>
      </w:r>
    </w:p>
    <w:p w14:paraId="14FB2D75">
      <w:pPr>
        <w:pStyle w:val="8"/>
        <w:keepNext w:val="0"/>
        <w:keepLines w:val="0"/>
        <w:pageBreakBefore w:val="0"/>
        <w:kinsoku/>
        <w:wordWrap/>
        <w:overflowPunct/>
        <w:topLinePunct w:val="0"/>
        <w:autoSpaceDE/>
        <w:autoSpaceDN/>
        <w:bidi w:val="0"/>
        <w:adjustRightInd w:val="0"/>
        <w:snapToGrid w:val="0"/>
        <w:spacing w:line="312" w:lineRule="auto"/>
        <w:ind w:firstLine="636"/>
        <w:textAlignment w:val="auto"/>
        <w:rPr>
          <w:rFonts w:hint="eastAsia" w:ascii="仿宋_GB2312" w:eastAsia="仿宋_GB2312"/>
          <w:sz w:val="32"/>
          <w:szCs w:val="32"/>
        </w:rPr>
      </w:pPr>
      <w:r>
        <w:rPr>
          <w:rFonts w:hint="eastAsia" w:ascii="仿宋_GB2312" w:eastAsia="仿宋_GB2312"/>
          <w:sz w:val="32"/>
          <w:szCs w:val="32"/>
        </w:rPr>
        <w:t>一、广东粤丘检测科技有限公司检测实验室新建项目（以下简称“该项目”）位于广州市番禺区化龙镇龙顺二路9号1栋602-1，申报内容为从事各类环境监测服务，年检测水质样品8000个、空气样品3000个、土壤样品4000个、固废样品1000个、声环境（现场）800点、辐射类（现场）50点。该项目占地面积1151.9平方米，总建筑面积1356.8平方米，租用1栋12层建筑物中的第6层部分区域（内设阁楼）；主要设备有3台气相色谱质谱联用仪、1台液相色谱仪、4台气相色谱仪、1台电感耦合等离子体质谱仪、1台等离子体电感耦合发射光谱仪、1台原子荧光光度计、1台石墨炉原子吸收分光光度计等若干检测设备和22个通风橱柜、1个洁净工作台、1个生物安全柜、3个除尘工作台、13个试剂柜、1台反渗透纯水机、1台实验室超纯水设备等；员工49名，内部不安排食宿。</w:t>
      </w:r>
    </w:p>
    <w:p w14:paraId="508EB99D">
      <w:pPr>
        <w:pStyle w:val="8"/>
        <w:keepNext w:val="0"/>
        <w:keepLines w:val="0"/>
        <w:pageBreakBefore w:val="0"/>
        <w:kinsoku/>
        <w:wordWrap/>
        <w:overflowPunct/>
        <w:topLinePunct w:val="0"/>
        <w:autoSpaceDE/>
        <w:autoSpaceDN/>
        <w:bidi w:val="0"/>
        <w:adjustRightInd w:val="0"/>
        <w:snapToGrid w:val="0"/>
        <w:spacing w:line="312" w:lineRule="auto"/>
        <w:ind w:firstLine="636"/>
        <w:textAlignment w:val="auto"/>
        <w:rPr>
          <w:rFonts w:hint="eastAsia" w:ascii="仿宋_GB2312" w:eastAsia="仿宋_GB2312"/>
          <w:sz w:val="32"/>
          <w:szCs w:val="32"/>
        </w:rPr>
        <w:sectPr>
          <w:footerReference r:id="rId3" w:type="default"/>
          <w:pgSz w:w="11906" w:h="16838"/>
          <w:pgMar w:top="1587" w:right="1474" w:bottom="1134" w:left="1587" w:header="851" w:footer="992" w:gutter="0"/>
          <w:pgNumType w:fmt="decimal" w:start="2"/>
          <w:cols w:space="425" w:num="1"/>
          <w:docGrid w:type="lines" w:linePitch="312" w:charSpace="0"/>
        </w:sectPr>
      </w:pPr>
    </w:p>
    <w:p w14:paraId="4C6145DA">
      <w:pPr>
        <w:pStyle w:val="8"/>
        <w:keepNext w:val="0"/>
        <w:keepLines w:val="0"/>
        <w:pageBreakBefore w:val="0"/>
        <w:kinsoku/>
        <w:wordWrap/>
        <w:overflowPunct/>
        <w:topLinePunct w:val="0"/>
        <w:autoSpaceDE/>
        <w:autoSpaceDN/>
        <w:bidi w:val="0"/>
        <w:adjustRightInd w:val="0"/>
        <w:snapToGrid w:val="0"/>
        <w:spacing w:line="312" w:lineRule="auto"/>
        <w:ind w:firstLine="636"/>
        <w:textAlignment w:val="auto"/>
        <w:rPr>
          <w:rFonts w:hint="eastAsia" w:ascii="仿宋_GB2312" w:eastAsia="仿宋_GB2312"/>
          <w:sz w:val="32"/>
          <w:szCs w:val="32"/>
        </w:rPr>
      </w:pPr>
      <w:r>
        <w:rPr>
          <w:rFonts w:hint="eastAsia" w:ascii="仿宋_GB2312" w:eastAsia="仿宋_GB2312"/>
          <w:sz w:val="32"/>
          <w:szCs w:val="32"/>
        </w:rPr>
        <w:t>按照《报告表》的评价结论，在落实各项环境保护措施后，该项目产生的污染物及不良环境影响能够得到有效控制，从环境保护角度，在拟选址处建设可行。经审查，我局原则同意《报告表》评价结论。该项目应当按照《报告表》所述性质、规模、地点、生产工艺和环境保护措施进行建设。</w:t>
      </w:r>
    </w:p>
    <w:p w14:paraId="4D913A0F">
      <w:pPr>
        <w:pStyle w:val="8"/>
        <w:keepNext w:val="0"/>
        <w:keepLines w:val="0"/>
        <w:pageBreakBefore w:val="0"/>
        <w:kinsoku/>
        <w:wordWrap/>
        <w:overflowPunct/>
        <w:topLinePunct w:val="0"/>
        <w:autoSpaceDE/>
        <w:autoSpaceDN/>
        <w:bidi w:val="0"/>
        <w:adjustRightInd w:val="0"/>
        <w:snapToGrid w:val="0"/>
        <w:spacing w:line="312" w:lineRule="auto"/>
        <w:ind w:firstLine="636"/>
        <w:textAlignment w:val="auto"/>
        <w:rPr>
          <w:rFonts w:hint="eastAsia" w:ascii="仿宋_GB2312" w:eastAsia="仿宋_GB2312"/>
          <w:sz w:val="32"/>
          <w:szCs w:val="32"/>
        </w:rPr>
      </w:pPr>
      <w:r>
        <w:rPr>
          <w:rFonts w:hint="eastAsia" w:ascii="仿宋_GB2312" w:eastAsia="仿宋_GB2312"/>
          <w:sz w:val="32"/>
          <w:szCs w:val="32"/>
        </w:rPr>
        <w:t>二、该项目各类污染物排放控制要求如下：</w:t>
      </w:r>
    </w:p>
    <w:p w14:paraId="2D55B082">
      <w:pPr>
        <w:pStyle w:val="8"/>
        <w:keepNext w:val="0"/>
        <w:keepLines w:val="0"/>
        <w:pageBreakBefore w:val="0"/>
        <w:kinsoku/>
        <w:wordWrap/>
        <w:overflowPunct/>
        <w:topLinePunct w:val="0"/>
        <w:autoSpaceDE/>
        <w:autoSpaceDN/>
        <w:bidi w:val="0"/>
        <w:adjustRightInd w:val="0"/>
        <w:snapToGrid w:val="0"/>
        <w:spacing w:line="312" w:lineRule="auto"/>
        <w:ind w:firstLine="636"/>
        <w:textAlignment w:val="auto"/>
        <w:rPr>
          <w:rFonts w:hint="eastAsia" w:ascii="仿宋_GB2312" w:eastAsia="仿宋_GB2312"/>
          <w:sz w:val="32"/>
          <w:szCs w:val="32"/>
        </w:rPr>
      </w:pPr>
      <w:r>
        <w:rPr>
          <w:rFonts w:hint="eastAsia" w:ascii="仿宋_GB2312" w:eastAsia="仿宋_GB2312"/>
          <w:sz w:val="32"/>
          <w:szCs w:val="32"/>
        </w:rPr>
        <w:t>（一）水污染物排放执行广东省《水污染物排放限值》（DB44/26-2001）第二时段三级标准。生活污水排放量不超过441吨/年；实验废水排放量不超过271.78吨/年。</w:t>
      </w:r>
    </w:p>
    <w:p w14:paraId="67831E1E">
      <w:pPr>
        <w:pStyle w:val="8"/>
        <w:keepNext w:val="0"/>
        <w:keepLines w:val="0"/>
        <w:pageBreakBefore w:val="0"/>
        <w:kinsoku/>
        <w:wordWrap/>
        <w:overflowPunct/>
        <w:topLinePunct w:val="0"/>
        <w:autoSpaceDE/>
        <w:autoSpaceDN/>
        <w:bidi w:val="0"/>
        <w:adjustRightInd w:val="0"/>
        <w:snapToGrid w:val="0"/>
        <w:spacing w:line="312" w:lineRule="auto"/>
        <w:ind w:firstLine="636"/>
        <w:textAlignment w:val="auto"/>
        <w:rPr>
          <w:rFonts w:hint="eastAsia" w:ascii="仿宋_GB2312" w:eastAsia="仿宋_GB2312"/>
          <w:sz w:val="32"/>
          <w:szCs w:val="32"/>
        </w:rPr>
      </w:pPr>
      <w:r>
        <w:rPr>
          <w:rFonts w:hint="eastAsia" w:ascii="仿宋_GB2312" w:eastAsia="仿宋_GB2312"/>
          <w:sz w:val="32"/>
          <w:szCs w:val="32"/>
        </w:rPr>
        <w:t>（二）臭气浓度、氨、二硫化碳执行《恶臭污染物排放标准》（GB14554-93）表1厂界新扩改建二级标准值及表2排放标准值；二氯甲烷参考执行《合成树脂工业污染物排放标准》（GB 31572-2015）表5及2024年修改单，三氯甲烷、四氯乙烯参考执行《石油化学工业污染物排放标准》（GB 31571-2015）表6中排放限值；其他大气污染物排放执行广东省《大气污染物排放限值》（DB44/27-2001）第二时段二级标准及无组织排放监控浓度限值。</w:t>
      </w:r>
    </w:p>
    <w:p w14:paraId="4A87F369">
      <w:pPr>
        <w:pStyle w:val="8"/>
        <w:keepNext w:val="0"/>
        <w:keepLines w:val="0"/>
        <w:pageBreakBefore w:val="0"/>
        <w:kinsoku/>
        <w:wordWrap/>
        <w:overflowPunct/>
        <w:topLinePunct w:val="0"/>
        <w:autoSpaceDE/>
        <w:autoSpaceDN/>
        <w:bidi w:val="0"/>
        <w:adjustRightInd w:val="0"/>
        <w:snapToGrid w:val="0"/>
        <w:spacing w:line="312" w:lineRule="auto"/>
        <w:ind w:firstLine="636"/>
        <w:textAlignment w:val="auto"/>
        <w:rPr>
          <w:rFonts w:hint="eastAsia" w:ascii="仿宋_GB2312" w:eastAsia="仿宋_GB2312"/>
          <w:sz w:val="32"/>
          <w:szCs w:val="32"/>
        </w:rPr>
      </w:pPr>
      <w:r>
        <w:rPr>
          <w:rFonts w:hint="eastAsia" w:ascii="仿宋_GB2312" w:eastAsia="仿宋_GB2312"/>
          <w:sz w:val="32"/>
          <w:szCs w:val="32"/>
        </w:rPr>
        <w:t>（三）边界噪声排放执行《工业企业厂界环境噪声排放标准》（GB12348-2008）3类区限值，即：昼间≤65dB(A)，夜间≤55dB(A)。</w:t>
      </w:r>
    </w:p>
    <w:p w14:paraId="32EF1429">
      <w:pPr>
        <w:pStyle w:val="8"/>
        <w:keepNext w:val="0"/>
        <w:keepLines w:val="0"/>
        <w:pageBreakBefore w:val="0"/>
        <w:kinsoku/>
        <w:wordWrap/>
        <w:overflowPunct/>
        <w:topLinePunct w:val="0"/>
        <w:autoSpaceDE/>
        <w:autoSpaceDN/>
        <w:bidi w:val="0"/>
        <w:adjustRightInd w:val="0"/>
        <w:snapToGrid w:val="0"/>
        <w:spacing w:line="312" w:lineRule="auto"/>
        <w:ind w:firstLine="636"/>
        <w:textAlignment w:val="auto"/>
        <w:rPr>
          <w:rFonts w:hint="eastAsia" w:ascii="仿宋_GB2312" w:eastAsia="仿宋_GB2312"/>
          <w:sz w:val="32"/>
          <w:szCs w:val="32"/>
        </w:rPr>
      </w:pPr>
      <w:r>
        <w:rPr>
          <w:rFonts w:hint="eastAsia" w:ascii="仿宋_GB2312" w:eastAsia="仿宋_GB2312"/>
          <w:sz w:val="32"/>
          <w:szCs w:val="32"/>
        </w:rPr>
        <w:t>三、该项目应当认真落实《报告表》提出的各项环境保护措施，重点做好以下工作：</w:t>
      </w:r>
    </w:p>
    <w:p w14:paraId="568E21FC">
      <w:pPr>
        <w:pStyle w:val="8"/>
        <w:keepNext w:val="0"/>
        <w:keepLines w:val="0"/>
        <w:pageBreakBefore w:val="0"/>
        <w:kinsoku/>
        <w:wordWrap/>
        <w:overflowPunct/>
        <w:topLinePunct w:val="0"/>
        <w:autoSpaceDE/>
        <w:autoSpaceDN/>
        <w:bidi w:val="0"/>
        <w:adjustRightInd w:val="0"/>
        <w:snapToGrid w:val="0"/>
        <w:spacing w:line="312" w:lineRule="auto"/>
        <w:ind w:firstLine="636"/>
        <w:textAlignment w:val="auto"/>
        <w:rPr>
          <w:rFonts w:hint="eastAsia" w:ascii="仿宋_GB2312" w:eastAsia="仿宋_GB2312"/>
          <w:sz w:val="32"/>
          <w:szCs w:val="32"/>
        </w:rPr>
      </w:pPr>
      <w:r>
        <w:rPr>
          <w:rFonts w:hint="eastAsia" w:ascii="仿宋_GB2312" w:eastAsia="仿宋_GB2312"/>
          <w:sz w:val="32"/>
          <w:szCs w:val="32"/>
        </w:rPr>
        <w:t>（一）排水系统采用雨污分流。碱液喷淋废水循环使用，定期更换外排。实验废水经自建污水处理设施处理达标后，与生活污水一起经三级化粪池预处理后排入市政集污管网，送化龙净水厂集中处理。项目设置废水排放口</w:t>
      </w:r>
      <w:r>
        <w:rPr>
          <w:rFonts w:hint="eastAsia" w:ascii="仿宋_GB2312" w:eastAsia="仿宋_GB2312"/>
          <w:sz w:val="32"/>
          <w:szCs w:val="32"/>
          <w:lang w:val="en-US" w:eastAsia="zh-CN"/>
        </w:rPr>
        <w:t>1</w:t>
      </w:r>
      <w:r>
        <w:rPr>
          <w:rFonts w:hint="eastAsia" w:ascii="仿宋_GB2312" w:eastAsia="仿宋_GB2312"/>
          <w:sz w:val="32"/>
          <w:szCs w:val="32"/>
        </w:rPr>
        <w:t>个。</w:t>
      </w:r>
    </w:p>
    <w:p w14:paraId="55A34AB7">
      <w:pPr>
        <w:pStyle w:val="8"/>
        <w:keepNext w:val="0"/>
        <w:keepLines w:val="0"/>
        <w:pageBreakBefore w:val="0"/>
        <w:kinsoku/>
        <w:wordWrap/>
        <w:overflowPunct/>
        <w:topLinePunct w:val="0"/>
        <w:autoSpaceDE/>
        <w:autoSpaceDN/>
        <w:bidi w:val="0"/>
        <w:adjustRightInd w:val="0"/>
        <w:snapToGrid w:val="0"/>
        <w:spacing w:line="312" w:lineRule="auto"/>
        <w:ind w:firstLine="636"/>
        <w:textAlignment w:val="auto"/>
        <w:rPr>
          <w:rFonts w:hint="eastAsia" w:ascii="仿宋_GB2312" w:eastAsia="仿宋_GB2312"/>
          <w:sz w:val="32"/>
          <w:szCs w:val="32"/>
        </w:rPr>
      </w:pPr>
      <w:r>
        <w:rPr>
          <w:rFonts w:hint="eastAsia" w:ascii="仿宋_GB2312" w:eastAsia="仿宋_GB2312"/>
          <w:sz w:val="32"/>
          <w:szCs w:val="32"/>
        </w:rPr>
        <w:t>（二）微生物气溶胶经过经生物安全柜配套的高效过滤排风机（含HEPA 滤网）过滤后无组织排放。检测产生的有机废气收集后通过专用管道引至楼顶“活性炭吸附装置”处理后高空排放；检测产生的无机废气收集后通过专用管道引至楼顶“碱液喷淋塔”处理后高空排放，排放口高度不低于15米。项目设置废气排放口2个。</w:t>
      </w:r>
    </w:p>
    <w:p w14:paraId="35F12B8F">
      <w:pPr>
        <w:pStyle w:val="8"/>
        <w:keepNext w:val="0"/>
        <w:keepLines w:val="0"/>
        <w:pageBreakBefore w:val="0"/>
        <w:kinsoku/>
        <w:wordWrap/>
        <w:overflowPunct/>
        <w:topLinePunct w:val="0"/>
        <w:autoSpaceDE/>
        <w:autoSpaceDN/>
        <w:bidi w:val="0"/>
        <w:adjustRightInd w:val="0"/>
        <w:snapToGrid w:val="0"/>
        <w:spacing w:line="312" w:lineRule="auto"/>
        <w:ind w:firstLine="636"/>
        <w:textAlignment w:val="auto"/>
        <w:rPr>
          <w:rFonts w:hint="eastAsia" w:ascii="仿宋_GB2312" w:eastAsia="仿宋_GB2312"/>
          <w:sz w:val="32"/>
          <w:szCs w:val="32"/>
        </w:rPr>
      </w:pPr>
      <w:r>
        <w:rPr>
          <w:rFonts w:hint="eastAsia" w:ascii="仿宋_GB2312" w:eastAsia="仿宋_GB2312"/>
          <w:sz w:val="32"/>
          <w:szCs w:val="32"/>
        </w:rPr>
        <w:t>加强项目边界无组织排放废气的监控，确保项目边界无组织排放监控点的废气达到相应标准限值的要求，监测超标时应加强对无组织排放废气进行收集、净化处理。</w:t>
      </w:r>
    </w:p>
    <w:p w14:paraId="238A4780">
      <w:pPr>
        <w:pStyle w:val="8"/>
        <w:keepNext w:val="0"/>
        <w:keepLines w:val="0"/>
        <w:pageBreakBefore w:val="0"/>
        <w:kinsoku/>
        <w:wordWrap/>
        <w:overflowPunct/>
        <w:topLinePunct w:val="0"/>
        <w:autoSpaceDE/>
        <w:autoSpaceDN/>
        <w:bidi w:val="0"/>
        <w:adjustRightInd w:val="0"/>
        <w:snapToGrid w:val="0"/>
        <w:spacing w:line="312" w:lineRule="auto"/>
        <w:ind w:firstLine="636"/>
        <w:textAlignment w:val="auto"/>
        <w:rPr>
          <w:rFonts w:hint="eastAsia" w:ascii="仿宋_GB2312" w:eastAsia="仿宋_GB2312"/>
          <w:sz w:val="32"/>
          <w:szCs w:val="32"/>
        </w:rPr>
      </w:pPr>
      <w:r>
        <w:rPr>
          <w:rFonts w:hint="eastAsia" w:ascii="仿宋_GB2312" w:eastAsia="仿宋_GB2312"/>
          <w:sz w:val="32"/>
          <w:szCs w:val="32"/>
        </w:rPr>
        <w:t>（三）选用低噪声设备，合理布设生产车间，对噪声源采取隔声、减振等措施，定期检修设备。</w:t>
      </w:r>
    </w:p>
    <w:p w14:paraId="467211C6">
      <w:pPr>
        <w:pStyle w:val="8"/>
        <w:keepNext w:val="0"/>
        <w:keepLines w:val="0"/>
        <w:pageBreakBefore w:val="0"/>
        <w:kinsoku/>
        <w:wordWrap/>
        <w:overflowPunct/>
        <w:topLinePunct w:val="0"/>
        <w:autoSpaceDE/>
        <w:autoSpaceDN/>
        <w:bidi w:val="0"/>
        <w:adjustRightInd w:val="0"/>
        <w:snapToGrid w:val="0"/>
        <w:spacing w:line="312" w:lineRule="auto"/>
        <w:ind w:firstLine="636"/>
        <w:textAlignment w:val="auto"/>
        <w:rPr>
          <w:rFonts w:hint="eastAsia" w:ascii="仿宋_GB2312" w:eastAsia="仿宋_GB2312"/>
          <w:sz w:val="32"/>
          <w:szCs w:val="32"/>
        </w:rPr>
      </w:pPr>
      <w:r>
        <w:rPr>
          <w:rFonts w:hint="eastAsia" w:ascii="仿宋_GB2312" w:eastAsia="仿宋_GB2312"/>
          <w:sz w:val="32"/>
          <w:szCs w:val="32"/>
        </w:rPr>
        <w:t>（四）实验废液、废实验固体、废生物柜过滤介质、有害废样品、废UV灯管、废活性炭、污水处理设施产生的污泥等危险废物须设置符合《危险废物贮存污染控制标准》（GB18597-2023）要求的专用贮存场所存放并委托具备危险废物处理资质的机构处理。</w:t>
      </w:r>
    </w:p>
    <w:p w14:paraId="27D18C22">
      <w:pPr>
        <w:pStyle w:val="8"/>
        <w:keepNext w:val="0"/>
        <w:keepLines w:val="0"/>
        <w:pageBreakBefore w:val="0"/>
        <w:kinsoku/>
        <w:wordWrap/>
        <w:overflowPunct/>
        <w:topLinePunct w:val="0"/>
        <w:autoSpaceDE/>
        <w:autoSpaceDN/>
        <w:bidi w:val="0"/>
        <w:adjustRightInd w:val="0"/>
        <w:snapToGrid w:val="0"/>
        <w:spacing w:line="312" w:lineRule="auto"/>
        <w:ind w:firstLine="636"/>
        <w:textAlignment w:val="auto"/>
        <w:rPr>
          <w:rFonts w:hint="eastAsia" w:ascii="仿宋_GB2312" w:eastAsia="仿宋_GB2312"/>
          <w:sz w:val="32"/>
          <w:szCs w:val="32"/>
        </w:rPr>
      </w:pPr>
      <w:r>
        <w:rPr>
          <w:rFonts w:hint="eastAsia" w:ascii="仿宋_GB2312" w:eastAsia="仿宋_GB2312"/>
          <w:sz w:val="32"/>
          <w:szCs w:val="32"/>
        </w:rPr>
        <w:t>四、该项目的性质、规模、地点、采用的生产工艺或者防治污染、防止生态破坏的措施发生重大变动的，你单位应当重新报批环境影响评价文件。</w:t>
      </w:r>
    </w:p>
    <w:p w14:paraId="18488BA8">
      <w:pPr>
        <w:pStyle w:val="8"/>
        <w:keepNext w:val="0"/>
        <w:keepLines w:val="0"/>
        <w:pageBreakBefore w:val="0"/>
        <w:kinsoku/>
        <w:wordWrap/>
        <w:overflowPunct/>
        <w:topLinePunct w:val="0"/>
        <w:autoSpaceDE/>
        <w:autoSpaceDN/>
        <w:bidi w:val="0"/>
        <w:adjustRightInd w:val="0"/>
        <w:snapToGrid w:val="0"/>
        <w:spacing w:line="312" w:lineRule="auto"/>
        <w:ind w:firstLine="636"/>
        <w:textAlignment w:val="auto"/>
        <w:rPr>
          <w:rFonts w:hint="eastAsia" w:ascii="仿宋_GB2312" w:eastAsia="仿宋_GB2312"/>
          <w:sz w:val="32"/>
          <w:szCs w:val="32"/>
        </w:rPr>
      </w:pPr>
      <w:r>
        <w:rPr>
          <w:rFonts w:hint="eastAsia" w:ascii="仿宋_GB2312" w:eastAsia="仿宋_GB2312"/>
          <w:sz w:val="32"/>
          <w:szCs w:val="32"/>
        </w:rPr>
        <w:t>五、自《报告表》批准之日起超过五年，方决定该项目开工建设的，《报告表》应当在开工建设前报我局重新审核。未经我局重新审核同意的，不得擅自开工建设。</w:t>
      </w:r>
    </w:p>
    <w:p w14:paraId="540659CD">
      <w:pPr>
        <w:pStyle w:val="8"/>
        <w:keepNext w:val="0"/>
        <w:keepLines w:val="0"/>
        <w:pageBreakBefore w:val="0"/>
        <w:kinsoku/>
        <w:wordWrap/>
        <w:overflowPunct/>
        <w:topLinePunct w:val="0"/>
        <w:autoSpaceDE/>
        <w:autoSpaceDN/>
        <w:bidi w:val="0"/>
        <w:adjustRightInd w:val="0"/>
        <w:snapToGrid w:val="0"/>
        <w:spacing w:line="312" w:lineRule="auto"/>
        <w:ind w:firstLine="636"/>
        <w:textAlignment w:val="auto"/>
        <w:rPr>
          <w:rFonts w:hint="eastAsia" w:ascii="仿宋_GB2312" w:eastAsia="仿宋_GB2312"/>
          <w:sz w:val="32"/>
          <w:szCs w:val="32"/>
        </w:rPr>
      </w:pPr>
      <w:r>
        <w:rPr>
          <w:rFonts w:hint="eastAsia" w:ascii="仿宋_GB2312" w:eastAsia="仿宋_GB2312"/>
          <w:sz w:val="32"/>
          <w:szCs w:val="32"/>
        </w:rPr>
        <w:t>六、该项目建设应严格执行配套建设的环境保护设施与主体工程同时设计、同时施工、同时投产使用的环境保护“三同时”制度，具体要求如下：</w:t>
      </w:r>
    </w:p>
    <w:p w14:paraId="72130058">
      <w:pPr>
        <w:pStyle w:val="8"/>
        <w:keepNext w:val="0"/>
        <w:keepLines w:val="0"/>
        <w:pageBreakBefore w:val="0"/>
        <w:kinsoku/>
        <w:wordWrap/>
        <w:overflowPunct/>
        <w:topLinePunct w:val="0"/>
        <w:autoSpaceDE/>
        <w:autoSpaceDN/>
        <w:bidi w:val="0"/>
        <w:adjustRightInd w:val="0"/>
        <w:snapToGrid w:val="0"/>
        <w:spacing w:line="312" w:lineRule="auto"/>
        <w:ind w:firstLine="636"/>
        <w:textAlignment w:val="auto"/>
        <w:rPr>
          <w:rFonts w:hint="eastAsia" w:ascii="仿宋_GB2312" w:eastAsia="仿宋_GB2312"/>
          <w:sz w:val="32"/>
          <w:szCs w:val="32"/>
        </w:rPr>
      </w:pPr>
      <w:r>
        <w:rPr>
          <w:rFonts w:hint="eastAsia" w:ascii="仿宋_GB2312" w:eastAsia="仿宋_GB2312"/>
          <w:sz w:val="32"/>
          <w:szCs w:val="32"/>
        </w:rPr>
        <w:t>（一）项目竣工后，你单位应按规定申请取得排污许可证或填报排污登记表，并按照规定的标准、程序和时限，对配套建设的环境保护设施进行验收，编制验收报告，依法向社会公开。</w:t>
      </w:r>
    </w:p>
    <w:p w14:paraId="0DC30632">
      <w:pPr>
        <w:pStyle w:val="8"/>
        <w:keepNext w:val="0"/>
        <w:keepLines w:val="0"/>
        <w:pageBreakBefore w:val="0"/>
        <w:kinsoku/>
        <w:wordWrap/>
        <w:overflowPunct/>
        <w:topLinePunct w:val="0"/>
        <w:autoSpaceDE/>
        <w:autoSpaceDN/>
        <w:bidi w:val="0"/>
        <w:adjustRightInd w:val="0"/>
        <w:snapToGrid w:val="0"/>
        <w:spacing w:line="312" w:lineRule="auto"/>
        <w:ind w:firstLine="636"/>
        <w:textAlignment w:val="auto"/>
        <w:rPr>
          <w:rFonts w:hint="eastAsia" w:ascii="仿宋_GB2312" w:eastAsia="仿宋_GB2312"/>
          <w:sz w:val="32"/>
          <w:szCs w:val="32"/>
        </w:rPr>
      </w:pPr>
      <w:r>
        <w:rPr>
          <w:rFonts w:hint="eastAsia" w:ascii="仿宋_GB2312" w:eastAsia="仿宋_GB2312"/>
          <w:sz w:val="32"/>
          <w:szCs w:val="32"/>
        </w:rPr>
        <w:t>（二）项目配套建设的环境保护设施经验收合格后，方可投入生产或者使用。</w:t>
      </w:r>
    </w:p>
    <w:p w14:paraId="04BF6DC1">
      <w:pPr>
        <w:pStyle w:val="8"/>
        <w:keepNext w:val="0"/>
        <w:keepLines w:val="0"/>
        <w:pageBreakBefore w:val="0"/>
        <w:kinsoku/>
        <w:wordWrap/>
        <w:overflowPunct/>
        <w:topLinePunct w:val="0"/>
        <w:autoSpaceDE/>
        <w:autoSpaceDN/>
        <w:bidi w:val="0"/>
        <w:adjustRightInd w:val="0"/>
        <w:snapToGrid w:val="0"/>
        <w:spacing w:line="312" w:lineRule="auto"/>
        <w:ind w:firstLine="636"/>
        <w:textAlignment w:val="auto"/>
        <w:rPr>
          <w:rFonts w:hint="eastAsia" w:ascii="仿宋_GB2312" w:eastAsia="仿宋_GB2312"/>
          <w:sz w:val="32"/>
          <w:szCs w:val="32"/>
        </w:rPr>
      </w:pPr>
      <w:r>
        <w:rPr>
          <w:rFonts w:hint="eastAsia" w:ascii="仿宋_GB2312" w:eastAsia="仿宋_GB2312"/>
          <w:sz w:val="32"/>
          <w:szCs w:val="32"/>
        </w:rPr>
        <w:t>七、该项目建设和运行过程中如涉及规划、土地利用、建设、水务、消防、安全等问题，应遵照相关法律法规要求到相应的行政主管部门办理有关手续。</w:t>
      </w:r>
    </w:p>
    <w:p w14:paraId="5CF44421">
      <w:pPr>
        <w:pStyle w:val="8"/>
        <w:keepNext w:val="0"/>
        <w:keepLines w:val="0"/>
        <w:pageBreakBefore w:val="0"/>
        <w:kinsoku/>
        <w:wordWrap/>
        <w:overflowPunct/>
        <w:topLinePunct w:val="0"/>
        <w:autoSpaceDE/>
        <w:autoSpaceDN/>
        <w:bidi w:val="0"/>
        <w:adjustRightInd w:val="0"/>
        <w:snapToGrid w:val="0"/>
        <w:spacing w:line="312" w:lineRule="auto"/>
        <w:ind w:firstLine="636"/>
        <w:textAlignment w:val="auto"/>
        <w:rPr>
          <w:rFonts w:eastAsia="仿宋_GB2312"/>
          <w:sz w:val="32"/>
          <w:szCs w:val="32"/>
        </w:rPr>
      </w:pPr>
      <w:r>
        <w:rPr>
          <w:rFonts w:hint="eastAsia" w:ascii="仿宋_GB2312" w:eastAsia="仿宋_GB2312"/>
          <w:sz w:val="32"/>
          <w:szCs w:val="32"/>
        </w:rPr>
        <w:t>八、当事人如不服本决定，可在收到文书之日起60日内向广州市人民政府行政复议机构广州市政府行政复议办公室窗口（地址：广州市越秀区小北路183号金和大厦2楼，电话：020-83555988）提出行政复议申请；或者在收到文书之日起6个月内直接向广州铁路运输法院提起行政诉讼。申请行政复议或提起行政诉讼的，不停止本决定的执行</w:t>
      </w:r>
      <w:r>
        <w:rPr>
          <w:rFonts w:hint="eastAsia" w:ascii="仿宋_GB2312" w:eastAsia="仿宋_GB2312"/>
          <w:color w:val="000000" w:themeColor="text1"/>
          <w:sz w:val="32"/>
          <w:szCs w:val="32"/>
          <w14:textFill>
            <w14:solidFill>
              <w14:schemeClr w14:val="tx1"/>
            </w14:solidFill>
          </w14:textFill>
        </w:rPr>
        <w:t>。</w:t>
      </w:r>
    </w:p>
    <w:p w14:paraId="3CC4914A">
      <w:pPr>
        <w:ind w:firstLine="640" w:firstLineChars="200"/>
        <w:rPr>
          <w:rFonts w:ascii="仿宋_GB2312" w:eastAsia="仿宋_GB2312"/>
          <w:color w:val="FF0000"/>
          <w:sz w:val="32"/>
          <w:szCs w:val="32"/>
        </w:rPr>
      </w:pPr>
    </w:p>
    <w:p w14:paraId="3D5BA641">
      <w:pPr>
        <w:ind w:firstLine="4480" w:firstLineChars="1400"/>
        <w:rPr>
          <w:rFonts w:ascii="仿宋_GB2312" w:eastAsia="仿宋_GB2312"/>
          <w:sz w:val="32"/>
          <w:szCs w:val="32"/>
        </w:rPr>
      </w:pPr>
    </w:p>
    <w:p w14:paraId="3EF9D14E">
      <w:pPr>
        <w:ind w:firstLine="4480" w:firstLineChars="1400"/>
        <w:rPr>
          <w:rFonts w:ascii="仿宋_GB2312" w:eastAsia="仿宋_GB2312"/>
          <w:sz w:val="32"/>
          <w:szCs w:val="32"/>
        </w:rPr>
      </w:pPr>
    </w:p>
    <w:p w14:paraId="351BA4E0">
      <w:pPr>
        <w:ind w:firstLine="4480" w:firstLineChars="1400"/>
        <w:rPr>
          <w:rFonts w:ascii="仿宋_GB2312" w:eastAsia="仿宋_GB2312"/>
          <w:sz w:val="32"/>
          <w:szCs w:val="32"/>
        </w:rPr>
      </w:pPr>
      <w:r>
        <w:rPr>
          <w:rFonts w:hint="eastAsia" w:ascii="仿宋_GB2312" w:eastAsia="仿宋_GB2312"/>
          <w:sz w:val="32"/>
          <w:szCs w:val="32"/>
        </w:rPr>
        <w:t xml:space="preserve">     广州市生态环境局</w:t>
      </w:r>
    </w:p>
    <w:p w14:paraId="53A35871">
      <w:pPr>
        <w:tabs>
          <w:tab w:val="left" w:pos="7371"/>
          <w:tab w:val="left" w:pos="7655"/>
          <w:tab w:val="left" w:pos="7797"/>
        </w:tabs>
        <w:ind w:firstLine="4480" w:firstLineChars="1400"/>
        <w:rPr>
          <w:rFonts w:ascii="仿宋_GB2312" w:eastAsia="仿宋_GB2312"/>
          <w:sz w:val="32"/>
          <w:szCs w:val="32"/>
        </w:rPr>
      </w:pPr>
      <w:r>
        <w:rPr>
          <w:rFonts w:hint="eastAsia" w:ascii="仿宋_GB2312" w:eastAsia="仿宋_GB2312"/>
          <w:sz w:val="32"/>
          <w:szCs w:val="32"/>
        </w:rPr>
        <w:t xml:space="preserve">     202</w:t>
      </w:r>
      <w:r>
        <w:rPr>
          <w:rFonts w:hint="eastAsia" w:ascii="仿宋_GB2312" w:eastAsia="仿宋_GB2312"/>
          <w:sz w:val="32"/>
          <w:szCs w:val="32"/>
          <w:lang w:val="en-US" w:eastAsia="zh-CN"/>
        </w:rPr>
        <w:t>5</w:t>
      </w:r>
      <w:r>
        <w:rPr>
          <w:rFonts w:hint="eastAsia" w:ascii="仿宋_GB2312" w:eastAsia="仿宋_GB2312"/>
          <w:sz w:val="32"/>
          <w:szCs w:val="32"/>
        </w:rPr>
        <w:t>年</w:t>
      </w:r>
      <w:r>
        <w:rPr>
          <w:rFonts w:hint="eastAsia" w:ascii="仿宋_GB2312" w:eastAsia="仿宋_GB2312"/>
          <w:sz w:val="32"/>
          <w:szCs w:val="32"/>
          <w:lang w:val="en-US" w:eastAsia="zh-CN"/>
        </w:rPr>
        <w:t>8</w:t>
      </w:r>
      <w:r>
        <w:rPr>
          <w:rFonts w:hint="eastAsia" w:ascii="仿宋_GB2312" w:eastAsia="仿宋_GB2312"/>
          <w:sz w:val="32"/>
          <w:szCs w:val="32"/>
        </w:rPr>
        <w:t>月</w:t>
      </w:r>
      <w:r>
        <w:rPr>
          <w:rFonts w:hint="eastAsia" w:ascii="仿宋_GB2312" w:eastAsia="仿宋_GB2312"/>
          <w:sz w:val="32"/>
          <w:szCs w:val="32"/>
          <w:lang w:val="en-US" w:eastAsia="zh-CN"/>
        </w:rPr>
        <w:t>7</w:t>
      </w:r>
      <w:r>
        <w:rPr>
          <w:rFonts w:hint="eastAsia" w:ascii="仿宋_GB2312" w:eastAsia="仿宋_GB2312"/>
          <w:sz w:val="32"/>
          <w:szCs w:val="32"/>
        </w:rPr>
        <w:t>日</w:t>
      </w:r>
    </w:p>
    <w:p w14:paraId="45AAAA8A">
      <w:pPr>
        <w:rPr>
          <w:rFonts w:hint="eastAsia" w:ascii="黑体" w:eastAsia="黑体"/>
          <w:sz w:val="32"/>
          <w:szCs w:val="32"/>
        </w:rPr>
      </w:pPr>
    </w:p>
    <w:p w14:paraId="0FE87133">
      <w:pPr>
        <w:rPr>
          <w:rFonts w:hint="eastAsia" w:ascii="黑体" w:eastAsia="黑体"/>
          <w:sz w:val="32"/>
          <w:szCs w:val="32"/>
        </w:rPr>
      </w:pPr>
    </w:p>
    <w:p w14:paraId="7ADF71F6">
      <w:pPr>
        <w:rPr>
          <w:rFonts w:hint="eastAsia" w:ascii="黑体" w:eastAsia="黑体"/>
          <w:sz w:val="32"/>
          <w:szCs w:val="32"/>
        </w:rPr>
      </w:pPr>
    </w:p>
    <w:p w14:paraId="19783E9E">
      <w:pPr>
        <w:rPr>
          <w:rFonts w:ascii="仿宋_GB2312" w:eastAsia="仿宋_GB2312"/>
          <w:sz w:val="32"/>
          <w:szCs w:val="32"/>
        </w:rPr>
      </w:pPr>
      <w:r>
        <w:rPr>
          <w:rFonts w:hint="eastAsia" w:ascii="黑体" w:eastAsia="黑体"/>
          <w:sz w:val="32"/>
          <w:szCs w:val="32"/>
        </w:rPr>
        <w:t>公开方式：</w:t>
      </w:r>
      <w:r>
        <w:rPr>
          <w:rFonts w:hint="eastAsia" w:ascii="仿宋_GB2312" w:eastAsia="仿宋_GB2312"/>
          <w:sz w:val="32"/>
          <w:szCs w:val="32"/>
        </w:rPr>
        <w:t>主动公开</w:t>
      </w:r>
    </w:p>
    <w:p w14:paraId="3626A1E9">
      <w:pPr>
        <w:spacing w:line="560" w:lineRule="exact"/>
        <w:ind w:firstLine="560" w:firstLineChars="200"/>
        <w:rPr>
          <w:rFonts w:hint="eastAsia" w:ascii="仿宋_GB2312" w:eastAsia="仿宋_GB2312"/>
          <w:sz w:val="28"/>
          <w:szCs w:val="28"/>
        </w:rPr>
      </w:pPr>
      <w:r>
        <w:rPr>
          <w:rFonts w:hint="eastAsia" w:ascii="仿宋_GB2312" w:eastAsia="仿宋_GB2312"/>
          <w:sz w:val="28"/>
          <w:szCs w:val="28"/>
        </w:rPr>
        <w:t>抄送：广州市生态环境局番禺分局执法三科、番禺第三环保所，广州</w:t>
      </w:r>
    </w:p>
    <w:p w14:paraId="000B5633">
      <w:pPr>
        <w:spacing w:line="560" w:lineRule="exact"/>
        <w:ind w:firstLine="1400" w:firstLineChars="500"/>
        <w:rPr>
          <w:rFonts w:hint="default" w:ascii="Times New Roman" w:hAnsi="Times New Roman" w:eastAsia="仿宋_GB2312" w:cs="Times New Roman"/>
          <w:sz w:val="32"/>
          <w:szCs w:val="32"/>
        </w:rPr>
      </w:pPr>
      <w:r>
        <w:rPr>
          <w:rFonts w:hint="eastAsia" w:ascii="仿宋_GB2312" w:eastAsia="仿宋_GB2312"/>
          <w:sz w:val="28"/>
          <w:szCs w:val="28"/>
        </w:rPr>
        <w:t>坦源环保科技有限公司</w:t>
      </w:r>
      <w:r>
        <w:rPr>
          <w:rFonts w:hint="default" w:ascii="Times New Roman" w:hAnsi="Times New Roman" w:eastAsia="仿宋_GB2312" w:cs="Times New Roman"/>
          <w:sz w:val="28"/>
          <w:szCs w:val="28"/>
        </w:rPr>
        <w:t>。</w:t>
      </w:r>
    </w:p>
    <w:sectPr>
      <w:footerReference r:id="rId4" w:type="default"/>
      <w:pgSz w:w="11906" w:h="16838"/>
      <w:pgMar w:top="1587" w:right="1474" w:bottom="1134" w:left="1587" w:header="851" w:footer="992" w:gutter="0"/>
      <w:pgNumType w:fmt="decimal" w:start="2"/>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65C8D3">
    <w:pPr>
      <w:pStyle w:val="2"/>
      <w:wordWrap w:val="0"/>
      <w:ind w:right="360" w:firstLine="360"/>
      <w:jc w:val="right"/>
      <w:rPr>
        <w:rFonts w:hint="eastAsia" w:ascii="Arial" w:hAnsi="Arial" w:cs="Arial"/>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posOffset>5248275</wp:posOffset>
              </wp:positionH>
              <wp:positionV relativeFrom="paragraph">
                <wp:posOffset>209550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BEDB28">
                          <w:pPr>
                            <w:pStyle w:val="2"/>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413.25pt;margin-top:16.5pt;height:144pt;width:144pt;mso-position-horizontal-relative:margin;mso-wrap-style:none;z-index:251660288;mso-width-relative:page;mso-height-relative:page;" filled="f" stroked="f" coordsize="21600,21600" o:gfxdata="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F3mbT1gAAAAsBAAAPAAAAAAAAAAEAIAAAACIAAABkcnMvZG93bnJldi54bWxQ&#10;SwECFAAUAAAACACHTuJA4YDTjjICAABhBAAADgAAAAAAAAABACAAAAAlAQAAZHJzL2Uyb0RvYy54&#10;bWxQSwUGAAAAAAYABgBZAQAAyQUAAAAA&#10;">
              <v:fill on="f" focussize="0,0"/>
              <v:stroke on="f" weight="0.5pt"/>
              <v:imagedata o:title=""/>
              <o:lock v:ext="edit" aspectratio="f"/>
              <v:textbox inset="0mm,0mm,0mm,0mm" style="mso-fit-shape-to-text:t;">
                <w:txbxContent>
                  <w:p w14:paraId="3BBEDB28">
                    <w:pPr>
                      <w:pStyle w:val="2"/>
                    </w:pPr>
                  </w:p>
                </w:txbxContent>
              </v:textbox>
            </v:shape>
          </w:pict>
        </mc:Fallback>
      </mc:AlternateContent>
    </w:r>
    <w:r>
      <w:rPr>
        <w:sz w:val="28"/>
      </w:rPr>
      <mc:AlternateContent>
        <mc:Choice Requires="wps">
          <w:drawing>
            <wp:anchor distT="0" distB="0" distL="114300" distR="114300" simplePos="0" relativeHeight="251659264" behindDoc="0" locked="0" layoutInCell="1" allowOverlap="1">
              <wp:simplePos x="0" y="0"/>
              <wp:positionH relativeFrom="margin">
                <wp:posOffset>4991100</wp:posOffset>
              </wp:positionH>
              <wp:positionV relativeFrom="paragraph">
                <wp:posOffset>123825</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B1D5F5">
                          <w:pPr>
                            <w:rPr>
                              <w:rFonts w:hint="eastAsia"/>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393pt;margin-top:9.75pt;height:144pt;width:144pt;mso-position-horizontal-relative:margin;mso-wrap-style:none;z-index:251659264;mso-width-relative:page;mso-height-relative:page;" filled="f" stroked="f" coordsize="21600,21600" o:gfxdata="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MLgS3fYAAAACwEAAA8AAAAAAAAAAQAgAAAAIgAAAGRycy9kb3ducmV2Lnht&#10;bFBLAQIUABQAAAAIAIdO4kD1i4dkMgIAAGEEAAAOAAAAAAAAAAEAIAAAACcBAABkcnMvZTJvRG9j&#10;LnhtbFBLBQYAAAAABgAGAFkBAADLBQAAAAA=&#10;">
              <v:fill on="f" focussize="0,0"/>
              <v:stroke on="f" weight="0.5pt"/>
              <v:imagedata o:title=""/>
              <o:lock v:ext="edit" aspectratio="f"/>
              <v:textbox inset="0mm,0mm,0mm,0mm" style="mso-fit-shape-to-text:t;">
                <w:txbxContent>
                  <w:p w14:paraId="63B1D5F5">
                    <w:pPr>
                      <w:rPr>
                        <w:rFonts w:hint="eastAsia"/>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E2C25B">
    <w:pPr>
      <w:pStyle w:val="2"/>
      <w:wordWrap w:val="0"/>
      <w:ind w:right="360" w:firstLine="360"/>
      <w:jc w:val="right"/>
      <w:rPr>
        <w:rFonts w:hint="eastAsia" w:ascii="Arial" w:hAnsi="Arial" w:cs="Arial"/>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E10880">
                          <w:pPr>
                            <w:pStyle w:val="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0FE10880">
                    <w:pPr>
                      <w:pStyle w:val="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r>
      <w:rPr>
        <w:sz w:val="28"/>
      </w:rPr>
      <mc:AlternateContent>
        <mc:Choice Requires="wps">
          <w:drawing>
            <wp:anchor distT="0" distB="0" distL="114300" distR="114300" simplePos="0" relativeHeight="251662336" behindDoc="0" locked="0" layoutInCell="1" allowOverlap="1">
              <wp:simplePos x="0" y="0"/>
              <wp:positionH relativeFrom="margin">
                <wp:posOffset>5248275</wp:posOffset>
              </wp:positionH>
              <wp:positionV relativeFrom="paragraph">
                <wp:posOffset>209550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0DCD34">
                          <w:pPr>
                            <w:pStyle w:val="2"/>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413.25pt;margin-top:16.5pt;height:144pt;width:144pt;mso-position-horizontal-relative:margin;mso-wrap-style:none;z-index:251662336;mso-width-relative:page;mso-height-relative:page;" filled="f" stroked="f" coordsize="21600,21600" o:gfxdata="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F3mbT1gAAAAsBAAAPAAAAAAAAAAEAIAAAACIAAABkcnMvZG93bnJldi54bWxQ&#10;SwECFAAUAAAACACHTuJAApUg9DICAABhBAAADgAAAAAAAAABACAAAAAlAQAAZHJzL2Uyb0RvYy54&#10;bWxQSwUGAAAAAAYABgBZAQAAyQUAAAAA&#10;">
              <v:fill on="f" focussize="0,0"/>
              <v:stroke on="f" weight="0.5pt"/>
              <v:imagedata o:title=""/>
              <o:lock v:ext="edit" aspectratio="f"/>
              <v:textbox inset="0mm,0mm,0mm,0mm" style="mso-fit-shape-to-text:t;">
                <w:txbxContent>
                  <w:p w14:paraId="610DCD34">
                    <w:pPr>
                      <w:pStyle w:val="2"/>
                    </w:pPr>
                  </w:p>
                </w:txbxContent>
              </v:textbox>
            </v:shape>
          </w:pict>
        </mc:Fallback>
      </mc:AlternateContent>
    </w:r>
    <w:r>
      <w:rPr>
        <w:sz w:val="28"/>
      </w:rPr>
      <mc:AlternateContent>
        <mc:Choice Requires="wps">
          <w:drawing>
            <wp:anchor distT="0" distB="0" distL="114300" distR="114300" simplePos="0" relativeHeight="251661312" behindDoc="0" locked="0" layoutInCell="1" allowOverlap="1">
              <wp:simplePos x="0" y="0"/>
              <wp:positionH relativeFrom="margin">
                <wp:posOffset>4991100</wp:posOffset>
              </wp:positionH>
              <wp:positionV relativeFrom="paragraph">
                <wp:posOffset>123825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48601D">
                          <w:pPr>
                            <w:rPr>
                              <w:rFonts w:hint="eastAsia"/>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393pt;margin-top:9.75pt;height:144pt;width:144pt;mso-position-horizontal-relative:margin;mso-wrap-style:none;z-index:251661312;mso-width-relative:page;mso-height-relative:page;" filled="f" stroked="f" coordsize="21600,21600" o:gfxdata="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wuBLd9gAAAALAQAADwAAAAAAAAABACAAAAAiAAAAZHJzL2Rvd25yZXYueG1s&#10;UEsBAhQAFAAAAAgAh07iQKmor5UxAgAAYwQAAA4AAAAAAAAAAQAgAAAAJwEAAGRycy9lMm9Eb2Mu&#10;eG1sUEsFBgAAAAAGAAYAWQEAAMoFAAAAAA==&#10;">
              <v:fill on="f" focussize="0,0"/>
              <v:stroke on="f" weight="0.5pt"/>
              <v:imagedata o:title=""/>
              <o:lock v:ext="edit" aspectratio="f"/>
              <v:textbox inset="0mm,0mm,0mm,0mm" style="mso-fit-shape-to-text:t;">
                <w:txbxContent>
                  <w:p w14:paraId="7C48601D">
                    <w:pPr>
                      <w:rPr>
                        <w:rFonts w:hint="eastAsia"/>
                      </w:rPr>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VkOWE4YzZkMjQ2YmUyZDVkNWVlNWY4MmZkZTUyYzMifQ=="/>
  </w:docVars>
  <w:rsids>
    <w:rsidRoot w:val="00000000"/>
    <w:rsid w:val="17C20117"/>
    <w:rsid w:val="29B475CE"/>
    <w:rsid w:val="2EC15663"/>
    <w:rsid w:val="31A3127F"/>
    <w:rsid w:val="355038F3"/>
    <w:rsid w:val="36EF1209"/>
    <w:rsid w:val="3AEE2A4D"/>
    <w:rsid w:val="3C936C7E"/>
    <w:rsid w:val="3D3606BD"/>
    <w:rsid w:val="4A676DFC"/>
    <w:rsid w:val="5A0D6874"/>
    <w:rsid w:val="5B575A51"/>
    <w:rsid w:val="5E0919A3"/>
    <w:rsid w:val="64076B2B"/>
    <w:rsid w:val="6FAE71C8"/>
    <w:rsid w:val="714E4943"/>
    <w:rsid w:val="794665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tabs>
        <w:tab w:val="center" w:pos="4153"/>
        <w:tab w:val="right" w:pos="8306"/>
      </w:tabs>
      <w:snapToGrid w:val="0"/>
      <w:jc w:val="center"/>
    </w:pPr>
    <w:rPr>
      <w:sz w:val="18"/>
      <w:szCs w:val="18"/>
    </w:rPr>
  </w:style>
  <w:style w:type="paragraph" w:styleId="4">
    <w:name w:val="toc 2"/>
    <w:basedOn w:val="1"/>
    <w:next w:val="1"/>
    <w:unhideWhenUsed/>
    <w:qFormat/>
    <w:uiPriority w:val="39"/>
    <w:pPr>
      <w:jc w:val="left"/>
    </w:pPr>
  </w:style>
  <w:style w:type="character" w:styleId="7">
    <w:name w:val="page number"/>
    <w:basedOn w:val="6"/>
    <w:qFormat/>
    <w:uiPriority w:val="0"/>
  </w:style>
  <w:style w:type="paragraph" w:customStyle="1" w:styleId="8">
    <w:name w:val="正文 New"/>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2005</Words>
  <Characters>2177</Characters>
  <Lines>0</Lines>
  <Paragraphs>0</Paragraphs>
  <TotalTime>25</TotalTime>
  <ScaleCrop>false</ScaleCrop>
  <LinksUpToDate>false</LinksUpToDate>
  <CharactersWithSpaces>2190</CharactersWithSpaces>
  <Application>WPS Office_12.8.2.18606_F1E327BC-269C-435d-A152-05C5408002CA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2024-07-05T07:34:00Z</dcterms:created>
  <dc:creator>1</dc:creator>
  <cp:lastModifiedBy>Sherry</cp:lastModifiedBy>
  <dcterms:modified xsi:type="dcterms:W3CDTF">2025-08-11T02:02:52Z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2052-12.8.2.18606</vt:lpwstr>
  </property>
  <property fmtid="{D5CDD505-2E9C-101B-9397-08002B2CF9AE}" pid="3" name="ICV">
    <vt:lpwstr>BC7FECC6B23A48469584F77CB5F8DEFD_13</vt:lpwstr>
  </property>
  <property fmtid="{D5CDD505-2E9C-101B-9397-08002B2CF9AE}" pid="4" name="KSOTemplateDocerSaveRecord">
    <vt:lpwstr>eyJoZGlkIjoiZmVkOWE4YzZkMjQ2YmUyZDVkNWVlNWY4MmZkZTUyYzMiLCJ1c2VySWQiOiIyNDQ3Mzk4NDAifQ==</vt:lpwstr>
  </property>
</Properties>
</file>