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15FF2">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bookmarkStart w:id="0" w:name="_GoBack"/>
      <w:bookmarkEnd w:id="0"/>
    </w:p>
    <w:p w14:paraId="792F743F">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eastAsia" w:ascii="仿宋_GB2312"/>
          <w:color w:val="auto"/>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000000" w:themeColor="text1"/>
          <w14:textFill>
            <w14:solidFill>
              <w14:schemeClr w14:val="tx1"/>
            </w14:solidFill>
          </w14:textFill>
        </w:rPr>
      </w:pPr>
      <w:r>
        <w:rPr>
          <w:rFonts w:hint="eastAsia" w:ascii="仿宋_GB2312"/>
          <w:color w:val="auto"/>
        </w:rPr>
        <w:t xml:space="preserve">                                     </w:t>
      </w:r>
      <w:r>
        <w:rPr>
          <w:rFonts w:hint="eastAsia" w:ascii="仿宋_GB2312"/>
        </w:rPr>
        <w:t xml:space="preserve"> </w:t>
      </w:r>
      <w:r>
        <w:rPr>
          <w:rFonts w:hint="eastAsia" w:ascii="仿宋_GB2312"/>
          <w:color w:val="000000" w:themeColor="text1"/>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穗环管影（番）〔202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号</w:t>
      </w:r>
    </w:p>
    <w:p w14:paraId="1978C5CD">
      <w:pPr>
        <w:keepNext w:val="0"/>
        <w:keepLines w:val="0"/>
        <w:pageBreakBefore w:val="0"/>
        <w:kinsoku/>
        <w:overflowPunct/>
        <w:topLinePunct w:val="0"/>
        <w:autoSpaceDE/>
        <w:autoSpaceDN/>
        <w:bidi w:val="0"/>
        <w:spacing w:line="560" w:lineRule="exact"/>
        <w:textAlignment w:val="auto"/>
        <w:rPr>
          <w:rFonts w:ascii="黑体" w:eastAsia="黑体"/>
          <w:color w:val="000000" w:themeColor="text1"/>
          <w14:textFill>
            <w14:solidFill>
              <w14:schemeClr w14:val="tx1"/>
            </w14:solidFill>
          </w14:textFill>
        </w:rPr>
      </w:pPr>
    </w:p>
    <w:p w14:paraId="766D922C">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000000" w:themeColor="text1"/>
          <w14:textFill>
            <w14:solidFill>
              <w14:schemeClr w14:val="tx1"/>
            </w14:solidFill>
          </w14:textFill>
        </w:rPr>
      </w:pPr>
    </w:p>
    <w:p w14:paraId="1D1C87BC">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广州市生态环境局关于广州市番禺区洛浦乐宠康动物医院</w:t>
      </w:r>
      <w:r>
        <w:rPr>
          <w:rFonts w:hint="eastAsia" w:ascii="方正小标宋简体" w:eastAsia="方正小标宋简体"/>
          <w:color w:val="000000" w:themeColor="text1"/>
          <w:sz w:val="44"/>
          <w:szCs w:val="44"/>
          <w:lang w:val="en-US" w:eastAsia="zh-CN"/>
          <w14:textFill>
            <w14:solidFill>
              <w14:schemeClr w14:val="tx1"/>
            </w14:solidFill>
          </w14:textFill>
        </w:rPr>
        <w:t>建设项目</w:t>
      </w:r>
      <w:r>
        <w:rPr>
          <w:rFonts w:hint="eastAsia" w:ascii="方正小标宋简体" w:eastAsia="方正小标宋简体"/>
          <w:color w:val="000000" w:themeColor="text1"/>
          <w:sz w:val="44"/>
          <w:szCs w:val="44"/>
          <w14:textFill>
            <w14:solidFill>
              <w14:schemeClr w14:val="tx1"/>
            </w14:solidFill>
          </w14:textFill>
        </w:rPr>
        <w:t>环境影响报告表的批复</w:t>
      </w:r>
    </w:p>
    <w:p w14:paraId="522FEEAE">
      <w:pPr>
        <w:keepNext w:val="0"/>
        <w:keepLines w:val="0"/>
        <w:pageBreakBefore w:val="0"/>
        <w:kinsoku/>
        <w:overflowPunct/>
        <w:topLinePunct w:val="0"/>
        <w:autoSpaceDE/>
        <w:autoSpaceDN/>
        <w:bidi w:val="0"/>
        <w:spacing w:line="560" w:lineRule="exact"/>
        <w:textAlignment w:val="auto"/>
        <w:rPr>
          <w:rFonts w:ascii="仿宋_GB2312" w:eastAsia="仿宋_GB2312"/>
          <w:color w:val="000000" w:themeColor="text1"/>
          <w:sz w:val="32"/>
          <w:szCs w:val="32"/>
          <w14:textFill>
            <w14:solidFill>
              <w14:schemeClr w14:val="tx1"/>
            </w14:solidFill>
          </w14:textFill>
        </w:rPr>
      </w:pPr>
    </w:p>
    <w:p w14:paraId="762FC833">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14:textFill>
            <w14:solidFill>
              <w14:schemeClr w14:val="tx1"/>
            </w14:solidFill>
          </w14:textFill>
        </w:rPr>
        <w:t>广州市番禺区洛浦乐宠康动物医院（92440101MA59GA914D）：</w:t>
      </w:r>
    </w:p>
    <w:p w14:paraId="49CF343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你单位报送的《广州市番禺区洛浦乐宠康动物医院建设项目</w:t>
      </w:r>
    </w:p>
    <w:p w14:paraId="25E07FA6">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环境影响报告表》（以下简称《报告表》）及附送资料收悉。经研究，现批复如下：</w:t>
      </w:r>
    </w:p>
    <w:p w14:paraId="7B2EEB5C">
      <w:pPr>
        <w:keepNext w:val="0"/>
        <w:keepLines w:val="0"/>
        <w:pageBreakBefore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广州市番禺区洛浦乐宠康动物医院建设项目（以下简称“该项目”）位于广州市番禺区洛浦街南浦沿沙东路40号丽江假日俱乐部B幢1F（部位：-20），申报内容为</w:t>
      </w:r>
      <w:r>
        <w:rPr>
          <w:rFonts w:hint="eastAsia" w:ascii="仿宋_GB2312" w:eastAsia="仿宋_GB2312"/>
          <w:color w:val="000000" w:themeColor="text1"/>
          <w:sz w:val="32"/>
          <w:szCs w:val="32"/>
          <w:lang w:val="en-US" w:eastAsia="zh-CN"/>
          <w14:textFill>
            <w14:solidFill>
              <w14:schemeClr w14:val="tx1"/>
            </w14:solidFill>
          </w14:textFill>
        </w:rPr>
        <w:t>主要从事动物美容洗浴、寄养、疾病预防、诊疗、治疗（包括动物颅腔、胸腔或腹腔手术）和绝育手术，门诊最大接待量为4380只/年、美容洗浴寄养最大接待量为2520只/年</w:t>
      </w:r>
      <w:r>
        <w:rPr>
          <w:rFonts w:hint="eastAsia" w:ascii="仿宋_GB2312" w:eastAsia="仿宋_GB2312"/>
          <w:color w:val="000000" w:themeColor="text1"/>
          <w:sz w:val="32"/>
          <w:szCs w:val="32"/>
          <w14:textFill>
            <w14:solidFill>
              <w14:schemeClr w14:val="tx1"/>
            </w14:solidFill>
          </w14:textFill>
        </w:rPr>
        <w:t>。该项目占地面积</w:t>
      </w:r>
      <w:r>
        <w:rPr>
          <w:rFonts w:hint="eastAsia" w:ascii="仿宋_GB2312" w:eastAsia="仿宋_GB2312"/>
          <w:color w:val="000000" w:themeColor="text1"/>
          <w:sz w:val="32"/>
          <w:szCs w:val="32"/>
          <w:lang w:val="en-US" w:eastAsia="zh-CN"/>
          <w14:textFill>
            <w14:solidFill>
              <w14:schemeClr w14:val="tx1"/>
            </w14:solidFill>
          </w14:textFill>
        </w:rPr>
        <w:t>78</w:t>
      </w:r>
      <w:r>
        <w:rPr>
          <w:rFonts w:hint="eastAsia" w:ascii="仿宋_GB2312" w:eastAsia="仿宋_GB2312"/>
          <w:color w:val="000000" w:themeColor="text1"/>
          <w:sz w:val="32"/>
          <w:szCs w:val="32"/>
          <w14:textFill>
            <w14:solidFill>
              <w14:schemeClr w14:val="tx1"/>
            </w14:solidFill>
          </w14:textFill>
        </w:rPr>
        <w:t>平方米，总建筑面积</w:t>
      </w:r>
      <w:r>
        <w:rPr>
          <w:rFonts w:hint="eastAsia" w:ascii="仿宋_GB2312" w:eastAsia="仿宋_GB2312"/>
          <w:color w:val="000000" w:themeColor="text1"/>
          <w:sz w:val="32"/>
          <w:szCs w:val="32"/>
          <w:lang w:val="en-US" w:eastAsia="zh-CN"/>
          <w14:textFill>
            <w14:solidFill>
              <w14:schemeClr w14:val="tx1"/>
            </w14:solidFill>
          </w14:textFill>
        </w:rPr>
        <w:t>110</w:t>
      </w:r>
      <w:r>
        <w:rPr>
          <w:rFonts w:hint="eastAsia" w:ascii="仿宋_GB2312" w:eastAsia="仿宋_GB2312"/>
          <w:color w:val="000000" w:themeColor="text1"/>
          <w:sz w:val="32"/>
          <w:szCs w:val="32"/>
          <w14:textFill>
            <w14:solidFill>
              <w14:schemeClr w14:val="tx1"/>
            </w14:solidFill>
          </w14:textFill>
        </w:rPr>
        <w:t>平方米，</w:t>
      </w:r>
      <w:r>
        <w:rPr>
          <w:rFonts w:hint="eastAsia" w:ascii="仿宋_GB2312" w:eastAsia="仿宋_GB2312"/>
          <w:color w:val="000000" w:themeColor="text1"/>
          <w:sz w:val="32"/>
          <w:szCs w:val="32"/>
          <w:highlight w:val="none"/>
          <w:lang w:val="en-US" w:eastAsia="zh-CN"/>
          <w14:textFill>
            <w14:solidFill>
              <w14:schemeClr w14:val="tx1"/>
            </w14:solidFill>
          </w14:textFill>
        </w:rPr>
        <w:t>租用</w:t>
      </w:r>
      <w:r>
        <w:rPr>
          <w:rFonts w:hint="eastAsia" w:ascii="仿宋_GB2312" w:eastAsia="仿宋_GB2312"/>
          <w:color w:val="000000" w:themeColor="text1"/>
          <w:sz w:val="32"/>
          <w:szCs w:val="32"/>
          <w:lang w:val="en-US" w:eastAsia="zh-CN"/>
          <w14:textFill>
            <w14:solidFill>
              <w14:schemeClr w14:val="tx1"/>
            </w14:solidFill>
          </w14:textFill>
        </w:rPr>
        <w:t>1栋四层建筑的</w:t>
      </w:r>
      <w:r>
        <w:rPr>
          <w:rFonts w:hint="eastAsia" w:ascii="仿宋_GB2312" w:eastAsia="仿宋_GB2312"/>
          <w:color w:val="000000" w:themeColor="text1"/>
          <w:sz w:val="32"/>
          <w:szCs w:val="32"/>
          <w:highlight w:val="none"/>
          <w14:textFill>
            <w14:solidFill>
              <w14:schemeClr w14:val="tx1"/>
            </w14:solidFill>
          </w14:textFill>
        </w:rPr>
        <w:t>第一、二层的部分区域；主要设备</w:t>
      </w:r>
      <w:r>
        <w:rPr>
          <w:rFonts w:hint="eastAsia" w:ascii="仿宋_GB2312" w:eastAsia="仿宋_GB2312"/>
          <w:color w:val="000000" w:themeColor="text1"/>
          <w:sz w:val="32"/>
          <w:szCs w:val="32"/>
          <w14:textFill>
            <w14:solidFill>
              <w14:schemeClr w14:val="tx1"/>
            </w14:solidFill>
          </w14:textFill>
        </w:rPr>
        <w:t>有</w:t>
      </w:r>
      <w:r>
        <w:rPr>
          <w:rFonts w:hint="eastAsia" w:ascii="仿宋_GB2312" w:eastAsia="仿宋_GB2312"/>
          <w:color w:val="000000" w:themeColor="text1"/>
          <w:sz w:val="32"/>
          <w:szCs w:val="32"/>
          <w:lang w:val="en-US" w:eastAsia="zh-CN"/>
          <w14:textFill>
            <w14:solidFill>
              <w14:schemeClr w14:val="tx1"/>
            </w14:solidFill>
          </w14:textFill>
        </w:rPr>
        <w:t>宠物笼36台、手术台1台、麻醉机1台</w:t>
      </w:r>
      <w:r>
        <w:rPr>
          <w:rFonts w:hint="eastAsia" w:ascii="仿宋_GB2312" w:eastAsia="仿宋_GB2312" w:cs="Times New Roman"/>
          <w:color w:val="auto"/>
          <w:sz w:val="32"/>
          <w:szCs w:val="32"/>
        </w:rPr>
        <w:t>及医疗配套各式检查手术仪器一批等</w:t>
      </w:r>
      <w:r>
        <w:rPr>
          <w:rFonts w:hint="eastAsia" w:ascii="仿宋_GB2312" w:eastAsia="仿宋_GB2312"/>
          <w:color w:val="000000" w:themeColor="text1"/>
          <w:sz w:val="32"/>
          <w:szCs w:val="32"/>
          <w14:textFill>
            <w14:solidFill>
              <w14:schemeClr w14:val="tx1"/>
            </w14:solidFill>
          </w14:textFill>
        </w:rPr>
        <w:t>；员工</w:t>
      </w:r>
      <w:r>
        <w:rPr>
          <w:rFonts w:hint="eastAsia" w:ascii="仿宋_GB2312" w:eastAsia="仿宋_GB2312"/>
          <w:color w:val="000000" w:themeColor="text1"/>
          <w:sz w:val="32"/>
          <w:szCs w:val="32"/>
          <w:lang w:val="en-US" w:eastAsia="zh-CN"/>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名，内部不安排食宿。该</w:t>
      </w:r>
      <w:r>
        <w:rPr>
          <w:rFonts w:hint="eastAsia" w:ascii="仿宋_GB2312" w:eastAsia="仿宋_GB2312"/>
          <w:color w:val="000000" w:themeColor="text1"/>
          <w:sz w:val="32"/>
          <w:szCs w:val="32"/>
          <w:highlight w:val="none"/>
          <w14:textFill>
            <w14:solidFill>
              <w14:schemeClr w14:val="tx1"/>
            </w14:solidFill>
          </w14:textFill>
        </w:rPr>
        <w:t>项目不接收传染性瘟病动物</w:t>
      </w:r>
      <w:r>
        <w:rPr>
          <w:rFonts w:hint="eastAsia" w:ascii="仿宋_GB2312" w:hAnsi="Times New Roman"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涉及的</w:t>
      </w:r>
      <w:r>
        <w:rPr>
          <w:rFonts w:hint="eastAsia" w:ascii="仿宋_GB2312" w:eastAsia="仿宋_GB2312"/>
          <w:color w:val="000000" w:themeColor="text1"/>
          <w:sz w:val="32"/>
          <w:szCs w:val="32"/>
          <w14:textFill>
            <w14:solidFill>
              <w14:schemeClr w14:val="tx1"/>
            </w14:solidFill>
          </w14:textFill>
        </w:rPr>
        <w:t>辐射内容不在本次评价范围内，另行单独办理相关环保手续。</w:t>
      </w:r>
    </w:p>
    <w:p w14:paraId="3781EE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按照《报告表》的评价结论，在落实各项环境保护措施后，该项目产生的污染物及不良环境影响能够得到有效控制，从环境保护角度，在</w:t>
      </w:r>
      <w:r>
        <w:rPr>
          <w:rFonts w:hint="eastAsia" w:ascii="仿宋_GB2312" w:eastAsia="仿宋_GB2312"/>
          <w:color w:val="000000" w:themeColor="text1"/>
          <w:sz w:val="32"/>
          <w:szCs w:val="32"/>
          <w:lang w:eastAsia="zh-CN"/>
          <w14:textFill>
            <w14:solidFill>
              <w14:schemeClr w14:val="tx1"/>
            </w14:solidFill>
          </w14:textFill>
        </w:rPr>
        <w:t>现</w:t>
      </w:r>
      <w:r>
        <w:rPr>
          <w:rFonts w:hint="eastAsia" w:ascii="仿宋_GB2312" w:eastAsia="仿宋_GB2312"/>
          <w:color w:val="000000" w:themeColor="text1"/>
          <w:sz w:val="32"/>
          <w:szCs w:val="32"/>
          <w14:textFill>
            <w14:solidFill>
              <w14:schemeClr w14:val="tx1"/>
            </w14:solidFill>
          </w14:textFill>
        </w:rPr>
        <w:t>选址处建设可行。经审查，我局原则同意《报告表》评价结论。该项目应当按照《报告表》所述性质、规模、地点、生产工艺和环境保护措施进行建设。</w:t>
      </w:r>
    </w:p>
    <w:p w14:paraId="30FFD88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二、该项目各类污染物排放控制要求如下：</w:t>
      </w:r>
    </w:p>
    <w:p w14:paraId="1082801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（一）宠物洗浴废水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生活污水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宠物笼及排泄盒清洗废水排放执行广东省《水污染物排放限值》（DB44/26-2001）第二时段三级标准。医疗废水排放执行《医疗机构水污染物排放标准》（GB18466-2005）表2综合医疗机构和其他医疗机构水污染物排放限值（日均值）预处理标准。综合废水排放量不超过</w:t>
      </w:r>
      <w:r>
        <w:rPr>
          <w:rFonts w:hint="eastAsia" w:ascii="仿宋_GB2312" w:eastAsia="仿宋_GB2312"/>
          <w:color w:val="000000" w:themeColor="text1"/>
          <w:sz w:val="32"/>
          <w:szCs w:val="32"/>
          <w:highlight w:val="none"/>
          <w:lang w:val="en-US" w:eastAsia="zh-CN"/>
          <w14:textFill>
            <w14:solidFill>
              <w14:schemeClr w14:val="tx1"/>
            </w14:solidFill>
          </w14:textFill>
        </w:rPr>
        <w:t>250</w:t>
      </w:r>
      <w:r>
        <w:rPr>
          <w:rFonts w:hint="eastAsia" w:ascii="仿宋_GB2312" w:eastAsia="仿宋_GB2312"/>
          <w:color w:val="000000" w:themeColor="text1"/>
          <w:sz w:val="32"/>
          <w:szCs w:val="32"/>
          <w:highlight w:val="none"/>
          <w14:textFill>
            <w14:solidFill>
              <w14:schemeClr w14:val="tx1"/>
            </w14:solidFill>
          </w14:textFill>
        </w:rPr>
        <w:t>吨/年，医疗废水排放量不超过</w:t>
      </w:r>
      <w:r>
        <w:rPr>
          <w:rFonts w:hint="eastAsia" w:ascii="仿宋_GB2312" w:eastAsia="仿宋_GB2312"/>
          <w:color w:val="000000" w:themeColor="text1"/>
          <w:sz w:val="32"/>
          <w:szCs w:val="32"/>
          <w:highlight w:val="none"/>
          <w:lang w:val="en-US" w:eastAsia="zh-CN"/>
          <w14:textFill>
            <w14:solidFill>
              <w14:schemeClr w14:val="tx1"/>
            </w14:solidFill>
          </w14:textFill>
        </w:rPr>
        <w:t>60</w:t>
      </w:r>
      <w:r>
        <w:rPr>
          <w:rFonts w:hint="eastAsia" w:ascii="仿宋_GB2312" w:eastAsia="仿宋_GB2312"/>
          <w:color w:val="000000" w:themeColor="text1"/>
          <w:sz w:val="32"/>
          <w:szCs w:val="32"/>
          <w:highlight w:val="none"/>
          <w14:textFill>
            <w14:solidFill>
              <w14:schemeClr w14:val="tx1"/>
            </w14:solidFill>
          </w14:textFill>
        </w:rPr>
        <w:t>吨/</w:t>
      </w:r>
      <w:r>
        <w:rPr>
          <w:rFonts w:hint="eastAsia" w:ascii="仿宋_GB2312" w:eastAsia="仿宋_GB2312"/>
          <w:color w:val="000000" w:themeColor="text1"/>
          <w:sz w:val="32"/>
          <w:szCs w:val="32"/>
          <w14:textFill>
            <w14:solidFill>
              <w14:schemeClr w14:val="tx1"/>
            </w14:solidFill>
          </w14:textFill>
        </w:rPr>
        <w:t>年。</w:t>
      </w:r>
    </w:p>
    <w:p w14:paraId="43B42E2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hint="eastAsia" w:ascii="仿宋_GB2312" w:eastAsia="仿宋_GB2312"/>
          <w:color w:val="000000" w:themeColor="text1"/>
          <w:sz w:val="32"/>
          <w:szCs w:val="32"/>
          <w:highlight w:val="none"/>
          <w14:textFill>
            <w14:solidFill>
              <w14:schemeClr w14:val="tx1"/>
            </w14:solidFill>
          </w14:textFill>
        </w:rPr>
        <w:t>非甲烷总烃排放执行广东省《固定污染源挥发性有机物综合排放标准》（DB44/2367—2022）表3厂区内VOCs无组织排放限值；其他大气污染物排放执行《医疗机构水污染物排放标准》（GB18466-2005）表3与《恶臭污染物排放标准》（GB14554-93）表1的较严值</w:t>
      </w:r>
      <w:r>
        <w:rPr>
          <w:rFonts w:ascii="仿宋_GB2312" w:eastAsia="仿宋_GB2312"/>
          <w:color w:val="000000" w:themeColor="text1"/>
          <w:sz w:val="32"/>
          <w:szCs w:val="32"/>
          <w:highlight w:val="none"/>
          <w14:textFill>
            <w14:solidFill>
              <w14:schemeClr w14:val="tx1"/>
            </w14:solidFill>
          </w14:textFill>
        </w:rPr>
        <w:t>。</w:t>
      </w:r>
    </w:p>
    <w:p w14:paraId="397B40F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yellow"/>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边界噪声排放执行《社会生活环境噪声排放标准》（GB22337-2008）</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类区限值，即：昼间≤60</w:t>
      </w:r>
      <w:r>
        <w:rPr>
          <w:rFonts w:hint="eastAsia" w:ascii="仿宋_GB2312" w:eastAsia="仿宋_GB2312"/>
          <w:color w:val="000000" w:themeColor="text1"/>
          <w:sz w:val="32"/>
          <w:szCs w:val="32"/>
          <w:lang w:val="en-US" w:eastAsia="zh-CN"/>
          <w14:textFill>
            <w14:solidFill>
              <w14:schemeClr w14:val="tx1"/>
            </w14:solidFill>
          </w14:textFill>
        </w:rPr>
        <w:t>dB（A）</w:t>
      </w:r>
      <w:r>
        <w:rPr>
          <w:rFonts w:hint="eastAsia" w:ascii="仿宋_GB2312" w:eastAsia="仿宋_GB2312"/>
          <w:color w:val="000000" w:themeColor="text1"/>
          <w:sz w:val="32"/>
          <w:szCs w:val="32"/>
          <w14:textFill>
            <w14:solidFill>
              <w14:schemeClr w14:val="tx1"/>
            </w14:solidFill>
          </w14:textFill>
        </w:rPr>
        <w:t>，夜间≤50</w:t>
      </w:r>
      <w:r>
        <w:rPr>
          <w:rFonts w:hint="eastAsia" w:ascii="仿宋_GB2312" w:eastAsia="仿宋_GB2312"/>
          <w:color w:val="000000" w:themeColor="text1"/>
          <w:sz w:val="32"/>
          <w:szCs w:val="32"/>
          <w:lang w:val="en-US" w:eastAsia="zh-CN"/>
          <w14:textFill>
            <w14:solidFill>
              <w14:schemeClr w14:val="tx1"/>
            </w14:solidFill>
          </w14:textFill>
        </w:rPr>
        <w:t>dB（A）</w:t>
      </w:r>
      <w:r>
        <w:rPr>
          <w:rFonts w:hint="eastAsia" w:ascii="仿宋_GB2312" w:eastAsia="仿宋_GB2312"/>
          <w:color w:val="000000" w:themeColor="text1"/>
          <w:sz w:val="32"/>
          <w:szCs w:val="32"/>
          <w14:textFill>
            <w14:solidFill>
              <w14:schemeClr w14:val="tx1"/>
            </w14:solidFill>
          </w14:textFill>
        </w:rPr>
        <w:t>。</w:t>
      </w:r>
    </w:p>
    <w:p w14:paraId="0540709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5938769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（一）排水系统采用雨污分流。宠物洗浴废水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宠物笼及排泄盒清洗废水</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生活污水</w:t>
      </w:r>
      <w:r>
        <w:rPr>
          <w:rFonts w:hint="eastAsia" w:ascii="仿宋_GB2312" w:eastAsia="仿宋_GB2312"/>
          <w:color w:val="000000" w:themeColor="text1"/>
          <w:sz w:val="32"/>
          <w:szCs w:val="32"/>
          <w:lang w:val="en-US" w:eastAsia="zh-CN"/>
          <w14:textFill>
            <w14:solidFill>
              <w14:schemeClr w14:val="tx1"/>
            </w14:solidFill>
          </w14:textFill>
        </w:rPr>
        <w:t>经格栅、三级化粪池预处理</w:t>
      </w:r>
      <w:r>
        <w:rPr>
          <w:rFonts w:hint="eastAsia" w:ascii="仿宋_GB2312" w:eastAsia="仿宋_GB2312"/>
          <w:color w:val="000000" w:themeColor="text1"/>
          <w:sz w:val="32"/>
          <w:szCs w:val="32"/>
          <w14:textFill>
            <w14:solidFill>
              <w14:schemeClr w14:val="tx1"/>
            </w14:solidFill>
          </w14:textFill>
        </w:rPr>
        <w:t>，医疗废水经医疗废水消毒处理设施处理后</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分别排入大石</w:t>
      </w:r>
      <w:r>
        <w:rPr>
          <w:rFonts w:hint="eastAsia" w:ascii="仿宋_GB2312" w:eastAsia="仿宋_GB2312"/>
          <w:color w:val="000000" w:themeColor="text1"/>
          <w:sz w:val="32"/>
          <w:szCs w:val="32"/>
          <w14:textFill>
            <w14:solidFill>
              <w14:schemeClr w14:val="tx1"/>
            </w14:solidFill>
          </w14:textFill>
        </w:rPr>
        <w:t>净水厂集中处理。项目设置综合废水排放口1个、医疗废水排放口1个。</w:t>
      </w:r>
    </w:p>
    <w:p w14:paraId="3AEAD81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highlight w:val="yellow"/>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（二）按照</w:t>
      </w:r>
      <w:r>
        <w:rPr>
          <w:rFonts w:hint="eastAsia" w:ascii="仿宋_GB2312" w:eastAsia="仿宋_GB2312"/>
          <w:color w:val="000000" w:themeColor="text1"/>
          <w:sz w:val="32"/>
          <w:szCs w:val="32"/>
          <w:lang w:val="en-US" w:eastAsia="zh-CN"/>
          <w14:textFill>
            <w14:solidFill>
              <w14:schemeClr w14:val="tx1"/>
            </w14:solidFill>
          </w14:textFill>
        </w:rPr>
        <w:t>广东省</w:t>
      </w:r>
      <w:r>
        <w:rPr>
          <w:rFonts w:hint="eastAsia" w:ascii="仿宋_GB2312" w:eastAsia="仿宋_GB2312"/>
          <w:color w:val="000000" w:themeColor="text1"/>
          <w:sz w:val="32"/>
          <w:szCs w:val="32"/>
          <w14:textFill>
            <w14:solidFill>
              <w14:schemeClr w14:val="tx1"/>
            </w14:solidFill>
          </w14:textFill>
        </w:rPr>
        <w:t>《固定污染源挥发性有机物综合排放标准》（DB44/2367-2022）的无组织排放控制要求落实相关措施</w:t>
      </w:r>
      <w:r>
        <w:rPr>
          <w:rFonts w:hint="eastAsia" w:ascii="仿宋_GB2312" w:eastAsia="仿宋_GB2312"/>
          <w:color w:val="000000" w:themeColor="text1"/>
          <w:sz w:val="32"/>
          <w:szCs w:val="32"/>
          <w:lang w:eastAsia="zh-CN"/>
          <w14:textFill>
            <w14:solidFill>
              <w14:schemeClr w14:val="tx1"/>
            </w14:solidFill>
          </w14:textFill>
        </w:rPr>
        <w:t>。住院部、寄养部、</w:t>
      </w:r>
      <w:r>
        <w:rPr>
          <w:rFonts w:hint="eastAsia" w:ascii="仿宋_GB2312" w:eastAsia="仿宋_GB2312"/>
          <w:color w:val="000000" w:themeColor="text1"/>
          <w:sz w:val="32"/>
          <w:szCs w:val="32"/>
          <w:lang w:val="en-US" w:eastAsia="zh-CN"/>
          <w14:textFill>
            <w14:solidFill>
              <w14:schemeClr w14:val="tx1"/>
            </w14:solidFill>
          </w14:textFill>
        </w:rPr>
        <w:t>隔离室</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手术室</w:t>
      </w:r>
      <w:r>
        <w:rPr>
          <w:rFonts w:hint="eastAsia" w:ascii="仿宋_GB2312" w:eastAsia="仿宋_GB2312"/>
          <w:color w:val="000000" w:themeColor="text1"/>
          <w:sz w:val="32"/>
          <w:szCs w:val="32"/>
          <w14:textFill>
            <w14:solidFill>
              <w14:schemeClr w14:val="tx1"/>
            </w14:solidFill>
          </w14:textFill>
        </w:rPr>
        <w:t>设置紫外灯消毒，经营过程产生的废气收集至活性炭吸附装置处理后</w:t>
      </w:r>
      <w:r>
        <w:rPr>
          <w:rFonts w:hint="eastAsia" w:ascii="仿宋_GB2312" w:eastAsia="仿宋_GB2312"/>
          <w:color w:val="000000" w:themeColor="text1"/>
          <w:sz w:val="32"/>
          <w:szCs w:val="32"/>
          <w:lang w:val="en-US" w:eastAsia="zh-CN"/>
          <w14:textFill>
            <w14:solidFill>
              <w14:schemeClr w14:val="tx1"/>
            </w14:solidFill>
          </w14:textFill>
        </w:rPr>
        <w:t>无组织</w:t>
      </w:r>
      <w:r>
        <w:rPr>
          <w:rFonts w:hint="eastAsia" w:ascii="仿宋_GB2312" w:eastAsia="仿宋_GB2312"/>
          <w:color w:val="000000" w:themeColor="text1"/>
          <w:sz w:val="32"/>
          <w:szCs w:val="32"/>
          <w14:textFill>
            <w14:solidFill>
              <w14:schemeClr w14:val="tx1"/>
            </w14:solidFill>
          </w14:textFill>
        </w:rPr>
        <w:t>排放。</w:t>
      </w:r>
    </w:p>
    <w:p w14:paraId="29D80F9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加强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废气的监控，确保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边界</w:t>
      </w:r>
      <w:r>
        <w:rPr>
          <w:rFonts w:hint="eastAsia" w:ascii="仿宋_GB2312" w:hAnsi="仿宋_GB2312" w:eastAsia="仿宋_GB2312" w:cs="仿宋_GB2312"/>
          <w:color w:val="000000" w:themeColor="text1"/>
          <w:sz w:val="32"/>
          <w:szCs w:val="32"/>
          <w14:textFill>
            <w14:solidFill>
              <w14:schemeClr w14:val="tx1"/>
            </w14:solidFill>
          </w14:textFill>
        </w:rPr>
        <w:t>无组织</w:t>
      </w:r>
      <w:r>
        <w:rPr>
          <w:rFonts w:hint="eastAsia" w:ascii="仿宋_GB2312" w:hAnsi="仿宋_GB2312" w:eastAsia="仿宋_GB2312" w:cs="仿宋_GB2312"/>
          <w:color w:val="000000" w:themeColor="text1"/>
          <w:sz w:val="32"/>
          <w:szCs w:val="32"/>
          <w:lang w:eastAsia="zh-CN"/>
          <w14:textFill>
            <w14:solidFill>
              <w14:schemeClr w14:val="tx1"/>
            </w14:solidFill>
          </w14:textFill>
        </w:rPr>
        <w:t>排放</w:t>
      </w:r>
      <w:r>
        <w:rPr>
          <w:rFonts w:hint="eastAsia" w:ascii="仿宋_GB2312" w:hAnsi="仿宋_GB2312" w:eastAsia="仿宋_GB2312" w:cs="仿宋_GB2312"/>
          <w:color w:val="000000" w:themeColor="text1"/>
          <w:sz w:val="32"/>
          <w:szCs w:val="32"/>
          <w14:textFill>
            <w14:solidFill>
              <w14:schemeClr w14:val="tx1"/>
            </w14:solidFill>
          </w14:textFill>
        </w:rPr>
        <w:t>监控点的废气达到相应标准限值的要求，监测超标时应</w:t>
      </w:r>
      <w:r>
        <w:rPr>
          <w:rFonts w:hint="eastAsia" w:ascii="仿宋_GB2312" w:hAnsi="仿宋_GB2312" w:eastAsia="仿宋_GB2312" w:cs="仿宋_GB2312"/>
          <w:color w:val="000000" w:themeColor="text1"/>
          <w:sz w:val="32"/>
          <w:szCs w:val="32"/>
          <w:lang w:eastAsia="zh-CN"/>
          <w14:textFill>
            <w14:solidFill>
              <w14:schemeClr w14:val="tx1"/>
            </w14:solidFill>
          </w14:textFill>
        </w:rPr>
        <w:t>加强</w:t>
      </w:r>
      <w:r>
        <w:rPr>
          <w:rFonts w:hint="eastAsia" w:ascii="仿宋_GB2312" w:hAnsi="仿宋_GB2312" w:eastAsia="仿宋_GB2312" w:cs="仿宋_GB2312"/>
          <w:color w:val="000000" w:themeColor="text1"/>
          <w:sz w:val="32"/>
          <w:szCs w:val="32"/>
          <w14:textFill>
            <w14:solidFill>
              <w14:schemeClr w14:val="tx1"/>
            </w14:solidFill>
          </w14:textFill>
        </w:rPr>
        <w:t>对无组织排放废气进行收集、净化处理。</w:t>
      </w:r>
    </w:p>
    <w:p w14:paraId="3B270B6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（三）选用低噪声设备，合理</w:t>
      </w:r>
      <w:r>
        <w:rPr>
          <w:rFonts w:hint="eastAsia" w:ascii="仿宋_GB2312" w:eastAsia="仿宋_GB2312"/>
          <w:color w:val="000000" w:themeColor="text1"/>
          <w:sz w:val="32"/>
          <w:szCs w:val="32"/>
          <w:lang w:val="en-US" w:eastAsia="zh-CN"/>
          <w14:textFill>
            <w14:solidFill>
              <w14:schemeClr w14:val="tx1"/>
            </w14:solidFill>
          </w14:textFill>
        </w:rPr>
        <w:t>布局</w:t>
      </w:r>
      <w:r>
        <w:rPr>
          <w:rFonts w:hint="eastAsia" w:ascii="仿宋_GB2312" w:eastAsia="仿宋_GB2312"/>
          <w:color w:val="000000" w:themeColor="text1"/>
          <w:sz w:val="32"/>
          <w:szCs w:val="32"/>
          <w14:textFill>
            <w14:solidFill>
              <w14:schemeClr w14:val="tx1"/>
            </w14:solidFill>
          </w14:textFill>
        </w:rPr>
        <w:t>，对噪声源采取隔声、减振等措施，定期检修设备。</w:t>
      </w:r>
    </w:p>
    <w:p w14:paraId="7D3E0E5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w:t>
      </w:r>
      <w:r>
        <w:rPr>
          <w:rFonts w:hint="eastAsia" w:ascii="仿宋_GB2312" w:eastAsia="仿宋_GB2312"/>
          <w:color w:val="000000" w:themeColor="text1"/>
          <w:sz w:val="32"/>
          <w:szCs w:val="32"/>
          <w:lang w:val="en-US" w:eastAsia="zh-CN"/>
          <w14:textFill>
            <w14:solidFill>
              <w14:schemeClr w14:val="tx1"/>
            </w14:solidFill>
          </w14:textFill>
        </w:rPr>
        <w:t>医疗废物、</w:t>
      </w:r>
      <w:r>
        <w:rPr>
          <w:rFonts w:hint="eastAsia" w:ascii="仿宋_GB2312" w:eastAsia="仿宋_GB2312"/>
          <w:color w:val="000000" w:themeColor="text1"/>
          <w:sz w:val="32"/>
          <w:szCs w:val="32"/>
          <w14:textFill>
            <w14:solidFill>
              <w14:schemeClr w14:val="tx1"/>
            </w14:solidFill>
          </w14:textFill>
        </w:rPr>
        <w:t>废活性炭、废紫外线灯管</w:t>
      </w:r>
      <w:r>
        <w:rPr>
          <w:rFonts w:hint="eastAsia" w:ascii="仿宋_GB2312" w:eastAsia="仿宋_GB2312"/>
          <w:color w:val="000000" w:themeColor="text1"/>
          <w:sz w:val="32"/>
          <w:szCs w:val="32"/>
          <w:lang w:eastAsia="zh-CN"/>
          <w14:textFill>
            <w14:solidFill>
              <w14:schemeClr w14:val="tx1"/>
            </w14:solidFill>
          </w14:textFill>
        </w:rPr>
        <w:t>、沾染危险化学品的包装废弃物</w:t>
      </w:r>
      <w:r>
        <w:rPr>
          <w:rFonts w:hint="eastAsia" w:ascii="仿宋_GB2312"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lang w:val="en-US" w:eastAsia="zh-CN"/>
          <w14:textFill>
            <w14:solidFill>
              <w14:schemeClr w14:val="tx1"/>
            </w14:solidFill>
          </w14:textFill>
        </w:rPr>
        <w:t>属于</w:t>
      </w:r>
      <w:r>
        <w:rPr>
          <w:rFonts w:hint="eastAsia" w:ascii="仿宋_GB2312" w:eastAsia="仿宋_GB2312"/>
          <w:color w:val="000000" w:themeColor="text1"/>
          <w:sz w:val="32"/>
          <w:szCs w:val="32"/>
          <w14:textFill>
            <w14:solidFill>
              <w14:schemeClr w14:val="tx1"/>
            </w14:solidFill>
          </w14:textFill>
        </w:rPr>
        <w:t>危险废物</w:t>
      </w:r>
      <w:r>
        <w:rPr>
          <w:rFonts w:hint="eastAsia" w:ascii="仿宋_GB2312" w:eastAsia="仿宋_GB2312"/>
          <w:color w:val="000000" w:themeColor="text1"/>
          <w:sz w:val="32"/>
          <w:szCs w:val="32"/>
          <w:lang w:val="en-US"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须设置符合《危险废物贮存污染控制标准》（GB18597-20</w:t>
      </w:r>
      <w:r>
        <w:rPr>
          <w:rFonts w:hint="eastAsia" w:ascii="仿宋_GB2312" w:eastAsia="仿宋_GB2312"/>
          <w:color w:val="000000" w:themeColor="text1"/>
          <w:sz w:val="32"/>
          <w:szCs w:val="32"/>
          <w:lang w:val="en-US" w:eastAsia="zh-CN"/>
          <w14:textFill>
            <w14:solidFill>
              <w14:schemeClr w14:val="tx1"/>
            </w14:solidFill>
          </w14:textFill>
        </w:rPr>
        <w:t>23</w:t>
      </w:r>
      <w:r>
        <w:rPr>
          <w:rFonts w:hint="eastAsia" w:ascii="仿宋_GB2312" w:eastAsia="仿宋_GB2312"/>
          <w:color w:val="000000" w:themeColor="text1"/>
          <w:sz w:val="32"/>
          <w:szCs w:val="32"/>
          <w14:textFill>
            <w14:solidFill>
              <w14:schemeClr w14:val="tx1"/>
            </w14:solidFill>
          </w14:textFill>
        </w:rPr>
        <w:t>）要求的专用贮存场所存放并委托具备危险废物处理资质的机构处理。医疗废物须按照《医疗废物管理条例》等相关法规、标准的要求收集、贮存、运送、委外处置</w:t>
      </w:r>
      <w:r>
        <w:rPr>
          <w:rFonts w:hint="eastAsia" w:ascii="仿宋_GB2312" w:eastAsia="仿宋_GB2312"/>
          <w:color w:val="000000" w:themeColor="text1"/>
          <w:sz w:val="32"/>
          <w:szCs w:val="32"/>
          <w:lang w:eastAsia="zh-CN"/>
          <w14:textFill>
            <w14:solidFill>
              <w14:schemeClr w14:val="tx1"/>
            </w14:solidFill>
          </w14:textFill>
        </w:rPr>
        <w:t>。</w:t>
      </w:r>
    </w:p>
    <w:p w14:paraId="7A15715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四、该项目的性质、规模、地点、采用的生产工艺或者防治污染、防止生态破坏的措施发生重大变动的，你单位应当重新报批环境影响评价文件。</w:t>
      </w:r>
    </w:p>
    <w:p w14:paraId="7DD2AC5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五、该项目建设应严格执行配套建设的环境保护设施与主体工程同时设计、同时施工、同时投产使用的环境保护“三同时”制度，具体要求如下：</w:t>
      </w:r>
    </w:p>
    <w:p w14:paraId="24FC4721">
      <w:pPr>
        <w:keepNext w:val="0"/>
        <w:keepLines w:val="0"/>
        <w:pageBreakBefore w:val="0"/>
        <w:widowControl/>
        <w:tabs>
          <w:tab w:val="left" w:pos="1418"/>
        </w:tabs>
        <w:kinsoku/>
        <w:wordWrap/>
        <w:overflowPunct/>
        <w:topLinePunct w:val="0"/>
        <w:autoSpaceDE/>
        <w:autoSpaceDN/>
        <w:bidi w:val="0"/>
        <w:adjustRightInd/>
        <w:snapToGrid/>
        <w:spacing w:line="520" w:lineRule="exact"/>
        <w:ind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（一）项目竣工后，你单位应按规定申请取得排污许可证或填报排污登记表，并按照规定的标准、程序和时限，对配套建设的环境保护设施进行验收，编制验收报告，依法向社会公开。</w:t>
      </w:r>
    </w:p>
    <w:p w14:paraId="623B2E5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（二）项目配套建设的环境保护设施经验收合格后，方可投入生产或者使用。</w:t>
      </w:r>
    </w:p>
    <w:p w14:paraId="4535B85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六</w:t>
      </w:r>
      <w:r>
        <w:rPr>
          <w:rFonts w:hint="eastAsia" w:ascii="仿宋_GB2312" w:eastAsia="仿宋_GB2312"/>
          <w:color w:val="000000" w:themeColor="text1"/>
          <w:sz w:val="32"/>
          <w:szCs w:val="32"/>
          <w14:textFill>
            <w14:solidFill>
              <w14:schemeClr w14:val="tx1"/>
            </w14:solidFill>
          </w14:textFill>
        </w:rPr>
        <w:t>、该项目建设和运行过程中如涉及规划、土地利用、建设、水务、消防、安全等问题，应遵照相关法律法规要求到相应的行政主管部门办理有关手续。</w:t>
      </w:r>
    </w:p>
    <w:p w14:paraId="384BB1DB">
      <w:pPr>
        <w:pStyle w:val="18"/>
        <w:keepNext w:val="0"/>
        <w:keepLines w:val="0"/>
        <w:pageBreakBefore w:val="0"/>
        <w:kinsoku/>
        <w:wordWrap/>
        <w:overflowPunct/>
        <w:topLinePunct w:val="0"/>
        <w:autoSpaceDE/>
        <w:autoSpaceDN/>
        <w:bidi w:val="0"/>
        <w:adjustRightInd/>
        <w:snapToGrid/>
        <w:spacing w:line="520" w:lineRule="exact"/>
        <w:ind w:firstLine="636"/>
        <w:textAlignment w:val="auto"/>
        <w:rPr>
          <w:rFonts w:hint="eastAsia"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14:textFill>
            <w14:solidFill>
              <w14:schemeClr w14:val="tx1"/>
            </w14:solidFill>
          </w14:textFill>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29DA2C38">
      <w:pPr>
        <w:pStyle w:val="18"/>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 w:eastAsia="仿宋_GB2312"/>
          <w:color w:val="000000" w:themeColor="text1"/>
          <w:sz w:val="32"/>
          <w14:textFill>
            <w14:solidFill>
              <w14:schemeClr w14:val="tx1"/>
            </w14:solidFill>
          </w14:textFill>
        </w:rPr>
      </w:pPr>
    </w:p>
    <w:p w14:paraId="48E2FFB2">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p>
    <w:p w14:paraId="29A26305">
      <w:pPr>
        <w:keepNext w:val="0"/>
        <w:keepLines w:val="0"/>
        <w:pageBreakBefore w:val="0"/>
        <w:kinsoku/>
        <w:wordWrap/>
        <w:overflowPunct/>
        <w:topLinePunct w:val="0"/>
        <w:autoSpaceDE/>
        <w:autoSpaceDN/>
        <w:bidi w:val="0"/>
        <w:adjustRightInd/>
        <w:snapToGrid/>
        <w:spacing w:line="520" w:lineRule="exact"/>
        <w:jc w:val="center"/>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广州市生态环境局</w:t>
      </w:r>
    </w:p>
    <w:p w14:paraId="54231825">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日</w:t>
      </w:r>
    </w:p>
    <w:p w14:paraId="624E5421">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525546BC">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1CBD484C">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24A0E909">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116CC886">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1DF5DFFF">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1C666D5A">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03E4C474">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65759C59">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2188D2C6">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2F9AC9F2">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686BA063">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hint="eastAsia" w:ascii="仿宋_GB2312" w:eastAsia="仿宋_GB2312"/>
          <w:color w:val="000000" w:themeColor="text1"/>
          <w:sz w:val="32"/>
          <w:szCs w:val="32"/>
          <w14:textFill>
            <w14:solidFill>
              <w14:schemeClr w14:val="tx1"/>
            </w14:solidFill>
          </w14:textFill>
        </w:rPr>
      </w:pPr>
    </w:p>
    <w:p w14:paraId="475CA668">
      <w:pPr>
        <w:keepNext w:val="0"/>
        <w:keepLines w:val="0"/>
        <w:pageBreakBefore w:val="0"/>
        <w:kinsoku/>
        <w:wordWrap/>
        <w:overflowPunct/>
        <w:topLinePunct w:val="0"/>
        <w:autoSpaceDE/>
        <w:autoSpaceDN/>
        <w:bidi w:val="0"/>
        <w:adjustRightInd/>
        <w:snapToGrid/>
        <w:spacing w:line="520" w:lineRule="exact"/>
        <w:ind w:right="4" w:rightChars="0"/>
        <w:textAlignment w:val="auto"/>
        <w:rPr>
          <w:rFonts w:hint="eastAsia" w:ascii="仿宋_GB2312" w:eastAsia="仿宋_GB2312"/>
          <w:color w:val="000000" w:themeColor="text1"/>
          <w:sz w:val="32"/>
          <w:szCs w:val="32"/>
          <w14:textFill>
            <w14:solidFill>
              <w14:schemeClr w14:val="tx1"/>
            </w14:solidFill>
          </w14:textFill>
        </w:rPr>
      </w:pPr>
    </w:p>
    <w:p w14:paraId="4F233EE2">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公开方式：</w:t>
      </w:r>
      <w:r>
        <w:rPr>
          <w:rFonts w:hint="eastAsia" w:ascii="仿宋_GB2312" w:eastAsia="仿宋_GB2312"/>
          <w:color w:val="000000" w:themeColor="text1"/>
          <w:sz w:val="32"/>
          <w:szCs w:val="32"/>
          <w14:textFill>
            <w14:solidFill>
              <w14:schemeClr w14:val="tx1"/>
            </w14:solidFill>
          </w14:textFill>
        </w:rPr>
        <w:t>主动公开</w:t>
      </w:r>
    </w:p>
    <w:p w14:paraId="084C0797">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000000" w:themeColor="text1"/>
          <w:sz w:val="32"/>
          <w:szCs w:val="32"/>
          <w14:textFill>
            <w14:solidFill>
              <w14:schemeClr w14:val="tx1"/>
            </w14:solidFill>
          </w14:textFill>
        </w:rPr>
      </w:pPr>
    </w:p>
    <w:p w14:paraId="1DE30BAB">
      <w:pPr>
        <w:keepNext w:val="0"/>
        <w:keepLines w:val="0"/>
        <w:pageBreakBefore w:val="0"/>
        <w:kinsoku/>
        <w:wordWrap/>
        <w:overflowPunct/>
        <w:topLinePunct w:val="0"/>
        <w:autoSpaceDE/>
        <w:autoSpaceDN/>
        <w:bidi w:val="0"/>
        <w:adjustRightInd/>
        <w:snapToGrid/>
        <w:spacing w:line="520" w:lineRule="exact"/>
        <w:ind w:left="1133" w:leftChars="201" w:hanging="711" w:hangingChars="254"/>
        <w:textAlignment w:val="auto"/>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抄送：广州市生态环境局番禺分局</w:t>
      </w:r>
      <w:r>
        <w:rPr>
          <w:rFonts w:hint="eastAsia" w:ascii="仿宋_GB2312" w:eastAsia="仿宋_GB2312" w:cs="Times New Roman"/>
          <w:color w:val="000000" w:themeColor="text1"/>
          <w:sz w:val="28"/>
          <w:szCs w:val="28"/>
          <w14:textFill>
            <w14:solidFill>
              <w14:schemeClr w14:val="tx1"/>
            </w14:solidFill>
          </w14:textFill>
        </w:rPr>
        <w:t>执法</w:t>
      </w:r>
      <w:r>
        <w:rPr>
          <w:rFonts w:hint="eastAsia" w:ascii="仿宋_GB2312" w:eastAsia="仿宋_GB2312" w:cs="Times New Roman"/>
          <w:color w:val="000000" w:themeColor="text1"/>
          <w:sz w:val="28"/>
          <w:szCs w:val="28"/>
          <w:lang w:val="en-US" w:eastAsia="zh-CN"/>
          <w14:textFill>
            <w14:solidFill>
              <w14:schemeClr w14:val="tx1"/>
            </w14:solidFill>
          </w14:textFill>
        </w:rPr>
        <w:t>一</w:t>
      </w:r>
      <w:r>
        <w:rPr>
          <w:rFonts w:hint="eastAsia" w:ascii="仿宋_GB2312" w:eastAsia="仿宋_GB2312" w:cs="Times New Roman"/>
          <w:color w:val="000000" w:themeColor="text1"/>
          <w:sz w:val="28"/>
          <w:szCs w:val="28"/>
          <w14:textFill>
            <w14:solidFill>
              <w14:schemeClr w14:val="tx1"/>
            </w14:solidFill>
          </w14:textFill>
        </w:rPr>
        <w:t>科、</w:t>
      </w:r>
      <w:r>
        <w:rPr>
          <w:rFonts w:hint="eastAsia" w:ascii="仿宋_GB2312" w:eastAsia="仿宋_GB2312" w:cs="Times New Roman"/>
          <w:color w:val="000000" w:themeColor="text1"/>
          <w:sz w:val="28"/>
          <w:szCs w:val="28"/>
          <w:lang w:eastAsia="zh-CN"/>
          <w14:textFill>
            <w14:solidFill>
              <w14:schemeClr w14:val="tx1"/>
            </w14:solidFill>
          </w14:textFill>
        </w:rPr>
        <w:t>番禺</w:t>
      </w:r>
      <w:r>
        <w:rPr>
          <w:rFonts w:hint="eastAsia" w:ascii="仿宋_GB2312" w:eastAsia="仿宋_GB2312" w:cs="Times New Roman"/>
          <w:color w:val="000000" w:themeColor="text1"/>
          <w:sz w:val="28"/>
          <w:szCs w:val="28"/>
          <w14:textFill>
            <w14:solidFill>
              <w14:schemeClr w14:val="tx1"/>
            </w14:solidFill>
          </w14:textFill>
        </w:rPr>
        <w:t>第</w:t>
      </w:r>
      <w:r>
        <w:rPr>
          <w:rFonts w:hint="eastAsia" w:ascii="仿宋_GB2312" w:eastAsia="仿宋_GB2312" w:cs="Times New Roman"/>
          <w:color w:val="000000" w:themeColor="text1"/>
          <w:sz w:val="28"/>
          <w:szCs w:val="28"/>
          <w:lang w:val="en-US" w:eastAsia="zh-CN"/>
          <w14:textFill>
            <w14:solidFill>
              <w14:schemeClr w14:val="tx1"/>
            </w14:solidFill>
          </w14:textFill>
        </w:rPr>
        <w:t>二</w:t>
      </w:r>
      <w:r>
        <w:rPr>
          <w:rFonts w:hint="eastAsia" w:ascii="仿宋_GB2312" w:eastAsia="仿宋_GB2312" w:cs="Times New Roman"/>
          <w:color w:val="000000" w:themeColor="text1"/>
          <w:sz w:val="28"/>
          <w:szCs w:val="28"/>
          <w14:textFill>
            <w14:solidFill>
              <w14:schemeClr w14:val="tx1"/>
            </w14:solidFill>
          </w14:textFill>
        </w:rPr>
        <w:t>环保所，广州市绿轩环保科技有限公司</w:t>
      </w:r>
      <w:r>
        <w:rPr>
          <w:rFonts w:hint="eastAsia" w:ascii="仿宋_GB2312" w:eastAsia="仿宋_GB2312"/>
          <w:color w:val="000000" w:themeColor="text1"/>
          <w:sz w:val="28"/>
          <w:szCs w:val="28"/>
          <w14:textFill>
            <w14:solidFill>
              <w14:schemeClr w14:val="tx1"/>
            </w14:solidFill>
          </w14:textFill>
        </w:rPr>
        <w:t>。</w:t>
      </w:r>
    </w:p>
    <w:p w14:paraId="37F57A3C">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s="Times New Roman"/>
          <w:color w:val="auto"/>
          <w:sz w:val="28"/>
          <w:szCs w:val="28"/>
        </w:rPr>
      </w:pP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icrosoft Himalaya">
    <w:panose1 w:val="01010100010101010101"/>
    <w:charset w:val="00"/>
    <w:family w:val="auto"/>
    <w:pitch w:val="default"/>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E9906">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46C6635">
    <w:pPr>
      <w:pStyle w:val="4"/>
      <w:ind w:right="360" w:firstLine="360"/>
      <w:jc w:val="center"/>
      <w:rPr>
        <w:rFonts w:ascii="Times New Roman" w:hAnsi="Times New Roman"/>
        <w:sz w:val="28"/>
        <w:szCs w:val="28"/>
      </w:rPr>
    </w:pPr>
  </w:p>
  <w:p w14:paraId="05E90A5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61105">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098C39D7">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CA1F47"/>
    <w:multiLevelType w:val="singleLevel"/>
    <w:tmpl w:val="33CA1F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attachedTemplate r:id="rId1"/>
  <w:revisionView w:markup="0"/>
  <w:trackRevisions w:val="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B86851"/>
    <w:rsid w:val="021460CD"/>
    <w:rsid w:val="0225684B"/>
    <w:rsid w:val="028367AB"/>
    <w:rsid w:val="03363F3D"/>
    <w:rsid w:val="04817C37"/>
    <w:rsid w:val="053247A7"/>
    <w:rsid w:val="05414FD9"/>
    <w:rsid w:val="091574A4"/>
    <w:rsid w:val="09ED3BCE"/>
    <w:rsid w:val="0E955E3E"/>
    <w:rsid w:val="0E971B2A"/>
    <w:rsid w:val="0F833CC8"/>
    <w:rsid w:val="106A71D6"/>
    <w:rsid w:val="10BF38FB"/>
    <w:rsid w:val="10FE2EC4"/>
    <w:rsid w:val="11D03E55"/>
    <w:rsid w:val="12737E91"/>
    <w:rsid w:val="12AB1C3C"/>
    <w:rsid w:val="12CD72C1"/>
    <w:rsid w:val="12DA5DA1"/>
    <w:rsid w:val="13AB4C23"/>
    <w:rsid w:val="13BB17F2"/>
    <w:rsid w:val="157D650A"/>
    <w:rsid w:val="16FA246F"/>
    <w:rsid w:val="1BC528C4"/>
    <w:rsid w:val="1C1D0B2C"/>
    <w:rsid w:val="1C616E81"/>
    <w:rsid w:val="1D4266B3"/>
    <w:rsid w:val="1E2307E2"/>
    <w:rsid w:val="1E443D34"/>
    <w:rsid w:val="1E757FC7"/>
    <w:rsid w:val="1F4D7EC7"/>
    <w:rsid w:val="1FAD0826"/>
    <w:rsid w:val="1FC82394"/>
    <w:rsid w:val="2012755B"/>
    <w:rsid w:val="204B755B"/>
    <w:rsid w:val="20CF4E76"/>
    <w:rsid w:val="22024847"/>
    <w:rsid w:val="221365B8"/>
    <w:rsid w:val="227D66DC"/>
    <w:rsid w:val="22D312BB"/>
    <w:rsid w:val="232448DF"/>
    <w:rsid w:val="246B5CE5"/>
    <w:rsid w:val="26A87BC4"/>
    <w:rsid w:val="26EF26C7"/>
    <w:rsid w:val="276276B7"/>
    <w:rsid w:val="27BD6789"/>
    <w:rsid w:val="28AE5DA0"/>
    <w:rsid w:val="295248DB"/>
    <w:rsid w:val="29A43513"/>
    <w:rsid w:val="2B3726AD"/>
    <w:rsid w:val="2D004820"/>
    <w:rsid w:val="2E0726A0"/>
    <w:rsid w:val="2F393C7B"/>
    <w:rsid w:val="2FA779EC"/>
    <w:rsid w:val="2FAE193C"/>
    <w:rsid w:val="307C5365"/>
    <w:rsid w:val="30A22B85"/>
    <w:rsid w:val="325A6F1E"/>
    <w:rsid w:val="361C27B0"/>
    <w:rsid w:val="36D17698"/>
    <w:rsid w:val="37000936"/>
    <w:rsid w:val="3705608F"/>
    <w:rsid w:val="37FC022F"/>
    <w:rsid w:val="38EB77CC"/>
    <w:rsid w:val="38F30E4E"/>
    <w:rsid w:val="395413A0"/>
    <w:rsid w:val="3A2A7A38"/>
    <w:rsid w:val="3AA44A54"/>
    <w:rsid w:val="3AE822E0"/>
    <w:rsid w:val="3AF90F4C"/>
    <w:rsid w:val="3BDC5B02"/>
    <w:rsid w:val="3CC7607D"/>
    <w:rsid w:val="3EC51AE0"/>
    <w:rsid w:val="3F49060B"/>
    <w:rsid w:val="3F5B35F1"/>
    <w:rsid w:val="3FB306B4"/>
    <w:rsid w:val="40140588"/>
    <w:rsid w:val="404C15ED"/>
    <w:rsid w:val="409B6129"/>
    <w:rsid w:val="41166F16"/>
    <w:rsid w:val="41171C7F"/>
    <w:rsid w:val="421D23EE"/>
    <w:rsid w:val="423F023E"/>
    <w:rsid w:val="42817ECC"/>
    <w:rsid w:val="442524D2"/>
    <w:rsid w:val="44A51F36"/>
    <w:rsid w:val="450F1F75"/>
    <w:rsid w:val="453C3F01"/>
    <w:rsid w:val="460A0D61"/>
    <w:rsid w:val="483779D9"/>
    <w:rsid w:val="49B945DF"/>
    <w:rsid w:val="49DE5C93"/>
    <w:rsid w:val="4AA34302"/>
    <w:rsid w:val="4AE22D88"/>
    <w:rsid w:val="4B621286"/>
    <w:rsid w:val="4E2638D4"/>
    <w:rsid w:val="4E333214"/>
    <w:rsid w:val="4EB11A7C"/>
    <w:rsid w:val="4EE06776"/>
    <w:rsid w:val="4F586ABA"/>
    <w:rsid w:val="4F9C166D"/>
    <w:rsid w:val="51207E3F"/>
    <w:rsid w:val="51763576"/>
    <w:rsid w:val="51F97ABA"/>
    <w:rsid w:val="524D3164"/>
    <w:rsid w:val="526124D3"/>
    <w:rsid w:val="526D636A"/>
    <w:rsid w:val="528146B5"/>
    <w:rsid w:val="53B57B56"/>
    <w:rsid w:val="54592BC2"/>
    <w:rsid w:val="55F433AB"/>
    <w:rsid w:val="55FE082D"/>
    <w:rsid w:val="56562F7A"/>
    <w:rsid w:val="56EB0672"/>
    <w:rsid w:val="56F52580"/>
    <w:rsid w:val="57262204"/>
    <w:rsid w:val="58272CFA"/>
    <w:rsid w:val="583D1DA6"/>
    <w:rsid w:val="596879A6"/>
    <w:rsid w:val="5997723D"/>
    <w:rsid w:val="59F57B8E"/>
    <w:rsid w:val="5A876B01"/>
    <w:rsid w:val="5B7E4A72"/>
    <w:rsid w:val="5CD10ED2"/>
    <w:rsid w:val="5D17002E"/>
    <w:rsid w:val="5D302779"/>
    <w:rsid w:val="5DC909B8"/>
    <w:rsid w:val="5E0D6250"/>
    <w:rsid w:val="5E87559F"/>
    <w:rsid w:val="5E91383E"/>
    <w:rsid w:val="5EEB20AD"/>
    <w:rsid w:val="5F986076"/>
    <w:rsid w:val="5FAC665B"/>
    <w:rsid w:val="5FEF186C"/>
    <w:rsid w:val="60AB5036"/>
    <w:rsid w:val="60F00D75"/>
    <w:rsid w:val="62973EAF"/>
    <w:rsid w:val="670A7A3E"/>
    <w:rsid w:val="6786138F"/>
    <w:rsid w:val="67CD1782"/>
    <w:rsid w:val="68A62F74"/>
    <w:rsid w:val="690349F5"/>
    <w:rsid w:val="69EF3DF1"/>
    <w:rsid w:val="6B2F71CC"/>
    <w:rsid w:val="6B435101"/>
    <w:rsid w:val="6B79486E"/>
    <w:rsid w:val="6C47151C"/>
    <w:rsid w:val="6D35765F"/>
    <w:rsid w:val="6D36654C"/>
    <w:rsid w:val="6D57543A"/>
    <w:rsid w:val="6D8B22BF"/>
    <w:rsid w:val="6DCC7A56"/>
    <w:rsid w:val="6E852BE1"/>
    <w:rsid w:val="6EF174EB"/>
    <w:rsid w:val="6FA2401A"/>
    <w:rsid w:val="70855E86"/>
    <w:rsid w:val="73006EB1"/>
    <w:rsid w:val="73417714"/>
    <w:rsid w:val="73923FC8"/>
    <w:rsid w:val="73A743B6"/>
    <w:rsid w:val="750021A3"/>
    <w:rsid w:val="7507411D"/>
    <w:rsid w:val="762C5749"/>
    <w:rsid w:val="765C5FCF"/>
    <w:rsid w:val="768415A7"/>
    <w:rsid w:val="774C7907"/>
    <w:rsid w:val="77A5337F"/>
    <w:rsid w:val="79894A9E"/>
    <w:rsid w:val="798C1BA4"/>
    <w:rsid w:val="7B331FDF"/>
    <w:rsid w:val="7BA515D0"/>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2050</Words>
  <Characters>2205</Characters>
  <Lines>19</Lines>
  <Paragraphs>5</Paragraphs>
  <TotalTime>956</TotalTime>
  <ScaleCrop>false</ScaleCrop>
  <LinksUpToDate>false</LinksUpToDate>
  <CharactersWithSpaces>2268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圆圈圈儿 ࿔</cp:lastModifiedBy>
  <cp:lastPrinted>2024-07-11T06:52:00Z</cp:lastPrinted>
  <dcterms:modified xsi:type="dcterms:W3CDTF">2025-08-05T02:26:15Z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2052-12.1.0.21915</vt:lpwstr>
  </property>
  <property fmtid="{D5CDD505-2E9C-101B-9397-08002B2CF9AE}" pid="4" name="ICV">
    <vt:lpwstr>8CA7CA9679E149EFB7881FE0B1607FCF_13</vt:lpwstr>
  </property>
  <property fmtid="{D5CDD505-2E9C-101B-9397-08002B2CF9AE}" pid="5" name="KSOTemplateDocerSaveRecord">
    <vt:lpwstr>eyJoZGlkIjoiZjYyYjY3ZGUwZmE3YmJlMGZkNDBhMjIxYWU5OTAxMDEiLCJ1c2VySWQiOiIxNzIzMDIxNzY5In0=</vt:lpwstr>
  </property>
</Properties>
</file>