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3373B5">
      <w:pPr>
        <w:adjustRightInd w:val="0"/>
        <w:snapToGrid w:val="0"/>
        <w:ind w:right="-156" w:hanging="180"/>
        <w:jc w:val="center"/>
        <w:rPr>
          <w:rFonts w:ascii="公文小标宋简" w:eastAsia="公文小标宋简"/>
          <w:b/>
          <w:bCs/>
          <w:smallCaps/>
          <w:snapToGrid w:val="0"/>
          <w:color w:val="auto"/>
          <w:spacing w:val="56"/>
          <w:kern w:val="0"/>
          <w:sz w:val="72"/>
          <w:szCs w:val="72"/>
        </w:rPr>
      </w:pPr>
    </w:p>
    <w:p w14:paraId="1AA5779C">
      <w:pPr>
        <w:keepNext w:val="0"/>
        <w:keepLines w:val="0"/>
        <w:pageBreakBefore w:val="0"/>
        <w:kinsoku/>
        <w:wordWrap w:val="0"/>
        <w:overflowPunct/>
        <w:topLinePunct w:val="0"/>
        <w:autoSpaceDE/>
        <w:autoSpaceDN/>
        <w:bidi w:val="0"/>
        <w:adjustRightInd w:val="0"/>
        <w:snapToGrid w:val="0"/>
        <w:spacing w:line="560" w:lineRule="exact"/>
        <w:ind w:firstLine="420" w:firstLineChars="200"/>
        <w:textAlignment w:val="auto"/>
        <w:rPr>
          <w:rFonts w:ascii="仿宋_GB2312"/>
          <w:color w:val="auto"/>
        </w:rPr>
      </w:pPr>
      <w:r>
        <w:rPr>
          <w:rFonts w:hint="eastAsia" w:ascii="仿宋_GB2312"/>
          <w:color w:val="auto"/>
        </w:rPr>
        <w:t xml:space="preserve">                                       </w:t>
      </w:r>
      <w:r>
        <w:rPr>
          <w:rFonts w:hint="eastAsia" w:ascii="仿宋_GB2312" w:eastAsia="仿宋_GB2312"/>
          <w:color w:val="auto"/>
          <w:sz w:val="32"/>
          <w:szCs w:val="32"/>
        </w:rPr>
        <w:t>穗环管影（番）〔202</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98</w:t>
      </w:r>
      <w:r>
        <w:rPr>
          <w:rFonts w:hint="eastAsia" w:ascii="仿宋_GB2312" w:eastAsia="仿宋_GB2312"/>
          <w:color w:val="auto"/>
          <w:sz w:val="32"/>
          <w:szCs w:val="32"/>
        </w:rPr>
        <w:t>号</w:t>
      </w:r>
    </w:p>
    <w:p w14:paraId="0D9D23AD">
      <w:pPr>
        <w:keepNext w:val="0"/>
        <w:keepLines w:val="0"/>
        <w:pageBreakBefore w:val="0"/>
        <w:kinsoku/>
        <w:overflowPunct/>
        <w:topLinePunct w:val="0"/>
        <w:autoSpaceDE/>
        <w:autoSpaceDN/>
        <w:bidi w:val="0"/>
        <w:spacing w:line="560" w:lineRule="exact"/>
        <w:textAlignment w:val="auto"/>
        <w:rPr>
          <w:rFonts w:ascii="黑体" w:eastAsia="黑体"/>
          <w:color w:val="auto"/>
        </w:rPr>
      </w:pPr>
    </w:p>
    <w:p w14:paraId="0AC8BEF1">
      <w:pPr>
        <w:keepNext w:val="0"/>
        <w:keepLines w:val="0"/>
        <w:pageBreakBefore w:val="0"/>
        <w:kinsoku/>
        <w:overflowPunct/>
        <w:topLinePunct w:val="0"/>
        <w:autoSpaceDE/>
        <w:autoSpaceDN/>
        <w:bidi w:val="0"/>
        <w:adjustRightInd w:val="0"/>
        <w:snapToGrid w:val="0"/>
        <w:spacing w:line="560" w:lineRule="exact"/>
        <w:textAlignment w:val="auto"/>
        <w:rPr>
          <w:rFonts w:ascii="仿宋_GB2312"/>
          <w:color w:val="auto"/>
        </w:rPr>
      </w:pPr>
    </w:p>
    <w:p w14:paraId="03173BE7">
      <w:pPr>
        <w:keepNext w:val="0"/>
        <w:keepLines w:val="0"/>
        <w:pageBreakBefore w:val="0"/>
        <w:kinsoku/>
        <w:overflowPunct/>
        <w:topLinePunct w:val="0"/>
        <w:autoSpaceDE/>
        <w:autoSpaceDN/>
        <w:bidi w:val="0"/>
        <w:spacing w:line="560" w:lineRule="exact"/>
        <w:jc w:val="center"/>
        <w:textAlignment w:val="auto"/>
        <w:rPr>
          <w:rFonts w:ascii="方正小标宋简体" w:eastAsia="方正小标宋简体"/>
          <w:color w:val="auto"/>
          <w:sz w:val="44"/>
          <w:szCs w:val="44"/>
        </w:rPr>
      </w:pPr>
      <w:r>
        <w:rPr>
          <w:rFonts w:hint="eastAsia" w:ascii="方正小标宋简体" w:eastAsia="方正小标宋简体"/>
          <w:color w:val="auto"/>
          <w:sz w:val="44"/>
          <w:szCs w:val="44"/>
        </w:rPr>
        <w:t>广州市生态环境局关于广州致辉精化股份有限公司涂层材料研发实验室项目环境影响报告表的批复</w:t>
      </w:r>
    </w:p>
    <w:p w14:paraId="00880D9C">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4D947783">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r>
        <w:rPr>
          <w:rFonts w:hint="eastAsia" w:ascii="仿宋_GB2312" w:eastAsia="仿宋_GB2312"/>
          <w:color w:val="auto"/>
          <w:sz w:val="32"/>
          <w:szCs w:val="32"/>
        </w:rPr>
        <w:t>广州致辉精化股份有限公司（91440101681310812H）：</w:t>
      </w:r>
    </w:p>
    <w:p w14:paraId="06F98241">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你单位报送的《广州致辉精化股份有限公司涂层材料研发实验室项目环境影响报告表》（以下简称《报告表》）及附送资料收悉。经研究，现批复如下：</w:t>
      </w:r>
    </w:p>
    <w:p w14:paraId="6234E811">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一、广州致辉精化股份有限公司涂层材料研发实验室项目（以下简称“该项目”）位于广东省广州市番禺区石楼镇创启路63号6-2栋201室，申报内容为</w:t>
      </w:r>
      <w:r>
        <w:rPr>
          <w:rFonts w:hint="eastAsia" w:ascii="仿宋_GB2312" w:eastAsia="仿宋_GB2312"/>
          <w:color w:val="auto"/>
          <w:sz w:val="32"/>
          <w:szCs w:val="32"/>
          <w:lang w:val="en-US" w:eastAsia="zh-CN"/>
        </w:rPr>
        <w:t>从事</w:t>
      </w:r>
      <w:r>
        <w:rPr>
          <w:rFonts w:hint="eastAsia" w:ascii="仿宋_GB2312" w:eastAsia="仿宋_GB2312"/>
          <w:color w:val="auto"/>
          <w:sz w:val="32"/>
          <w:szCs w:val="32"/>
        </w:rPr>
        <w:t>新材料研发</w:t>
      </w:r>
      <w:r>
        <w:rPr>
          <w:rFonts w:hint="eastAsia" w:ascii="仿宋_GB2312" w:eastAsia="仿宋_GB2312"/>
          <w:color w:val="auto"/>
          <w:sz w:val="32"/>
          <w:szCs w:val="32"/>
          <w:lang w:val="en-US" w:eastAsia="zh-CN"/>
        </w:rPr>
        <w:t>和测试，年研发涂层材料2吨</w:t>
      </w:r>
      <w:r>
        <w:rPr>
          <w:rFonts w:hint="eastAsia" w:ascii="仿宋_GB2312" w:eastAsia="仿宋_GB2312"/>
          <w:color w:val="auto"/>
          <w:sz w:val="32"/>
          <w:szCs w:val="32"/>
        </w:rPr>
        <w:t>。该项目占地面积828.93平方米，总建筑面积1657.86平方米，</w:t>
      </w:r>
      <w:r>
        <w:rPr>
          <w:rFonts w:hint="eastAsia" w:ascii="仿宋_GB2312" w:eastAsia="仿宋_GB2312"/>
          <w:color w:val="auto"/>
          <w:sz w:val="32"/>
          <w:szCs w:val="32"/>
          <w:lang w:val="en-US" w:eastAsia="zh-CN"/>
        </w:rPr>
        <w:t>租用1栋7层</w:t>
      </w:r>
      <w:r>
        <w:rPr>
          <w:rFonts w:hint="eastAsia" w:ascii="仿宋_GB2312" w:eastAsia="仿宋_GB2312"/>
          <w:color w:val="auto"/>
          <w:sz w:val="32"/>
          <w:szCs w:val="32"/>
        </w:rPr>
        <w:t>建筑物</w:t>
      </w:r>
      <w:r>
        <w:rPr>
          <w:rFonts w:hint="eastAsia" w:ascii="仿宋_GB2312" w:eastAsia="仿宋_GB2312"/>
          <w:color w:val="auto"/>
          <w:sz w:val="32"/>
          <w:szCs w:val="32"/>
          <w:lang w:val="en-US" w:eastAsia="zh-CN"/>
        </w:rPr>
        <w:t>的第2层（带夹层）</w:t>
      </w:r>
      <w:r>
        <w:rPr>
          <w:rFonts w:hint="eastAsia" w:ascii="仿宋_GB2312" w:eastAsia="仿宋_GB2312"/>
          <w:color w:val="auto"/>
          <w:sz w:val="32"/>
          <w:szCs w:val="32"/>
        </w:rPr>
        <w:t>；主要设备有实验釜7台、搅拌器22台、冷冻机1台、空压机1台等</w:t>
      </w:r>
      <w:r>
        <w:rPr>
          <w:rFonts w:hint="eastAsia" w:ascii="仿宋_GB2312" w:eastAsia="仿宋_GB2312"/>
          <w:color w:val="auto"/>
          <w:sz w:val="32"/>
          <w:szCs w:val="32"/>
          <w:lang w:val="en-US" w:eastAsia="zh-CN"/>
        </w:rPr>
        <w:t>研发设备一批，及喷涂柜2个、喷枪2把、移动式气动泵2台、自动测定仪1台、耐磨试验机2台、旋转粘度计1台、固化灯1台、通风橱15个、纯水机1台等测试及辅助设备一批</w:t>
      </w:r>
      <w:r>
        <w:rPr>
          <w:rFonts w:hint="eastAsia" w:ascii="仿宋_GB2312" w:eastAsia="仿宋_GB2312"/>
          <w:color w:val="auto"/>
          <w:sz w:val="32"/>
          <w:szCs w:val="32"/>
        </w:rPr>
        <w:t>；员工</w:t>
      </w:r>
      <w:r>
        <w:rPr>
          <w:rFonts w:hint="eastAsia" w:ascii="仿宋_GB2312" w:eastAsia="仿宋_GB2312"/>
          <w:color w:val="auto"/>
          <w:sz w:val="32"/>
          <w:szCs w:val="32"/>
          <w:lang w:val="en-US" w:eastAsia="zh-CN"/>
        </w:rPr>
        <w:t>38</w:t>
      </w:r>
      <w:r>
        <w:rPr>
          <w:rFonts w:hint="eastAsia" w:ascii="仿宋_GB2312" w:eastAsia="仿宋_GB2312"/>
          <w:color w:val="auto"/>
          <w:sz w:val="32"/>
          <w:szCs w:val="32"/>
        </w:rPr>
        <w:t>名，内部不安排食宿。</w:t>
      </w:r>
    </w:p>
    <w:p w14:paraId="0B64A3CC">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按照《报告表》的评价结论，在落实各项环境保护措施后，该项目产生的污染物及不良环境影响能够得到有效控制，从环境保护角度，在拟选址处建设可行。经审查，我局原则同意《报告表》评价结论。该项目应当按照《报告表》所述性质、规模、地点、生产工艺和环境保护措施进行建设。</w:t>
      </w:r>
    </w:p>
    <w:p w14:paraId="655CFE16">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二、该项目各类污染物排放控制要求如下：</w:t>
      </w:r>
    </w:p>
    <w:p w14:paraId="4A77641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w:t>
      </w:r>
      <w:r>
        <w:rPr>
          <w:rFonts w:hint="eastAsia" w:ascii="仿宋_GB2312" w:eastAsia="仿宋_GB2312"/>
          <w:color w:val="auto"/>
          <w:sz w:val="32"/>
          <w:szCs w:val="32"/>
          <w:lang w:val="en-US" w:eastAsia="zh-CN"/>
        </w:rPr>
        <w:t>水污染物</w:t>
      </w:r>
      <w:r>
        <w:rPr>
          <w:rFonts w:hint="eastAsia" w:ascii="仿宋_GB2312" w:eastAsia="仿宋_GB2312"/>
          <w:color w:val="auto"/>
          <w:sz w:val="32"/>
          <w:szCs w:val="32"/>
        </w:rPr>
        <w:t>排放执行广东省《水污染物排放限值》（DB44/26-2001）第二时段三级标准</w:t>
      </w:r>
      <w:r>
        <w:rPr>
          <w:rFonts w:hint="eastAsia" w:ascii="仿宋_GB2312" w:eastAsia="仿宋_GB2312"/>
          <w:color w:val="auto"/>
          <w:sz w:val="32"/>
          <w:szCs w:val="32"/>
          <w:lang w:eastAsia="zh-CN"/>
        </w:rPr>
        <w:t>，</w:t>
      </w:r>
      <w:r>
        <w:rPr>
          <w:rFonts w:hint="eastAsia" w:ascii="仿宋_GB2312" w:eastAsia="仿宋_GB2312"/>
          <w:color w:val="auto"/>
          <w:sz w:val="32"/>
          <w:szCs w:val="32"/>
        </w:rPr>
        <w:t>生活污水排放量不超过</w:t>
      </w:r>
      <w:r>
        <w:rPr>
          <w:rFonts w:hint="eastAsia" w:ascii="仿宋_GB2312" w:eastAsia="仿宋_GB2312"/>
          <w:color w:val="auto"/>
          <w:sz w:val="32"/>
          <w:szCs w:val="32"/>
          <w:lang w:val="en-US" w:eastAsia="zh-CN"/>
        </w:rPr>
        <w:t>342</w:t>
      </w:r>
      <w:r>
        <w:rPr>
          <w:rFonts w:hint="eastAsia" w:ascii="仿宋_GB2312" w:eastAsia="仿宋_GB2312"/>
          <w:color w:val="auto"/>
          <w:sz w:val="32"/>
          <w:szCs w:val="32"/>
        </w:rPr>
        <w:t>吨/年。</w:t>
      </w:r>
    </w:p>
    <w:p w14:paraId="5C2993F3">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w:t>
      </w:r>
      <w:r>
        <w:rPr>
          <w:rFonts w:hint="eastAsia" w:ascii="仿宋_GB2312" w:eastAsia="仿宋_GB2312"/>
          <w:color w:val="auto"/>
          <w:sz w:val="32"/>
          <w:szCs w:val="32"/>
          <w:lang w:val="en-US" w:eastAsia="zh-CN"/>
        </w:rPr>
        <w:t>TVOC、苯系物</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非甲烷总烃排放</w:t>
      </w:r>
      <w:r>
        <w:rPr>
          <w:rFonts w:hint="eastAsia" w:ascii="仿宋_GB2312" w:eastAsia="仿宋_GB2312"/>
          <w:color w:val="auto"/>
          <w:sz w:val="32"/>
          <w:szCs w:val="32"/>
        </w:rPr>
        <w:t>执行</w:t>
      </w:r>
      <w:r>
        <w:rPr>
          <w:rFonts w:hint="eastAsia" w:ascii="仿宋_GB2312" w:hAnsi="仿宋_GB2312" w:eastAsia="仿宋_GB2312" w:cs="仿宋_GB2312"/>
          <w:color w:val="auto"/>
          <w:kern w:val="2"/>
          <w:sz w:val="32"/>
          <w:szCs w:val="32"/>
          <w:highlight w:val="none"/>
          <w:lang w:val="en-US" w:eastAsia="zh-CN" w:bidi="ar-SA"/>
        </w:rPr>
        <w:t>广东省</w:t>
      </w:r>
      <w:r>
        <w:rPr>
          <w:rFonts w:hint="eastAsia" w:ascii="仿宋_GB2312" w:eastAsia="仿宋_GB2312"/>
          <w:color w:val="auto"/>
          <w:sz w:val="32"/>
          <w:szCs w:val="32"/>
        </w:rPr>
        <w:t>《固定污染源挥发性有机物综合排放标准》（DB44/2367-2022）表1挥发性有机物排放限值</w:t>
      </w:r>
      <w:r>
        <w:rPr>
          <w:rFonts w:hint="eastAsia" w:ascii="仿宋_GB2312" w:eastAsia="仿宋_GB2312"/>
          <w:color w:val="auto"/>
          <w:sz w:val="32"/>
          <w:szCs w:val="32"/>
          <w:lang w:val="en-US" w:eastAsia="zh-CN"/>
        </w:rPr>
        <w:t>及表3厂区内VOCs无组织排放限值；</w:t>
      </w:r>
      <w:r>
        <w:rPr>
          <w:rFonts w:hint="eastAsia" w:ascii="仿宋_GB2312" w:hAnsi="仿宋_GB2312" w:eastAsia="仿宋_GB2312" w:cs="仿宋_GB2312"/>
          <w:color w:val="auto"/>
          <w:kern w:val="2"/>
          <w:sz w:val="32"/>
          <w:szCs w:val="32"/>
          <w:highlight w:val="none"/>
          <w:lang w:val="en-US" w:eastAsia="zh-CN" w:bidi="ar-SA"/>
        </w:rPr>
        <w:t>颗粒物排放执行广东省《大气污染物排放限值》（DB44／27-2001）</w:t>
      </w:r>
      <w:r>
        <w:rPr>
          <w:rFonts w:hint="eastAsia" w:ascii="仿宋_GB2312" w:eastAsia="仿宋_GB2312"/>
          <w:color w:val="auto"/>
          <w:sz w:val="32"/>
          <w:szCs w:val="32"/>
        </w:rPr>
        <w:t>第二时段</w:t>
      </w:r>
      <w:r>
        <w:rPr>
          <w:rFonts w:hint="eastAsia" w:ascii="仿宋_GB2312" w:eastAsia="仿宋_GB2312"/>
          <w:color w:val="auto"/>
          <w:sz w:val="32"/>
          <w:szCs w:val="32"/>
          <w:lang w:val="en-US" w:eastAsia="zh-CN"/>
        </w:rPr>
        <w:t>二</w:t>
      </w:r>
      <w:r>
        <w:rPr>
          <w:rFonts w:hint="eastAsia" w:ascii="仿宋_GB2312" w:eastAsia="仿宋_GB2312"/>
          <w:color w:val="auto"/>
          <w:sz w:val="32"/>
          <w:szCs w:val="32"/>
        </w:rPr>
        <w:t>级标准及无组织排放监控浓度限值</w:t>
      </w:r>
      <w:r>
        <w:rPr>
          <w:rFonts w:hint="eastAsia" w:ascii="仿宋_GB2312" w:hAnsi="仿宋_GB2312" w:eastAsia="仿宋_GB2312" w:cs="仿宋_GB2312"/>
          <w:color w:val="auto"/>
          <w:kern w:val="2"/>
          <w:sz w:val="32"/>
          <w:szCs w:val="32"/>
          <w:highlight w:val="none"/>
          <w:lang w:val="en-US" w:eastAsia="zh-CN" w:bidi="ar-SA"/>
        </w:rPr>
        <w:t>；苯乙烯、氨、臭气浓度排放执行《恶臭污染物排放标准》（GB14554-93）中表1厂界新扩改建二级标准限值及表2排放标准值；</w:t>
      </w:r>
    </w:p>
    <w:p w14:paraId="1C452005">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（三）边界噪声排放执行《工业企业厂界环境噪声排放标准》（GB12348-2008）</w:t>
      </w:r>
      <w:r>
        <w:rPr>
          <w:rFonts w:hint="eastAsia" w:ascii="仿宋_GB2312" w:eastAsia="仿宋_GB2312"/>
          <w:color w:val="auto"/>
          <w:sz w:val="32"/>
          <w:szCs w:val="32"/>
          <w:lang w:val="en-US" w:eastAsia="zh-CN"/>
        </w:rPr>
        <w:t>3</w:t>
      </w:r>
      <w:r>
        <w:rPr>
          <w:rFonts w:hint="eastAsia" w:ascii="仿宋_GB2312" w:eastAsia="仿宋_GB2312"/>
          <w:color w:val="auto"/>
          <w:sz w:val="32"/>
          <w:szCs w:val="32"/>
        </w:rPr>
        <w:t>类区限值，即：昼间≤</w:t>
      </w:r>
      <w:r>
        <w:rPr>
          <w:rFonts w:hint="eastAsia" w:ascii="仿宋_GB2312" w:eastAsia="仿宋_GB2312"/>
          <w:color w:val="auto"/>
          <w:sz w:val="32"/>
          <w:szCs w:val="32"/>
          <w:lang w:val="en-US" w:eastAsia="zh-CN"/>
        </w:rPr>
        <w:t>6</w:t>
      </w:r>
      <w:r>
        <w:rPr>
          <w:rFonts w:hint="eastAsia" w:ascii="仿宋_GB2312" w:eastAsia="仿宋_GB2312"/>
          <w:color w:val="auto"/>
          <w:sz w:val="32"/>
          <w:szCs w:val="32"/>
        </w:rPr>
        <w:t>5dB(A)，夜间≤</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5dB(A)。</w:t>
      </w:r>
    </w:p>
    <w:p w14:paraId="5D589B1F">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三、该项目应当认真落实《报告表》提出的各项环境保护措施，重点做好以下工作：</w:t>
      </w:r>
    </w:p>
    <w:p w14:paraId="548C04D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（一）排水系统采用雨污分流。水帘</w:t>
      </w:r>
      <w:r>
        <w:rPr>
          <w:rFonts w:hint="eastAsia" w:ascii="仿宋_GB2312" w:eastAsia="仿宋_GB2312"/>
          <w:color w:val="auto"/>
          <w:sz w:val="32"/>
          <w:szCs w:val="32"/>
          <w:lang w:val="en-US" w:eastAsia="zh-CN"/>
        </w:rPr>
        <w:t>柜</w:t>
      </w:r>
      <w:r>
        <w:rPr>
          <w:rFonts w:hint="eastAsia" w:ascii="仿宋_GB2312" w:eastAsia="仿宋_GB2312"/>
          <w:color w:val="auto"/>
          <w:sz w:val="32"/>
          <w:szCs w:val="32"/>
        </w:rPr>
        <w:t>废水循环使用，不外排</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定期</w:t>
      </w:r>
      <w:r>
        <w:rPr>
          <w:rFonts w:hint="eastAsia" w:ascii="仿宋_GB2312" w:hAnsi="仿宋_GB2312" w:eastAsia="仿宋_GB2312" w:cs="仿宋_GB2312"/>
          <w:color w:val="auto"/>
          <w:sz w:val="32"/>
          <w:szCs w:val="32"/>
        </w:rPr>
        <w:t>更换时交有</w:t>
      </w:r>
      <w:r>
        <w:rPr>
          <w:rFonts w:hint="eastAsia" w:ascii="仿宋_GB2312" w:hAnsi="仿宋_GB2312" w:eastAsia="仿宋_GB2312" w:cs="仿宋_GB2312"/>
          <w:color w:val="auto"/>
          <w:sz w:val="32"/>
          <w:szCs w:val="32"/>
          <w:lang w:val="en-US" w:eastAsia="zh-CN"/>
        </w:rPr>
        <w:t>处理</w:t>
      </w:r>
      <w:r>
        <w:rPr>
          <w:rFonts w:hint="eastAsia" w:ascii="仿宋_GB2312" w:hAnsi="仿宋_GB2312" w:eastAsia="仿宋_GB2312" w:cs="仿宋_GB2312"/>
          <w:color w:val="auto"/>
          <w:sz w:val="32"/>
          <w:szCs w:val="32"/>
        </w:rPr>
        <w:t>能力的单位处理</w:t>
      </w:r>
      <w:r>
        <w:rPr>
          <w:rFonts w:hint="eastAsia" w:ascii="仿宋_GB2312" w:hAnsi="仿宋_GB2312" w:eastAsia="仿宋_GB2312" w:cs="仿宋_GB2312"/>
          <w:color w:val="auto"/>
          <w:sz w:val="32"/>
          <w:szCs w:val="32"/>
          <w:lang w:eastAsia="zh-CN"/>
        </w:rPr>
        <w:t>。</w:t>
      </w:r>
      <w:r>
        <w:rPr>
          <w:rFonts w:hint="eastAsia" w:ascii="仿宋_GB2312" w:eastAsia="仿宋_GB2312"/>
          <w:color w:val="auto"/>
          <w:sz w:val="32"/>
          <w:szCs w:val="32"/>
        </w:rPr>
        <w:t>生活污水</w:t>
      </w:r>
      <w:r>
        <w:rPr>
          <w:rFonts w:hint="eastAsia" w:ascii="仿宋_GB2312" w:eastAsia="仿宋_GB2312"/>
          <w:color w:val="auto"/>
          <w:sz w:val="32"/>
          <w:szCs w:val="32"/>
          <w:lang w:eastAsia="zh-CN"/>
        </w:rPr>
        <w:t>经三级化粪池预处理后，</w:t>
      </w:r>
      <w:r>
        <w:rPr>
          <w:rFonts w:hint="eastAsia" w:ascii="仿宋_GB2312" w:eastAsia="仿宋_GB2312"/>
          <w:color w:val="auto"/>
          <w:sz w:val="32"/>
          <w:szCs w:val="32"/>
          <w:lang w:val="en-US" w:eastAsia="zh-CN"/>
        </w:rPr>
        <w:t>与纯水机浓水一并排入市政集污管网</w:t>
      </w:r>
      <w:r>
        <w:rPr>
          <w:rFonts w:hint="eastAsia" w:ascii="仿宋_GB2312" w:eastAsia="仿宋_GB2312"/>
          <w:color w:val="auto"/>
          <w:sz w:val="32"/>
          <w:szCs w:val="32"/>
        </w:rPr>
        <w:t>，送</w:t>
      </w:r>
      <w:r>
        <w:rPr>
          <w:rFonts w:hint="eastAsia" w:ascii="仿宋_GB2312" w:eastAsia="仿宋_GB2312"/>
          <w:color w:val="auto"/>
          <w:sz w:val="32"/>
          <w:szCs w:val="32"/>
          <w:lang w:val="en-US" w:eastAsia="zh-CN"/>
        </w:rPr>
        <w:t>化龙</w:t>
      </w:r>
      <w:r>
        <w:rPr>
          <w:rFonts w:hint="eastAsia" w:ascii="仿宋_GB2312" w:eastAsia="仿宋_GB2312"/>
          <w:color w:val="auto"/>
          <w:sz w:val="32"/>
          <w:szCs w:val="32"/>
        </w:rPr>
        <w:t>净水厂</w:t>
      </w:r>
      <w:r>
        <w:rPr>
          <w:rFonts w:hint="eastAsia" w:ascii="仿宋_GB2312" w:eastAsia="仿宋_GB2312"/>
          <w:color w:val="auto"/>
          <w:sz w:val="32"/>
          <w:szCs w:val="32"/>
          <w:lang w:val="en-US" w:eastAsia="zh-CN"/>
        </w:rPr>
        <w:t>集中</w:t>
      </w:r>
      <w:r>
        <w:rPr>
          <w:rFonts w:hint="eastAsia" w:ascii="仿宋_GB2312" w:eastAsia="仿宋_GB2312"/>
          <w:color w:val="auto"/>
          <w:sz w:val="32"/>
          <w:szCs w:val="32"/>
        </w:rPr>
        <w:t>处理。项目设置废水总排口</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个。</w:t>
      </w:r>
    </w:p>
    <w:p w14:paraId="3A96B3D2">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w:t>
      </w:r>
      <w:r>
        <w:rPr>
          <w:rFonts w:hint="eastAsia" w:ascii="仿宋_GB2312" w:eastAsia="仿宋_GB2312"/>
          <w:color w:val="auto"/>
          <w:sz w:val="32"/>
          <w:szCs w:val="32"/>
          <w:lang w:val="en-US" w:eastAsia="zh-CN"/>
        </w:rPr>
        <w:t>按照</w:t>
      </w:r>
      <w:r>
        <w:rPr>
          <w:rFonts w:hint="eastAsia" w:ascii="仿宋_GB2312" w:eastAsia="仿宋_GB2312"/>
          <w:color w:val="auto"/>
          <w:sz w:val="32"/>
          <w:szCs w:val="32"/>
          <w:lang w:eastAsia="zh-CN"/>
        </w:rPr>
        <w:t>广东省</w:t>
      </w:r>
      <w:r>
        <w:rPr>
          <w:rFonts w:hint="eastAsia" w:ascii="仿宋_GB2312" w:eastAsia="仿宋_GB2312"/>
          <w:color w:val="auto"/>
          <w:sz w:val="32"/>
          <w:szCs w:val="32"/>
        </w:rPr>
        <w:t>《固定污染源挥发性有机物综合排放标准》（DB44</w:t>
      </w:r>
      <w:r>
        <w:rPr>
          <w:rFonts w:hint="eastAsia" w:ascii="仿宋_GB2312" w:eastAsia="仿宋_GB2312"/>
          <w:color w:val="auto"/>
          <w:sz w:val="32"/>
          <w:szCs w:val="32"/>
          <w:lang w:val="en-US" w:eastAsia="zh-CN"/>
        </w:rPr>
        <w:t>/</w:t>
      </w:r>
      <w:r>
        <w:rPr>
          <w:rFonts w:hint="eastAsia" w:ascii="仿宋_GB2312" w:eastAsia="仿宋_GB2312"/>
          <w:color w:val="auto"/>
          <w:sz w:val="32"/>
          <w:szCs w:val="32"/>
        </w:rPr>
        <w:t>2367-2022）的无组织排放控制要求落实相关措施</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产生废气工序均设置在密闭空间内</w:t>
      </w:r>
      <w:r>
        <w:rPr>
          <w:rFonts w:hint="eastAsia" w:ascii="仿宋_GB2312" w:eastAsia="仿宋_GB2312"/>
          <w:color w:val="auto"/>
          <w:sz w:val="32"/>
          <w:szCs w:val="32"/>
        </w:rPr>
        <w:t>。</w:t>
      </w:r>
      <w:r>
        <w:rPr>
          <w:rFonts w:hint="eastAsia" w:ascii="仿宋_GB2312" w:eastAsia="仿宋_GB2312"/>
          <w:color w:val="auto"/>
          <w:sz w:val="32"/>
          <w:szCs w:val="32"/>
          <w:lang w:val="en-US" w:eastAsia="zh-CN"/>
        </w:rPr>
        <w:t>钣</w:t>
      </w:r>
      <w:r>
        <w:rPr>
          <w:rFonts w:hint="eastAsia" w:ascii="仿宋_GB2312" w:eastAsia="仿宋_GB2312"/>
          <w:color w:val="auto"/>
          <w:sz w:val="32"/>
          <w:szCs w:val="32"/>
        </w:rPr>
        <w:t>喷间喷涂废气经水帘柜</w:t>
      </w:r>
      <w:r>
        <w:rPr>
          <w:rFonts w:hint="eastAsia" w:ascii="仿宋_GB2312" w:eastAsia="仿宋_GB2312"/>
          <w:color w:val="auto"/>
          <w:sz w:val="32"/>
          <w:szCs w:val="32"/>
          <w:lang w:val="en-US" w:eastAsia="zh-CN"/>
        </w:rPr>
        <w:t>预处理后</w:t>
      </w:r>
      <w:r>
        <w:rPr>
          <w:rFonts w:hint="eastAsia" w:ascii="仿宋_GB2312" w:eastAsia="仿宋_GB2312"/>
          <w:color w:val="auto"/>
          <w:sz w:val="32"/>
          <w:szCs w:val="32"/>
        </w:rPr>
        <w:t>与研发废气、清洗废气</w:t>
      </w:r>
      <w:r>
        <w:rPr>
          <w:rFonts w:hint="eastAsia" w:ascii="仿宋_GB2312" w:eastAsia="仿宋_GB2312"/>
          <w:color w:val="auto"/>
          <w:sz w:val="32"/>
          <w:szCs w:val="32"/>
          <w:lang w:val="en-US" w:eastAsia="zh-CN"/>
        </w:rPr>
        <w:t>一并收集至</w:t>
      </w:r>
      <w:r>
        <w:rPr>
          <w:rFonts w:hint="eastAsia" w:ascii="仿宋_GB2312" w:eastAsia="仿宋_GB2312"/>
          <w:color w:val="auto"/>
          <w:sz w:val="32"/>
          <w:szCs w:val="32"/>
        </w:rPr>
        <w:t>“干式过滤器+二级活性炭吸附装置”处理后</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引至所在建筑物楼顶高空</w:t>
      </w:r>
      <w:r>
        <w:rPr>
          <w:rFonts w:hint="eastAsia" w:ascii="仿宋_GB2312" w:eastAsia="仿宋_GB2312"/>
          <w:color w:val="auto"/>
          <w:sz w:val="32"/>
          <w:szCs w:val="32"/>
        </w:rPr>
        <w:t>排放，项目设置废气排放口</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个。</w:t>
      </w:r>
    </w:p>
    <w:p w14:paraId="148AB73A">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hAnsi="仿宋_GB2312" w:eastAsia="仿宋_GB2312" w:cs="仿宋_GB2312"/>
          <w:color w:val="auto"/>
          <w:sz w:val="32"/>
          <w:szCs w:val="32"/>
        </w:rPr>
        <w:t>加强</w:t>
      </w:r>
      <w:r>
        <w:rPr>
          <w:rFonts w:hint="eastAsia" w:ascii="仿宋_GB2312" w:eastAsia="仿宋_GB2312"/>
          <w:color w:val="auto"/>
          <w:sz w:val="32"/>
          <w:szCs w:val="32"/>
          <w:lang w:val="en-US" w:eastAsia="zh-CN"/>
        </w:rPr>
        <w:t>项目</w:t>
      </w:r>
      <w:r>
        <w:rPr>
          <w:rFonts w:hint="eastAsia" w:ascii="仿宋_GB2312" w:eastAsia="仿宋_GB2312"/>
          <w:color w:val="auto"/>
          <w:sz w:val="32"/>
          <w:szCs w:val="32"/>
        </w:rPr>
        <w:t>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废气的监控，确保</w:t>
      </w:r>
      <w:r>
        <w:rPr>
          <w:rFonts w:hint="eastAsia" w:ascii="仿宋_GB2312" w:eastAsia="仿宋_GB2312"/>
          <w:color w:val="auto"/>
          <w:sz w:val="32"/>
          <w:szCs w:val="32"/>
          <w:lang w:val="en-US" w:eastAsia="zh-CN"/>
        </w:rPr>
        <w:t>项目</w:t>
      </w:r>
      <w:r>
        <w:rPr>
          <w:rFonts w:hint="eastAsia" w:ascii="仿宋_GB2312" w:eastAsia="仿宋_GB2312"/>
          <w:color w:val="auto"/>
          <w:sz w:val="32"/>
          <w:szCs w:val="32"/>
        </w:rPr>
        <w:t>边界</w:t>
      </w:r>
      <w:r>
        <w:rPr>
          <w:rFonts w:hint="eastAsia" w:ascii="仿宋_GB2312" w:hAnsi="仿宋_GB2312" w:eastAsia="仿宋_GB2312" w:cs="仿宋_GB2312"/>
          <w:color w:val="auto"/>
          <w:sz w:val="32"/>
          <w:szCs w:val="32"/>
        </w:rPr>
        <w:t>无组织</w:t>
      </w:r>
      <w:r>
        <w:rPr>
          <w:rFonts w:hint="eastAsia" w:ascii="仿宋_GB2312" w:hAnsi="仿宋_GB2312" w:eastAsia="仿宋_GB2312" w:cs="仿宋_GB2312"/>
          <w:color w:val="auto"/>
          <w:sz w:val="32"/>
          <w:szCs w:val="32"/>
          <w:lang w:eastAsia="zh-CN"/>
        </w:rPr>
        <w:t>排放</w:t>
      </w:r>
      <w:r>
        <w:rPr>
          <w:rFonts w:hint="eastAsia" w:ascii="仿宋_GB2312" w:hAnsi="仿宋_GB2312" w:eastAsia="仿宋_GB2312" w:cs="仿宋_GB2312"/>
          <w:color w:val="auto"/>
          <w:sz w:val="32"/>
          <w:szCs w:val="32"/>
        </w:rPr>
        <w:t>监控点的废气达到相应标准限值的要求，监测超标时应</w:t>
      </w:r>
      <w:r>
        <w:rPr>
          <w:rFonts w:hint="eastAsia" w:ascii="仿宋_GB2312" w:hAnsi="仿宋_GB2312" w:eastAsia="仿宋_GB2312" w:cs="仿宋_GB2312"/>
          <w:color w:val="auto"/>
          <w:sz w:val="32"/>
          <w:szCs w:val="32"/>
          <w:lang w:eastAsia="zh-CN"/>
        </w:rPr>
        <w:t>加强</w:t>
      </w:r>
      <w:r>
        <w:rPr>
          <w:rFonts w:hint="eastAsia" w:ascii="仿宋_GB2312" w:hAnsi="仿宋_GB2312" w:eastAsia="仿宋_GB2312" w:cs="仿宋_GB2312"/>
          <w:color w:val="auto"/>
          <w:sz w:val="32"/>
          <w:szCs w:val="32"/>
        </w:rPr>
        <w:t>对无组织排放废气进行收集、净化处理。</w:t>
      </w:r>
    </w:p>
    <w:p w14:paraId="089C39E3">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（三）选用低噪声设备，合理布设生产车间，对噪声源采取隔声、减振等措施，定期检修设备。</w:t>
      </w:r>
    </w:p>
    <w:p w14:paraId="75D36414">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（四）废包装容器</w:t>
      </w:r>
      <w:r>
        <w:rPr>
          <w:rFonts w:hint="eastAsia" w:ascii="仿宋_GB2312" w:eastAsia="仿宋_GB2312"/>
          <w:color w:val="auto"/>
          <w:sz w:val="32"/>
          <w:szCs w:val="32"/>
          <w:lang w:eastAsia="zh-CN"/>
        </w:rPr>
        <w:t>、</w:t>
      </w:r>
      <w:r>
        <w:rPr>
          <w:rFonts w:hint="eastAsia" w:ascii="仿宋_GB2312" w:eastAsia="仿宋_GB2312"/>
          <w:color w:val="auto"/>
          <w:sz w:val="32"/>
          <w:szCs w:val="32"/>
        </w:rPr>
        <w:t>清洗废液</w:t>
      </w:r>
      <w:r>
        <w:rPr>
          <w:rFonts w:hint="eastAsia" w:ascii="仿宋_GB2312" w:eastAsia="仿宋_GB2312"/>
          <w:color w:val="auto"/>
          <w:sz w:val="32"/>
          <w:szCs w:val="32"/>
          <w:lang w:eastAsia="zh-CN"/>
        </w:rPr>
        <w:t>、</w:t>
      </w:r>
      <w:r>
        <w:rPr>
          <w:rFonts w:hint="eastAsia" w:ascii="仿宋_GB2312" w:eastAsia="仿宋_GB2312"/>
          <w:color w:val="auto"/>
          <w:sz w:val="32"/>
          <w:szCs w:val="32"/>
        </w:rPr>
        <w:t>水帘柜废水</w:t>
      </w:r>
      <w:r>
        <w:rPr>
          <w:rFonts w:hint="eastAsia" w:ascii="仿宋_GB2312" w:eastAsia="仿宋_GB2312"/>
          <w:color w:val="auto"/>
          <w:sz w:val="32"/>
          <w:szCs w:val="32"/>
          <w:lang w:eastAsia="zh-CN"/>
        </w:rPr>
        <w:t>、</w:t>
      </w:r>
      <w:r>
        <w:rPr>
          <w:rFonts w:hint="eastAsia" w:ascii="仿宋_GB2312" w:eastAsia="仿宋_GB2312"/>
          <w:color w:val="auto"/>
          <w:sz w:val="32"/>
          <w:szCs w:val="32"/>
        </w:rPr>
        <w:t>滤渣</w:t>
      </w:r>
      <w:r>
        <w:rPr>
          <w:rFonts w:hint="eastAsia" w:ascii="仿宋_GB2312" w:eastAsia="仿宋_GB2312"/>
          <w:color w:val="auto"/>
          <w:sz w:val="32"/>
          <w:szCs w:val="32"/>
          <w:lang w:eastAsia="zh-CN"/>
        </w:rPr>
        <w:t>、</w:t>
      </w:r>
      <w:r>
        <w:rPr>
          <w:rFonts w:hint="eastAsia" w:ascii="仿宋_GB2312" w:eastAsia="仿宋_GB2312"/>
          <w:color w:val="auto"/>
          <w:sz w:val="32"/>
          <w:szCs w:val="32"/>
        </w:rPr>
        <w:t>反应生成的水</w:t>
      </w:r>
      <w:r>
        <w:rPr>
          <w:rFonts w:hint="eastAsia" w:ascii="仿宋_GB2312" w:eastAsia="仿宋_GB2312"/>
          <w:color w:val="auto"/>
          <w:sz w:val="32"/>
          <w:szCs w:val="32"/>
          <w:lang w:eastAsia="zh-CN"/>
        </w:rPr>
        <w:t>、</w:t>
      </w:r>
      <w:r>
        <w:rPr>
          <w:rFonts w:hint="eastAsia" w:ascii="仿宋_GB2312" w:eastAsia="仿宋_GB2312"/>
          <w:color w:val="auto"/>
          <w:sz w:val="32"/>
          <w:szCs w:val="32"/>
        </w:rPr>
        <w:t>废有机溶剂</w:t>
      </w:r>
      <w:r>
        <w:rPr>
          <w:rFonts w:hint="eastAsia" w:ascii="仿宋_GB2312" w:eastAsia="仿宋_GB2312"/>
          <w:color w:val="auto"/>
          <w:sz w:val="32"/>
          <w:szCs w:val="32"/>
          <w:lang w:eastAsia="zh-CN"/>
        </w:rPr>
        <w:t>、</w:t>
      </w:r>
      <w:r>
        <w:rPr>
          <w:rFonts w:hint="eastAsia" w:ascii="仿宋_GB2312" w:eastAsia="仿宋_GB2312"/>
          <w:color w:val="auto"/>
          <w:sz w:val="32"/>
          <w:szCs w:val="32"/>
        </w:rPr>
        <w:t>废样品</w:t>
      </w:r>
      <w:r>
        <w:rPr>
          <w:rFonts w:hint="eastAsia" w:ascii="仿宋_GB2312" w:eastAsia="仿宋_GB2312"/>
          <w:color w:val="auto"/>
          <w:sz w:val="32"/>
          <w:szCs w:val="32"/>
          <w:lang w:eastAsia="zh-CN"/>
        </w:rPr>
        <w:t>、</w:t>
      </w:r>
      <w:r>
        <w:rPr>
          <w:rFonts w:hint="eastAsia" w:ascii="仿宋_GB2312" w:eastAsia="仿宋_GB2312"/>
          <w:color w:val="auto"/>
          <w:sz w:val="32"/>
          <w:szCs w:val="32"/>
        </w:rPr>
        <w:t>废过滤棉</w:t>
      </w:r>
      <w:r>
        <w:rPr>
          <w:rFonts w:hint="eastAsia" w:ascii="仿宋_GB2312" w:eastAsia="仿宋_GB2312"/>
          <w:color w:val="auto"/>
          <w:sz w:val="32"/>
          <w:szCs w:val="32"/>
          <w:lang w:eastAsia="zh-CN"/>
        </w:rPr>
        <w:t>、</w:t>
      </w:r>
      <w:r>
        <w:rPr>
          <w:rFonts w:hint="eastAsia" w:ascii="仿宋_GB2312" w:eastAsia="仿宋_GB2312"/>
          <w:color w:val="auto"/>
          <w:sz w:val="32"/>
          <w:szCs w:val="32"/>
        </w:rPr>
        <w:t>废活性炭等危险废物须设置符合《危险废物贮存污染控制标准》（GB18597-20</w:t>
      </w:r>
      <w:r>
        <w:rPr>
          <w:rFonts w:hint="eastAsia" w:ascii="仿宋_GB2312" w:eastAsia="仿宋_GB2312"/>
          <w:color w:val="auto"/>
          <w:sz w:val="32"/>
          <w:szCs w:val="32"/>
          <w:lang w:val="en-US" w:eastAsia="zh-CN"/>
        </w:rPr>
        <w:t>23</w:t>
      </w:r>
      <w:r>
        <w:rPr>
          <w:rFonts w:hint="eastAsia" w:ascii="仿宋_GB2312" w:eastAsia="仿宋_GB2312"/>
          <w:color w:val="auto"/>
          <w:sz w:val="32"/>
          <w:szCs w:val="32"/>
        </w:rPr>
        <w:t>）要求的专用贮存场所存放并委托具备危险废物处理资质的机构处理。</w:t>
      </w:r>
    </w:p>
    <w:p w14:paraId="73B05BF2">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四、该项目的性质、规模、地点、采用的生产工艺或者防治污染、防止生态破坏的措施发生重大变动的，你单位应当重新报批环境影响评价文件。</w:t>
      </w:r>
    </w:p>
    <w:p w14:paraId="68954A25">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五、自《报告表》批准之日起超过五年，方决定该项目开工建设的，《报告表》应当在开工建设前报我局重新审核。未经我局重新审核同意的，不得擅自开工建设。</w:t>
      </w:r>
    </w:p>
    <w:p w14:paraId="6FF04D6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六、该项目建设应严格执行配套建设的环境保护设施与主体工程同时设计、同时施工、同时投产使用的环境保护“三同时”制度，具体要求如下：</w:t>
      </w:r>
    </w:p>
    <w:p w14:paraId="085CFB9D">
      <w:pPr>
        <w:keepNext w:val="0"/>
        <w:keepLines w:val="0"/>
        <w:pageBreakBefore w:val="0"/>
        <w:widowControl/>
        <w:tabs>
          <w:tab w:val="left" w:pos="1418"/>
        </w:tabs>
        <w:kinsoku/>
        <w:overflowPunct/>
        <w:topLinePunct w:val="0"/>
        <w:autoSpaceDE/>
        <w:autoSpaceDN/>
        <w:bidi w:val="0"/>
        <w:spacing w:line="560" w:lineRule="exact"/>
        <w:ind w:firstLine="640"/>
        <w:textAlignment w:val="auto"/>
        <w:rPr>
          <w:rFonts w:hint="eastAsia" w:ascii="仿宋_GB2312" w:eastAsia="仿宋_GB2312"/>
          <w:color w:val="auto"/>
          <w:sz w:val="32"/>
          <w:szCs w:val="32"/>
        </w:rPr>
      </w:pPr>
      <w:r>
        <w:rPr>
          <w:rFonts w:hint="eastAsia" w:ascii="仿宋_GB2312" w:eastAsia="仿宋_GB2312"/>
          <w:color w:val="auto"/>
          <w:sz w:val="32"/>
          <w:szCs w:val="32"/>
        </w:rPr>
        <w:t>（一）项目竣工后，你单位应按规定申请取得排污许可证或填报排污登记表，并按照规定的标准、程序和时限，对配套建设的环境保护设施进行验收，编制验收报告，依法向社会公开。</w:t>
      </w:r>
    </w:p>
    <w:p w14:paraId="49DAD142">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（二）项目配套建设的环境保护设施经验收合格后，方可投入生产或者使用。</w:t>
      </w:r>
    </w:p>
    <w:p w14:paraId="3564EFEA">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r>
        <w:rPr>
          <w:rFonts w:hint="eastAsia" w:ascii="仿宋_GB2312" w:eastAsia="仿宋_GB2312"/>
          <w:color w:val="auto"/>
          <w:sz w:val="32"/>
          <w:szCs w:val="32"/>
        </w:rPr>
        <w:t>七、该项目建设和运行过程中如涉及规划、土地利用、建设、水务、消防、安全等问题，应遵照相关法律法规要求到相应的行政主管部门办理有关手续。</w:t>
      </w:r>
    </w:p>
    <w:p w14:paraId="59C5D8D3">
      <w:pPr>
        <w:pStyle w:val="18"/>
        <w:ind w:firstLine="636"/>
        <w:rPr>
          <w:rFonts w:hint="eastAsia" w:eastAsia="仿宋_GB2312"/>
          <w:color w:val="auto"/>
          <w:sz w:val="32"/>
          <w:szCs w:val="32"/>
        </w:rPr>
      </w:pPr>
      <w:r>
        <w:rPr>
          <w:rFonts w:hint="eastAsia" w:ascii="仿宋_GB2312" w:eastAsia="仿宋_GB2312"/>
          <w:color w:val="auto"/>
          <w:sz w:val="32"/>
          <w:szCs w:val="32"/>
        </w:rPr>
        <w:t>八、</w:t>
      </w:r>
      <w:r>
        <w:rPr>
          <w:rFonts w:hint="eastAsia" w:ascii="仿宋_GB2312" w:hAnsi="仿宋" w:eastAsia="仿宋_GB2312"/>
          <w:color w:val="auto"/>
          <w:sz w:val="32"/>
        </w:rPr>
        <w:t>当事人如不服本决定，可在收到文书之日起60日内向广州市人民政府行政复议机构广州市政府行政复议办公室窗口（地址：广州市越秀区小北路183号金和大厦2楼，电话：020-83555988）提出行政复议申请；或者在收到文书之日起6个月内直接向广州铁路运输法院提起行政诉讼。申请行政复议或提起行政诉讼的，不停止本决定的执行。</w:t>
      </w:r>
    </w:p>
    <w:p w14:paraId="0A04E271">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p>
    <w:p w14:paraId="2799DFF0">
      <w:pPr>
        <w:keepNext w:val="0"/>
        <w:keepLines w:val="0"/>
        <w:pageBreakBefore w:val="0"/>
        <w:kinsoku/>
        <w:overflowPunct/>
        <w:topLinePunct w:val="0"/>
        <w:autoSpaceDE/>
        <w:autoSpaceDN/>
        <w:bidi w:val="0"/>
        <w:spacing w:line="560" w:lineRule="exact"/>
        <w:ind w:firstLine="640" w:firstLineChars="200"/>
        <w:textAlignment w:val="auto"/>
        <w:rPr>
          <w:rFonts w:ascii="仿宋_GB2312" w:eastAsia="仿宋_GB2312"/>
          <w:color w:val="auto"/>
          <w:sz w:val="32"/>
          <w:szCs w:val="32"/>
        </w:rPr>
      </w:pPr>
    </w:p>
    <w:p w14:paraId="60D15471">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7E90A0C7">
      <w:pPr>
        <w:keepNext w:val="0"/>
        <w:keepLines w:val="0"/>
        <w:pageBreakBefore w:val="0"/>
        <w:kinsoku/>
        <w:overflowPunct/>
        <w:topLinePunct w:val="0"/>
        <w:autoSpaceDE/>
        <w:autoSpaceDN/>
        <w:bidi w:val="0"/>
        <w:spacing w:line="560" w:lineRule="exact"/>
        <w:jc w:val="center"/>
        <w:textAlignment w:val="auto"/>
        <w:rPr>
          <w:rFonts w:ascii="仿宋_GB2312" w:eastAsia="仿宋_GB2312"/>
          <w:color w:val="auto"/>
          <w:sz w:val="32"/>
          <w:szCs w:val="32"/>
        </w:rPr>
      </w:pPr>
      <w:r>
        <w:rPr>
          <w:rFonts w:hint="eastAsia" w:ascii="仿宋_GB2312" w:eastAsia="仿宋_GB2312"/>
          <w:color w:val="auto"/>
          <w:sz w:val="32"/>
          <w:szCs w:val="32"/>
        </w:rPr>
        <w:t xml:space="preserve">                        广州市生态环境局</w:t>
      </w:r>
    </w:p>
    <w:p w14:paraId="7BC6E7C2">
      <w:pPr>
        <w:keepNext w:val="0"/>
        <w:keepLines w:val="0"/>
        <w:pageBreakBefore w:val="0"/>
        <w:kinsoku/>
        <w:overflowPunct/>
        <w:topLinePunct w:val="0"/>
        <w:autoSpaceDE/>
        <w:autoSpaceDN/>
        <w:bidi w:val="0"/>
        <w:spacing w:line="560" w:lineRule="exact"/>
        <w:ind w:right="4" w:rightChars="0" w:firstLine="5120" w:firstLineChars="1600"/>
        <w:textAlignment w:val="auto"/>
        <w:rPr>
          <w:rFonts w:ascii="仿宋_GB2312" w:eastAsia="仿宋_GB2312"/>
          <w:color w:val="auto"/>
          <w:sz w:val="32"/>
          <w:szCs w:val="32"/>
        </w:rPr>
      </w:pPr>
      <w:r>
        <w:rPr>
          <w:rFonts w:hint="eastAsia" w:ascii="仿宋_GB2312" w:eastAsia="仿宋_GB2312"/>
          <w:color w:val="auto"/>
          <w:sz w:val="32"/>
          <w:szCs w:val="32"/>
        </w:rPr>
        <w:t>20</w:t>
      </w:r>
      <w:r>
        <w:rPr>
          <w:rFonts w:hint="eastAsia" w:ascii="仿宋_GB2312" w:eastAsia="仿宋_GB2312"/>
          <w:color w:val="auto"/>
          <w:sz w:val="32"/>
          <w:szCs w:val="32"/>
          <w:lang w:val="en-US" w:eastAsia="zh-CN"/>
        </w:rPr>
        <w:t>25</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8</w:t>
      </w:r>
      <w:r>
        <w:rPr>
          <w:rFonts w:hint="eastAsia" w:ascii="仿宋_GB2312" w:eastAsia="仿宋_GB2312"/>
          <w:color w:val="auto"/>
          <w:sz w:val="32"/>
          <w:szCs w:val="32"/>
        </w:rPr>
        <w:t>月</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日</w:t>
      </w:r>
    </w:p>
    <w:p w14:paraId="372AA674">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5BAB33CE">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4B5413A7">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326EB5F5">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0CCA8466">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r>
        <w:rPr>
          <w:rFonts w:hint="eastAsia" w:ascii="黑体" w:eastAsia="黑体"/>
          <w:color w:val="auto"/>
          <w:sz w:val="32"/>
          <w:szCs w:val="32"/>
        </w:rPr>
        <w:t>公开方式：</w:t>
      </w:r>
      <w:r>
        <w:rPr>
          <w:rFonts w:hint="eastAsia" w:ascii="仿宋_GB2312" w:eastAsia="仿宋_GB2312"/>
          <w:color w:val="auto"/>
          <w:sz w:val="32"/>
          <w:szCs w:val="32"/>
        </w:rPr>
        <w:t>主动公开</w:t>
      </w:r>
    </w:p>
    <w:p w14:paraId="22184C5B">
      <w:pPr>
        <w:keepNext w:val="0"/>
        <w:keepLines w:val="0"/>
        <w:pageBreakBefore w:val="0"/>
        <w:kinsoku/>
        <w:overflowPunct/>
        <w:topLinePunct w:val="0"/>
        <w:autoSpaceDE/>
        <w:autoSpaceDN/>
        <w:bidi w:val="0"/>
        <w:spacing w:line="560" w:lineRule="exact"/>
        <w:textAlignment w:val="auto"/>
        <w:rPr>
          <w:rFonts w:ascii="仿宋_GB2312" w:eastAsia="仿宋_GB2312"/>
          <w:color w:val="auto"/>
          <w:sz w:val="32"/>
          <w:szCs w:val="32"/>
        </w:rPr>
      </w:pPr>
    </w:p>
    <w:p w14:paraId="6452DAE3">
      <w:pPr>
        <w:keepNext w:val="0"/>
        <w:keepLines w:val="0"/>
        <w:pageBreakBefore w:val="0"/>
        <w:kinsoku/>
        <w:overflowPunct/>
        <w:topLinePunct w:val="0"/>
        <w:autoSpaceDE/>
        <w:autoSpaceDN/>
        <w:bidi w:val="0"/>
        <w:spacing w:line="560" w:lineRule="exact"/>
        <w:ind w:left="1133" w:leftChars="201" w:hanging="711" w:hangingChars="254"/>
        <w:textAlignment w:val="auto"/>
        <w:rPr>
          <w:rFonts w:ascii="仿宋_GB2312" w:eastAsia="仿宋_GB2312"/>
          <w:color w:val="auto"/>
          <w:sz w:val="28"/>
          <w:szCs w:val="28"/>
        </w:rPr>
      </w:pPr>
      <w:r>
        <w:rPr>
          <w:rFonts w:hint="eastAsia" w:ascii="仿宋_GB2312" w:eastAsia="仿宋_GB2312"/>
          <w:color w:val="auto"/>
          <w:sz w:val="28"/>
          <w:szCs w:val="28"/>
        </w:rPr>
        <w:t>抄送：广州市生态环境局番禺分</w:t>
      </w:r>
      <w:bookmarkStart w:id="0" w:name="_GoBack"/>
      <w:r>
        <w:rPr>
          <w:rFonts w:hint="eastAsia" w:ascii="仿宋_GB2312" w:eastAsia="仿宋_GB2312"/>
          <w:color w:val="auto"/>
          <w:sz w:val="28"/>
          <w:szCs w:val="28"/>
        </w:rPr>
        <w:t>局执法</w:t>
      </w:r>
      <w:r>
        <w:rPr>
          <w:rFonts w:hint="eastAsia" w:ascii="仿宋_GB2312" w:eastAsia="仿宋_GB2312"/>
          <w:color w:val="auto"/>
          <w:sz w:val="28"/>
          <w:szCs w:val="28"/>
          <w:lang w:val="en-US" w:eastAsia="zh-CN"/>
        </w:rPr>
        <w:t>二</w:t>
      </w:r>
      <w:r>
        <w:rPr>
          <w:rFonts w:hint="eastAsia" w:ascii="仿宋_GB2312" w:eastAsia="仿宋_GB2312"/>
          <w:color w:val="auto"/>
          <w:sz w:val="28"/>
          <w:szCs w:val="28"/>
        </w:rPr>
        <w:t>科、</w:t>
      </w:r>
      <w:bookmarkEnd w:id="0"/>
      <w:r>
        <w:rPr>
          <w:rFonts w:hint="eastAsia" w:ascii="仿宋_GB2312" w:eastAsia="仿宋_GB2312"/>
          <w:color w:val="auto"/>
          <w:sz w:val="28"/>
          <w:szCs w:val="28"/>
          <w:lang w:eastAsia="zh-CN"/>
        </w:rPr>
        <w:t>番禺</w:t>
      </w:r>
      <w:r>
        <w:rPr>
          <w:rFonts w:hint="eastAsia" w:ascii="仿宋_GB2312" w:eastAsia="仿宋_GB2312"/>
          <w:color w:val="auto"/>
          <w:sz w:val="28"/>
          <w:szCs w:val="28"/>
        </w:rPr>
        <w:t>第</w:t>
      </w:r>
      <w:r>
        <w:rPr>
          <w:rFonts w:hint="eastAsia" w:ascii="仿宋_GB2312" w:eastAsia="仿宋_GB2312"/>
          <w:color w:val="auto"/>
          <w:sz w:val="28"/>
          <w:szCs w:val="28"/>
          <w:lang w:val="en-US" w:eastAsia="zh-CN"/>
        </w:rPr>
        <w:t>四</w:t>
      </w:r>
      <w:r>
        <w:rPr>
          <w:rFonts w:hint="eastAsia" w:ascii="仿宋_GB2312" w:eastAsia="仿宋_GB2312"/>
          <w:color w:val="auto"/>
          <w:sz w:val="28"/>
          <w:szCs w:val="28"/>
        </w:rPr>
        <w:t>环保所，广州市中扬环保工程有限公司。</w:t>
      </w:r>
    </w:p>
    <w:sectPr>
      <w:footerReference r:id="rId3" w:type="default"/>
      <w:footerReference r:id="rId4" w:type="even"/>
      <w:pgSz w:w="11906" w:h="16838"/>
      <w:pgMar w:top="1588" w:right="1474" w:bottom="1134" w:left="1588" w:header="851" w:footer="624" w:gutter="0"/>
      <w:cols w:space="425" w:num="1"/>
      <w:titlePg/>
      <w:docGrid w:type="lines" w:linePitch="613"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02"/>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公文小标宋简">
    <w:altName w:val="微软雅黑"/>
    <w:panose1 w:val="0201060901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82500">
    <w:pPr>
      <w:pStyle w:val="4"/>
      <w:framePr w:wrap="around" w:vAnchor="text" w:hAnchor="margin" w:xAlign="outside" w:y="1"/>
      <w:rPr>
        <w:rStyle w:val="9"/>
        <w:rFonts w:ascii="宋体" w:hAnsi="宋体"/>
        <w:sz w:val="28"/>
        <w:szCs w:val="28"/>
      </w:rPr>
    </w:pPr>
    <w:r>
      <w:rPr>
        <w:rStyle w:val="9"/>
        <w:rFonts w:hint="eastAsia" w:ascii="宋体" w:hAnsi="宋体"/>
        <w:sz w:val="28"/>
        <w:szCs w:val="28"/>
      </w:rPr>
      <w:t xml:space="preserve">— </w:t>
    </w:r>
    <w:r>
      <w:rPr>
        <w:rStyle w:val="9"/>
        <w:rFonts w:ascii="宋体" w:hAnsi="宋体"/>
        <w:sz w:val="28"/>
        <w:szCs w:val="28"/>
      </w:rPr>
      <w:fldChar w:fldCharType="begin"/>
    </w:r>
    <w:r>
      <w:rPr>
        <w:rStyle w:val="9"/>
        <w:rFonts w:ascii="宋体" w:hAnsi="宋体"/>
        <w:sz w:val="28"/>
        <w:szCs w:val="28"/>
      </w:rPr>
      <w:instrText xml:space="preserve">PAGE  </w:instrText>
    </w:r>
    <w:r>
      <w:rPr>
        <w:rStyle w:val="9"/>
        <w:rFonts w:ascii="宋体" w:hAnsi="宋体"/>
        <w:sz w:val="28"/>
        <w:szCs w:val="28"/>
      </w:rPr>
      <w:fldChar w:fldCharType="separate"/>
    </w:r>
    <w:r>
      <w:rPr>
        <w:rStyle w:val="9"/>
        <w:rFonts w:ascii="宋体" w:hAnsi="宋体"/>
        <w:sz w:val="28"/>
        <w:szCs w:val="28"/>
      </w:rPr>
      <w:t>3</w:t>
    </w:r>
    <w:r>
      <w:rPr>
        <w:rStyle w:val="9"/>
        <w:rFonts w:ascii="宋体" w:hAnsi="宋体"/>
        <w:sz w:val="28"/>
        <w:szCs w:val="28"/>
      </w:rPr>
      <w:fldChar w:fldCharType="end"/>
    </w:r>
    <w:r>
      <w:rPr>
        <w:rStyle w:val="9"/>
        <w:rFonts w:hint="eastAsia" w:ascii="宋体" w:hAnsi="宋体"/>
        <w:sz w:val="28"/>
        <w:szCs w:val="28"/>
      </w:rPr>
      <w:t xml:space="preserve"> —</w:t>
    </w:r>
  </w:p>
  <w:p w14:paraId="2C3B46C2">
    <w:pPr>
      <w:pStyle w:val="4"/>
      <w:ind w:right="360" w:firstLine="360"/>
      <w:jc w:val="center"/>
      <w:rPr>
        <w:rFonts w:ascii="Times New Roman" w:hAnsi="Times New Roman"/>
        <w:sz w:val="28"/>
        <w:szCs w:val="28"/>
      </w:rPr>
    </w:pPr>
  </w:p>
  <w:p w14:paraId="1F0202FA">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CDDBE">
    <w:pPr>
      <w:pStyle w:val="4"/>
      <w:framePr w:wrap="around" w:vAnchor="text" w:hAnchor="margin" w:xAlign="outside" w:y="1"/>
      <w:rPr>
        <w:rStyle w:val="9"/>
      </w:rPr>
    </w:pPr>
    <w:r>
      <w:rPr>
        <w:rStyle w:val="9"/>
      </w:rPr>
      <w:fldChar w:fldCharType="begin"/>
    </w:r>
    <w:r>
      <w:rPr>
        <w:rStyle w:val="9"/>
      </w:rPr>
      <w:instrText xml:space="preserve">PAGE  </w:instrText>
    </w:r>
    <w:r>
      <w:rPr>
        <w:rStyle w:val="9"/>
      </w:rPr>
      <w:fldChar w:fldCharType="end"/>
    </w:r>
  </w:p>
  <w:p w14:paraId="75A86EC9">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attachedTemplate r:id="rId1"/>
  <w:documentProtection w:enforcement="0"/>
  <w:defaultTabStop w:val="420"/>
  <w:drawingGridHorizontalSpacing w:val="158"/>
  <w:drawingGridVerticalSpacing w:val="61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2ZGFmMGVmYWFiODk5YTFiNTc2ZWNlODI1MTcyOTMifQ=="/>
  </w:docVars>
  <w:rsids>
    <w:rsidRoot w:val="000F2DCB"/>
    <w:rsid w:val="00001C85"/>
    <w:rsid w:val="00003EFB"/>
    <w:rsid w:val="00047670"/>
    <w:rsid w:val="00067C13"/>
    <w:rsid w:val="00082A5C"/>
    <w:rsid w:val="000832FD"/>
    <w:rsid w:val="000852F9"/>
    <w:rsid w:val="00090CE7"/>
    <w:rsid w:val="00097289"/>
    <w:rsid w:val="000A03AB"/>
    <w:rsid w:val="000B070F"/>
    <w:rsid w:val="000C18A8"/>
    <w:rsid w:val="000C301C"/>
    <w:rsid w:val="000C3889"/>
    <w:rsid w:val="000C3ADC"/>
    <w:rsid w:val="000C3CB8"/>
    <w:rsid w:val="000D6A43"/>
    <w:rsid w:val="000F2DCB"/>
    <w:rsid w:val="00104C9C"/>
    <w:rsid w:val="0012593F"/>
    <w:rsid w:val="00145974"/>
    <w:rsid w:val="00163612"/>
    <w:rsid w:val="00173803"/>
    <w:rsid w:val="00185235"/>
    <w:rsid w:val="001C347F"/>
    <w:rsid w:val="001E17DB"/>
    <w:rsid w:val="001F12B9"/>
    <w:rsid w:val="001F60AA"/>
    <w:rsid w:val="001F7ECF"/>
    <w:rsid w:val="00207F01"/>
    <w:rsid w:val="00212861"/>
    <w:rsid w:val="00212DD9"/>
    <w:rsid w:val="00214473"/>
    <w:rsid w:val="00225893"/>
    <w:rsid w:val="002513F3"/>
    <w:rsid w:val="0027017E"/>
    <w:rsid w:val="0027079B"/>
    <w:rsid w:val="00283EC7"/>
    <w:rsid w:val="002840F5"/>
    <w:rsid w:val="00290A95"/>
    <w:rsid w:val="002915FD"/>
    <w:rsid w:val="002A78A2"/>
    <w:rsid w:val="002B3756"/>
    <w:rsid w:val="002C0C0E"/>
    <w:rsid w:val="002C13BB"/>
    <w:rsid w:val="002D01F1"/>
    <w:rsid w:val="002D6E72"/>
    <w:rsid w:val="002D73CB"/>
    <w:rsid w:val="002F222A"/>
    <w:rsid w:val="003016C4"/>
    <w:rsid w:val="00310275"/>
    <w:rsid w:val="00323D70"/>
    <w:rsid w:val="003275AA"/>
    <w:rsid w:val="00334F3A"/>
    <w:rsid w:val="0035299E"/>
    <w:rsid w:val="003551D8"/>
    <w:rsid w:val="003804CF"/>
    <w:rsid w:val="00396136"/>
    <w:rsid w:val="003A396F"/>
    <w:rsid w:val="003D6927"/>
    <w:rsid w:val="003E6957"/>
    <w:rsid w:val="003F0936"/>
    <w:rsid w:val="003F0E80"/>
    <w:rsid w:val="003F1D2D"/>
    <w:rsid w:val="0042675C"/>
    <w:rsid w:val="004366AD"/>
    <w:rsid w:val="00436E68"/>
    <w:rsid w:val="004422C8"/>
    <w:rsid w:val="00446DB5"/>
    <w:rsid w:val="00464587"/>
    <w:rsid w:val="00466E9D"/>
    <w:rsid w:val="0047490D"/>
    <w:rsid w:val="004A38CF"/>
    <w:rsid w:val="004A62BA"/>
    <w:rsid w:val="004B3994"/>
    <w:rsid w:val="004B3A73"/>
    <w:rsid w:val="004C5EFD"/>
    <w:rsid w:val="004C6230"/>
    <w:rsid w:val="004D0859"/>
    <w:rsid w:val="004D4458"/>
    <w:rsid w:val="004D586D"/>
    <w:rsid w:val="004E13C9"/>
    <w:rsid w:val="004E567A"/>
    <w:rsid w:val="00501F40"/>
    <w:rsid w:val="00511456"/>
    <w:rsid w:val="00521A96"/>
    <w:rsid w:val="00527C59"/>
    <w:rsid w:val="0053095F"/>
    <w:rsid w:val="0053590B"/>
    <w:rsid w:val="00562DAC"/>
    <w:rsid w:val="00564EB8"/>
    <w:rsid w:val="0059052A"/>
    <w:rsid w:val="005A149B"/>
    <w:rsid w:val="005B12AD"/>
    <w:rsid w:val="005B60C8"/>
    <w:rsid w:val="005B6D04"/>
    <w:rsid w:val="005C24D6"/>
    <w:rsid w:val="005C69AB"/>
    <w:rsid w:val="005D060E"/>
    <w:rsid w:val="005E3B4A"/>
    <w:rsid w:val="005E49C1"/>
    <w:rsid w:val="005F76D5"/>
    <w:rsid w:val="0062245C"/>
    <w:rsid w:val="00635EAB"/>
    <w:rsid w:val="00640DE7"/>
    <w:rsid w:val="00641192"/>
    <w:rsid w:val="006576FA"/>
    <w:rsid w:val="00677228"/>
    <w:rsid w:val="00693BD5"/>
    <w:rsid w:val="006A28F5"/>
    <w:rsid w:val="006A6965"/>
    <w:rsid w:val="006B2BAD"/>
    <w:rsid w:val="006D0170"/>
    <w:rsid w:val="006D7C57"/>
    <w:rsid w:val="006E5889"/>
    <w:rsid w:val="006F049D"/>
    <w:rsid w:val="006F15BA"/>
    <w:rsid w:val="006F18AD"/>
    <w:rsid w:val="006F29B5"/>
    <w:rsid w:val="00707832"/>
    <w:rsid w:val="007158E4"/>
    <w:rsid w:val="00716C4E"/>
    <w:rsid w:val="00730C65"/>
    <w:rsid w:val="00740ADC"/>
    <w:rsid w:val="007443DC"/>
    <w:rsid w:val="00750DBF"/>
    <w:rsid w:val="00753DD4"/>
    <w:rsid w:val="00753DDF"/>
    <w:rsid w:val="0077498B"/>
    <w:rsid w:val="007847A3"/>
    <w:rsid w:val="00786866"/>
    <w:rsid w:val="007B29D0"/>
    <w:rsid w:val="007B438D"/>
    <w:rsid w:val="007B5088"/>
    <w:rsid w:val="007C55F7"/>
    <w:rsid w:val="007C5CB3"/>
    <w:rsid w:val="00802F15"/>
    <w:rsid w:val="008170AC"/>
    <w:rsid w:val="008372CA"/>
    <w:rsid w:val="00860EEE"/>
    <w:rsid w:val="00884916"/>
    <w:rsid w:val="008865F4"/>
    <w:rsid w:val="0089220A"/>
    <w:rsid w:val="0089687C"/>
    <w:rsid w:val="008B3E8D"/>
    <w:rsid w:val="008C31B7"/>
    <w:rsid w:val="008D16D3"/>
    <w:rsid w:val="008D701C"/>
    <w:rsid w:val="008E07FB"/>
    <w:rsid w:val="008F580D"/>
    <w:rsid w:val="00902C55"/>
    <w:rsid w:val="00932FC7"/>
    <w:rsid w:val="0093611D"/>
    <w:rsid w:val="009473C5"/>
    <w:rsid w:val="009544A8"/>
    <w:rsid w:val="0096566C"/>
    <w:rsid w:val="00970837"/>
    <w:rsid w:val="00972A29"/>
    <w:rsid w:val="00974E8C"/>
    <w:rsid w:val="009A3DB2"/>
    <w:rsid w:val="009B21A4"/>
    <w:rsid w:val="009C5976"/>
    <w:rsid w:val="009C5EB5"/>
    <w:rsid w:val="009C790D"/>
    <w:rsid w:val="009D272F"/>
    <w:rsid w:val="009D34AC"/>
    <w:rsid w:val="009E0D72"/>
    <w:rsid w:val="009E1AD4"/>
    <w:rsid w:val="00A262B0"/>
    <w:rsid w:val="00A36142"/>
    <w:rsid w:val="00A40AFA"/>
    <w:rsid w:val="00A56A9B"/>
    <w:rsid w:val="00AC34E1"/>
    <w:rsid w:val="00AC648A"/>
    <w:rsid w:val="00AC7BAA"/>
    <w:rsid w:val="00AD33EF"/>
    <w:rsid w:val="00AE0762"/>
    <w:rsid w:val="00AE5E03"/>
    <w:rsid w:val="00AF7F2C"/>
    <w:rsid w:val="00AF7F99"/>
    <w:rsid w:val="00B10676"/>
    <w:rsid w:val="00B15884"/>
    <w:rsid w:val="00B30042"/>
    <w:rsid w:val="00B31FB2"/>
    <w:rsid w:val="00B42B25"/>
    <w:rsid w:val="00B45736"/>
    <w:rsid w:val="00B5742B"/>
    <w:rsid w:val="00B71F4F"/>
    <w:rsid w:val="00B805AF"/>
    <w:rsid w:val="00B837BD"/>
    <w:rsid w:val="00B95160"/>
    <w:rsid w:val="00B95EC7"/>
    <w:rsid w:val="00BA78FA"/>
    <w:rsid w:val="00BB16F4"/>
    <w:rsid w:val="00BB1A3F"/>
    <w:rsid w:val="00BB1C8A"/>
    <w:rsid w:val="00BB73EF"/>
    <w:rsid w:val="00BD014D"/>
    <w:rsid w:val="00C013B9"/>
    <w:rsid w:val="00C046AB"/>
    <w:rsid w:val="00C12A22"/>
    <w:rsid w:val="00C1575A"/>
    <w:rsid w:val="00C2000C"/>
    <w:rsid w:val="00C25D4D"/>
    <w:rsid w:val="00C331EC"/>
    <w:rsid w:val="00C35028"/>
    <w:rsid w:val="00C41EC5"/>
    <w:rsid w:val="00C45C92"/>
    <w:rsid w:val="00C47559"/>
    <w:rsid w:val="00C50129"/>
    <w:rsid w:val="00C577CF"/>
    <w:rsid w:val="00C61143"/>
    <w:rsid w:val="00C61368"/>
    <w:rsid w:val="00C76BD4"/>
    <w:rsid w:val="00C850D2"/>
    <w:rsid w:val="00CC469B"/>
    <w:rsid w:val="00CC70BC"/>
    <w:rsid w:val="00CD225F"/>
    <w:rsid w:val="00CD3097"/>
    <w:rsid w:val="00CD5ECF"/>
    <w:rsid w:val="00CF1B16"/>
    <w:rsid w:val="00D01DA0"/>
    <w:rsid w:val="00D02618"/>
    <w:rsid w:val="00D0455B"/>
    <w:rsid w:val="00D205FC"/>
    <w:rsid w:val="00D37BB0"/>
    <w:rsid w:val="00D44326"/>
    <w:rsid w:val="00D55BFA"/>
    <w:rsid w:val="00D70C73"/>
    <w:rsid w:val="00D74A06"/>
    <w:rsid w:val="00D75AAE"/>
    <w:rsid w:val="00D76AC3"/>
    <w:rsid w:val="00D8050D"/>
    <w:rsid w:val="00D87223"/>
    <w:rsid w:val="00DA096B"/>
    <w:rsid w:val="00DB438D"/>
    <w:rsid w:val="00DD3F0C"/>
    <w:rsid w:val="00DF26FF"/>
    <w:rsid w:val="00DF7771"/>
    <w:rsid w:val="00E06F40"/>
    <w:rsid w:val="00E16205"/>
    <w:rsid w:val="00E23AD5"/>
    <w:rsid w:val="00E44B98"/>
    <w:rsid w:val="00E52C18"/>
    <w:rsid w:val="00E9508B"/>
    <w:rsid w:val="00E95F22"/>
    <w:rsid w:val="00EA1AB8"/>
    <w:rsid w:val="00EB0FC1"/>
    <w:rsid w:val="00EC4EBA"/>
    <w:rsid w:val="00ED3E23"/>
    <w:rsid w:val="00ED426B"/>
    <w:rsid w:val="00ED656B"/>
    <w:rsid w:val="00EE0C36"/>
    <w:rsid w:val="00EE5C65"/>
    <w:rsid w:val="00EE5F9D"/>
    <w:rsid w:val="00F02188"/>
    <w:rsid w:val="00F02F63"/>
    <w:rsid w:val="00F05A97"/>
    <w:rsid w:val="00F1261C"/>
    <w:rsid w:val="00F27B34"/>
    <w:rsid w:val="00F8191D"/>
    <w:rsid w:val="00FA4830"/>
    <w:rsid w:val="00FB1867"/>
    <w:rsid w:val="00FB5B94"/>
    <w:rsid w:val="00FC49F0"/>
    <w:rsid w:val="00FD7864"/>
    <w:rsid w:val="00FF05C9"/>
    <w:rsid w:val="00FF121F"/>
    <w:rsid w:val="020C3600"/>
    <w:rsid w:val="022300D7"/>
    <w:rsid w:val="0316501C"/>
    <w:rsid w:val="035F3318"/>
    <w:rsid w:val="039E0DF7"/>
    <w:rsid w:val="04F0022B"/>
    <w:rsid w:val="05BF1B7D"/>
    <w:rsid w:val="083C20B8"/>
    <w:rsid w:val="091574A4"/>
    <w:rsid w:val="0A423406"/>
    <w:rsid w:val="0AB6351E"/>
    <w:rsid w:val="0AEE277F"/>
    <w:rsid w:val="0B1F3303"/>
    <w:rsid w:val="0C7516B2"/>
    <w:rsid w:val="0C807692"/>
    <w:rsid w:val="0DE36B99"/>
    <w:rsid w:val="0E0B63D0"/>
    <w:rsid w:val="0E3B3C64"/>
    <w:rsid w:val="0F0A6D3C"/>
    <w:rsid w:val="0F611949"/>
    <w:rsid w:val="0FD72C0C"/>
    <w:rsid w:val="103E38B5"/>
    <w:rsid w:val="10BF38FB"/>
    <w:rsid w:val="10E93D4E"/>
    <w:rsid w:val="11B62D57"/>
    <w:rsid w:val="12737E91"/>
    <w:rsid w:val="12DA5DA1"/>
    <w:rsid w:val="12E3158A"/>
    <w:rsid w:val="1549557C"/>
    <w:rsid w:val="157D650A"/>
    <w:rsid w:val="15A25C0B"/>
    <w:rsid w:val="167D4730"/>
    <w:rsid w:val="16A128C5"/>
    <w:rsid w:val="19766F04"/>
    <w:rsid w:val="19AF0CB4"/>
    <w:rsid w:val="19F023A6"/>
    <w:rsid w:val="1BC528C4"/>
    <w:rsid w:val="1C1945A6"/>
    <w:rsid w:val="1D4266B3"/>
    <w:rsid w:val="1E537B54"/>
    <w:rsid w:val="1F3F7351"/>
    <w:rsid w:val="1F4D7EC7"/>
    <w:rsid w:val="20CF4E76"/>
    <w:rsid w:val="21BD5166"/>
    <w:rsid w:val="221365B8"/>
    <w:rsid w:val="226A3577"/>
    <w:rsid w:val="22DA593E"/>
    <w:rsid w:val="23241352"/>
    <w:rsid w:val="246C2851"/>
    <w:rsid w:val="24E06F8D"/>
    <w:rsid w:val="2537321F"/>
    <w:rsid w:val="26850942"/>
    <w:rsid w:val="26B164C1"/>
    <w:rsid w:val="27987506"/>
    <w:rsid w:val="288E5F3F"/>
    <w:rsid w:val="28AE5DA0"/>
    <w:rsid w:val="2A175959"/>
    <w:rsid w:val="2B6910C5"/>
    <w:rsid w:val="2D4B705C"/>
    <w:rsid w:val="2D6A3A3F"/>
    <w:rsid w:val="2DCC08AF"/>
    <w:rsid w:val="2DFD4901"/>
    <w:rsid w:val="2E182F2D"/>
    <w:rsid w:val="2E9B7C83"/>
    <w:rsid w:val="2ECA65D4"/>
    <w:rsid w:val="2EE338FA"/>
    <w:rsid w:val="2F1C71AA"/>
    <w:rsid w:val="30357A24"/>
    <w:rsid w:val="307C5365"/>
    <w:rsid w:val="30A22B85"/>
    <w:rsid w:val="34034262"/>
    <w:rsid w:val="34A100EE"/>
    <w:rsid w:val="35D37D9D"/>
    <w:rsid w:val="36C83AF0"/>
    <w:rsid w:val="36DC47B5"/>
    <w:rsid w:val="37977641"/>
    <w:rsid w:val="385C6105"/>
    <w:rsid w:val="38EB77CC"/>
    <w:rsid w:val="3A1D0EF5"/>
    <w:rsid w:val="3AA44A54"/>
    <w:rsid w:val="3AE822E0"/>
    <w:rsid w:val="3B617677"/>
    <w:rsid w:val="3B8678B6"/>
    <w:rsid w:val="3B9C3FD8"/>
    <w:rsid w:val="3C8B0C00"/>
    <w:rsid w:val="3CC73AC6"/>
    <w:rsid w:val="3CC7607D"/>
    <w:rsid w:val="3CCA53AD"/>
    <w:rsid w:val="3CF81873"/>
    <w:rsid w:val="3D1E66D3"/>
    <w:rsid w:val="3DFC60C1"/>
    <w:rsid w:val="3EEA5570"/>
    <w:rsid w:val="3F2D1CB6"/>
    <w:rsid w:val="3FD1113F"/>
    <w:rsid w:val="41171C7F"/>
    <w:rsid w:val="418E5F9D"/>
    <w:rsid w:val="42BF1B92"/>
    <w:rsid w:val="43D755DA"/>
    <w:rsid w:val="43F25407"/>
    <w:rsid w:val="440875AB"/>
    <w:rsid w:val="450F1F75"/>
    <w:rsid w:val="453C3F01"/>
    <w:rsid w:val="45520847"/>
    <w:rsid w:val="45E73322"/>
    <w:rsid w:val="49383A30"/>
    <w:rsid w:val="494A394A"/>
    <w:rsid w:val="4A5F5391"/>
    <w:rsid w:val="4AE22D88"/>
    <w:rsid w:val="4B621286"/>
    <w:rsid w:val="4CDB6B18"/>
    <w:rsid w:val="4D1D2609"/>
    <w:rsid w:val="4D8971C2"/>
    <w:rsid w:val="4E305A20"/>
    <w:rsid w:val="4EB11A7C"/>
    <w:rsid w:val="4EE6167D"/>
    <w:rsid w:val="4F136CC9"/>
    <w:rsid w:val="4F586ABA"/>
    <w:rsid w:val="4F9C166D"/>
    <w:rsid w:val="52B962A6"/>
    <w:rsid w:val="530C784E"/>
    <w:rsid w:val="53406164"/>
    <w:rsid w:val="53774CFF"/>
    <w:rsid w:val="53DE59A8"/>
    <w:rsid w:val="553B58E4"/>
    <w:rsid w:val="55AA541C"/>
    <w:rsid w:val="567E16A6"/>
    <w:rsid w:val="5728768E"/>
    <w:rsid w:val="57E809C6"/>
    <w:rsid w:val="58272CFA"/>
    <w:rsid w:val="58A00174"/>
    <w:rsid w:val="5906339C"/>
    <w:rsid w:val="596879A6"/>
    <w:rsid w:val="59F57B8E"/>
    <w:rsid w:val="5ADA0B1D"/>
    <w:rsid w:val="5B7E4A72"/>
    <w:rsid w:val="5D6C6AD3"/>
    <w:rsid w:val="5E811B87"/>
    <w:rsid w:val="5EB016E9"/>
    <w:rsid w:val="5FF25578"/>
    <w:rsid w:val="609E0F14"/>
    <w:rsid w:val="614E41B0"/>
    <w:rsid w:val="62973EAF"/>
    <w:rsid w:val="62BE08BB"/>
    <w:rsid w:val="631E222D"/>
    <w:rsid w:val="64A70A2F"/>
    <w:rsid w:val="654F3592"/>
    <w:rsid w:val="658835A0"/>
    <w:rsid w:val="65D2271B"/>
    <w:rsid w:val="66D37837"/>
    <w:rsid w:val="670A7A3E"/>
    <w:rsid w:val="670E6C5D"/>
    <w:rsid w:val="679E2C8B"/>
    <w:rsid w:val="695C385D"/>
    <w:rsid w:val="69EF3DF1"/>
    <w:rsid w:val="6B2F71CC"/>
    <w:rsid w:val="6CF83D02"/>
    <w:rsid w:val="6D7C272C"/>
    <w:rsid w:val="6D8B22BF"/>
    <w:rsid w:val="6EF51F98"/>
    <w:rsid w:val="6F034B31"/>
    <w:rsid w:val="6F6C545A"/>
    <w:rsid w:val="6F766087"/>
    <w:rsid w:val="70013F0C"/>
    <w:rsid w:val="70340726"/>
    <w:rsid w:val="703C6338"/>
    <w:rsid w:val="716A2D22"/>
    <w:rsid w:val="73006EB1"/>
    <w:rsid w:val="73417714"/>
    <w:rsid w:val="7431442E"/>
    <w:rsid w:val="747D1147"/>
    <w:rsid w:val="75DD1EEC"/>
    <w:rsid w:val="762C5749"/>
    <w:rsid w:val="765C5FCF"/>
    <w:rsid w:val="77A5337F"/>
    <w:rsid w:val="77D05B9F"/>
    <w:rsid w:val="780A11FC"/>
    <w:rsid w:val="781B07A0"/>
    <w:rsid w:val="78824C27"/>
    <w:rsid w:val="79442D41"/>
    <w:rsid w:val="7A4B626B"/>
    <w:rsid w:val="7B331FDF"/>
    <w:rsid w:val="7B5B3EF1"/>
    <w:rsid w:val="7BA515D0"/>
    <w:rsid w:val="7C2E2674"/>
    <w:rsid w:val="7CB3343B"/>
    <w:rsid w:val="7E4F6A23"/>
    <w:rsid w:val="7EC00980"/>
    <w:rsid w:val="7EEC2AC9"/>
    <w:rsid w:val="7F2467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qFormat/>
    <w:uiPriority w:val="99"/>
    <w:rPr>
      <w:b/>
      <w:bCs/>
    </w:rPr>
  </w:style>
  <w:style w:type="character" w:styleId="9">
    <w:name w:val="page number"/>
    <w:basedOn w:val="8"/>
    <w:qFormat/>
    <w:uiPriority w:val="0"/>
  </w:style>
  <w:style w:type="character" w:styleId="10">
    <w:name w:val="annotation reference"/>
    <w:basedOn w:val="8"/>
    <w:semiHidden/>
    <w:unhideWhenUsed/>
    <w:qFormat/>
    <w:uiPriority w:val="99"/>
    <w:rPr>
      <w:sz w:val="21"/>
      <w:szCs w:val="21"/>
    </w:rPr>
  </w:style>
  <w:style w:type="character" w:customStyle="1" w:styleId="11">
    <w:name w:val="页眉 Char"/>
    <w:basedOn w:val="8"/>
    <w:link w:val="5"/>
    <w:semiHidden/>
    <w:qFormat/>
    <w:uiPriority w:val="99"/>
    <w:rPr>
      <w:kern w:val="2"/>
      <w:sz w:val="18"/>
      <w:szCs w:val="18"/>
    </w:rPr>
  </w:style>
  <w:style w:type="character" w:customStyle="1" w:styleId="12">
    <w:name w:val="页脚 Char"/>
    <w:basedOn w:val="8"/>
    <w:link w:val="4"/>
    <w:qFormat/>
    <w:uiPriority w:val="99"/>
    <w:rPr>
      <w:kern w:val="2"/>
      <w:sz w:val="18"/>
      <w:szCs w:val="18"/>
    </w:rPr>
  </w:style>
  <w:style w:type="paragraph" w:customStyle="1" w:styleId="13">
    <w:name w:val="Char1"/>
    <w:basedOn w:val="1"/>
    <w:qFormat/>
    <w:uiPriority w:val="0"/>
    <w:pPr>
      <w:tabs>
        <w:tab w:val="left" w:pos="840"/>
      </w:tabs>
      <w:ind w:left="840" w:hanging="420"/>
    </w:pPr>
    <w:rPr>
      <w:rFonts w:ascii="Times New Roman" w:hAnsi="Times New Roman"/>
      <w:sz w:val="24"/>
      <w:szCs w:val="24"/>
    </w:rPr>
  </w:style>
  <w:style w:type="character" w:customStyle="1" w:styleId="14">
    <w:name w:val="批注文字 Char"/>
    <w:basedOn w:val="8"/>
    <w:link w:val="2"/>
    <w:semiHidden/>
    <w:qFormat/>
    <w:uiPriority w:val="99"/>
    <w:rPr>
      <w:kern w:val="2"/>
      <w:sz w:val="21"/>
      <w:szCs w:val="22"/>
    </w:rPr>
  </w:style>
  <w:style w:type="character" w:customStyle="1" w:styleId="15">
    <w:name w:val="批注主题 Char"/>
    <w:basedOn w:val="14"/>
    <w:link w:val="6"/>
    <w:semiHidden/>
    <w:qFormat/>
    <w:uiPriority w:val="99"/>
    <w:rPr>
      <w:b/>
      <w:bCs/>
    </w:rPr>
  </w:style>
  <w:style w:type="character" w:customStyle="1" w:styleId="16">
    <w:name w:val="批注框文本 Char"/>
    <w:basedOn w:val="8"/>
    <w:link w:val="3"/>
    <w:semiHidden/>
    <w:qFormat/>
    <w:uiPriority w:val="99"/>
    <w:rPr>
      <w:kern w:val="2"/>
      <w:sz w:val="18"/>
      <w:szCs w:val="18"/>
    </w:rPr>
  </w:style>
  <w:style w:type="paragraph" w:customStyle="1" w:styleId="17">
    <w:name w:val="Revision"/>
    <w:hidden/>
    <w:semiHidden/>
    <w:qFormat/>
    <w:uiPriority w:val="99"/>
    <w:rPr>
      <w:rFonts w:ascii="Calibri" w:hAnsi="Calibri" w:eastAsia="宋体" w:cs="Times New Roman"/>
      <w:kern w:val="2"/>
      <w:sz w:val="21"/>
      <w:szCs w:val="22"/>
      <w:lang w:val="en-US" w:eastAsia="zh-CN" w:bidi="ar-SA"/>
    </w:rPr>
  </w:style>
  <w:style w:type="paragraph" w:customStyle="1" w:styleId="18">
    <w:name w:val="正文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T:\xxy\&#38634;&#33721;\0.&#29615;&#35780;&#30005;&#23376;&#23457;&#26597;\2.&#29615;&#35780;&#23457;&#25209;\00%20%20&#25209;&#22797;&#12289;&#21576;&#25209;&#34920;&#27169;&#26495;\&#12304;&#29615;&#35780;&#25209;&#22797;&#27169;&#26495;&#12305;&#29615;&#35780;&#25253;&#21578;&#34920;&#65288;2017&#24180;&#29256;&#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0880F-0172-4367-9D41-5B93968F3B74}">
  <ds:schemaRefs/>
</ds:datastoreItem>
</file>

<file path=docProps/app.xml><?xml version="1.0" encoding="utf-8"?>
<Properties xmlns="http://schemas.openxmlformats.org/officeDocument/2006/extended-properties" xmlns:vt="http://schemas.openxmlformats.org/officeDocument/2006/docPropsVTypes">
  <Template>【环评批复模板】环评报告表（2017年版）.dot</Template>
  <Company>Bureau of Environment Protection</Company>
  <Pages>4</Pages>
  <Words>1891</Words>
  <Characters>2045</Characters>
  <Lines>19</Lines>
  <Paragraphs>5</Paragraphs>
  <TotalTime>0</TotalTime>
  <ScaleCrop>false</ScaleCrop>
  <LinksUpToDate>false</LinksUpToDate>
  <CharactersWithSpaces>2108</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2019-11-22T08:14:00Z</dcterms:created>
  <dc:creator>Panyu EPB</dc:creator>
  <cp:lastModifiedBy>DELL</cp:lastModifiedBy>
  <cp:lastPrinted>2012-12-06T03:13:00Z</cp:lastPrinted>
  <dcterms:modified xsi:type="dcterms:W3CDTF">2025-08-01T10:09:20Z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gined">
    <vt:bool>true</vt:bool>
  </property>
  <property fmtid="{D5CDD505-2E9C-101B-9397-08002B2CF9AE}" pid="3" name="KSOProductBuildVer">
    <vt:lpwstr>2052-12.1.0.22215</vt:lpwstr>
  </property>
  <property fmtid="{D5CDD505-2E9C-101B-9397-08002B2CF9AE}" pid="4" name="ICV">
    <vt:lpwstr>61E94F1226E64AD9B4FA4EB89BA2C315_13</vt:lpwstr>
  </property>
  <property fmtid="{D5CDD505-2E9C-101B-9397-08002B2CF9AE}" pid="5" name="KSOTemplateDocerSaveRecord">
    <vt:lpwstr>eyJoZGlkIjoiOTFmYTNmMGY4YzliOTEyNGRkM2M5OTJiMTUxNWY2YjkiLCJ1c2VySWQiOiIxMDI2OTE4Mzc5In0=</vt:lpwstr>
  </property>
</Properties>
</file>