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3373B5">
      <w:pPr>
        <w:adjustRightInd w:val="0"/>
        <w:snapToGrid w:val="0"/>
        <w:ind w:right="-156" w:hanging="180"/>
        <w:jc w:val="center"/>
        <w:rPr>
          <w:rFonts w:ascii="公文小标宋简" w:eastAsia="公文小标宋简"/>
          <w:b/>
          <w:bCs/>
          <w:smallCaps/>
          <w:snapToGrid w:val="0"/>
          <w:color w:val="auto"/>
          <w:spacing w:val="56"/>
          <w:kern w:val="0"/>
          <w:sz w:val="72"/>
          <w:szCs w:val="72"/>
        </w:rPr>
      </w:pPr>
    </w:p>
    <w:p w14:paraId="1AA5779C">
      <w:pPr>
        <w:keepNext w:val="0"/>
        <w:keepLines w:val="0"/>
        <w:pageBreakBefore w:val="0"/>
        <w:kinsoku/>
        <w:wordWrap w:val="0"/>
        <w:overflowPunct/>
        <w:topLinePunct w:val="0"/>
        <w:autoSpaceDE/>
        <w:autoSpaceDN/>
        <w:bidi w:val="0"/>
        <w:adjustRightInd w:val="0"/>
        <w:snapToGrid w:val="0"/>
        <w:spacing w:line="560" w:lineRule="exact"/>
        <w:ind w:firstLine="420" w:firstLineChars="200"/>
        <w:textAlignment w:val="auto"/>
        <w:rPr>
          <w:rFonts w:ascii="仿宋_GB2312"/>
          <w:color w:val="auto"/>
        </w:rPr>
      </w:pPr>
      <w:r>
        <w:rPr>
          <w:rFonts w:hint="eastAsia" w:ascii="仿宋_GB2312"/>
          <w:color w:val="auto"/>
        </w:rPr>
        <w:t xml:space="preserve">                                       </w:t>
      </w:r>
      <w:r>
        <w:rPr>
          <w:rFonts w:hint="eastAsia" w:ascii="仿宋_GB2312" w:eastAsia="仿宋_GB2312"/>
          <w:color w:val="auto"/>
          <w:sz w:val="32"/>
          <w:szCs w:val="32"/>
        </w:rPr>
        <w:t>穗环管影（番）〔202</w:t>
      </w:r>
      <w:r>
        <w:rPr>
          <w:rFonts w:hint="eastAsia" w:ascii="仿宋_GB2312" w:eastAsia="仿宋_GB2312"/>
          <w:color w:val="auto"/>
          <w:sz w:val="32"/>
          <w:szCs w:val="32"/>
          <w:lang w:val="en-US" w:eastAsia="zh-CN"/>
        </w:rPr>
        <w:t>5</w:t>
      </w:r>
      <w:r>
        <w:rPr>
          <w:rFonts w:hint="eastAsia" w:ascii="仿宋_GB2312" w:eastAsia="仿宋_GB2312"/>
          <w:color w:val="auto"/>
          <w:sz w:val="32"/>
          <w:szCs w:val="32"/>
        </w:rPr>
        <w:t>〕</w:t>
      </w:r>
      <w:r>
        <w:rPr>
          <w:rFonts w:hint="eastAsia" w:ascii="仿宋_GB2312" w:eastAsia="仿宋_GB2312"/>
          <w:color w:val="auto"/>
          <w:sz w:val="32"/>
          <w:szCs w:val="32"/>
          <w:lang w:val="en-US" w:eastAsia="zh-CN"/>
        </w:rPr>
        <w:t>97</w:t>
      </w:r>
      <w:r>
        <w:rPr>
          <w:rFonts w:hint="eastAsia" w:ascii="仿宋_GB2312" w:eastAsia="仿宋_GB2312"/>
          <w:color w:val="auto"/>
          <w:sz w:val="32"/>
          <w:szCs w:val="32"/>
        </w:rPr>
        <w:t>号</w:t>
      </w:r>
    </w:p>
    <w:p w14:paraId="0D9D23AD">
      <w:pPr>
        <w:keepNext w:val="0"/>
        <w:keepLines w:val="0"/>
        <w:pageBreakBefore w:val="0"/>
        <w:kinsoku/>
        <w:overflowPunct/>
        <w:topLinePunct w:val="0"/>
        <w:autoSpaceDE/>
        <w:autoSpaceDN/>
        <w:bidi w:val="0"/>
        <w:spacing w:line="560" w:lineRule="exact"/>
        <w:textAlignment w:val="auto"/>
        <w:rPr>
          <w:rFonts w:ascii="黑体" w:eastAsia="黑体"/>
          <w:color w:val="auto"/>
        </w:rPr>
      </w:pPr>
    </w:p>
    <w:p w14:paraId="0AC8BEF1">
      <w:pPr>
        <w:keepNext w:val="0"/>
        <w:keepLines w:val="0"/>
        <w:pageBreakBefore w:val="0"/>
        <w:kinsoku/>
        <w:overflowPunct/>
        <w:topLinePunct w:val="0"/>
        <w:autoSpaceDE/>
        <w:autoSpaceDN/>
        <w:bidi w:val="0"/>
        <w:adjustRightInd w:val="0"/>
        <w:snapToGrid w:val="0"/>
        <w:spacing w:line="560" w:lineRule="exact"/>
        <w:textAlignment w:val="auto"/>
        <w:rPr>
          <w:rFonts w:ascii="仿宋_GB2312"/>
          <w:color w:val="auto"/>
        </w:rPr>
      </w:pPr>
    </w:p>
    <w:p w14:paraId="03173BE7">
      <w:pPr>
        <w:keepNext w:val="0"/>
        <w:keepLines w:val="0"/>
        <w:pageBreakBefore w:val="0"/>
        <w:kinsoku/>
        <w:overflowPunct/>
        <w:topLinePunct w:val="0"/>
        <w:autoSpaceDE/>
        <w:autoSpaceDN/>
        <w:bidi w:val="0"/>
        <w:spacing w:line="560" w:lineRule="exact"/>
        <w:jc w:val="center"/>
        <w:textAlignment w:val="auto"/>
        <w:rPr>
          <w:rFonts w:ascii="方正小标宋简体" w:eastAsia="方正小标宋简体"/>
          <w:color w:val="auto"/>
          <w:sz w:val="44"/>
          <w:szCs w:val="44"/>
        </w:rPr>
      </w:pPr>
      <w:r>
        <w:rPr>
          <w:rFonts w:hint="eastAsia" w:ascii="方正小标宋简体" w:eastAsia="方正小标宋简体"/>
          <w:color w:val="auto"/>
          <w:sz w:val="44"/>
          <w:szCs w:val="44"/>
        </w:rPr>
        <w:t>广州市生态环境局关于广州董大电子科技有限公司年产300万条数据线、100万个充电器新建项目环境影响报告表的批复</w:t>
      </w:r>
    </w:p>
    <w:p w14:paraId="00880D9C">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p>
    <w:p w14:paraId="4D947783">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r>
        <w:rPr>
          <w:rFonts w:hint="eastAsia" w:ascii="仿宋_GB2312" w:eastAsia="仿宋_GB2312"/>
          <w:color w:val="auto"/>
          <w:sz w:val="32"/>
          <w:szCs w:val="32"/>
        </w:rPr>
        <w:t>广州董大电子科技有限公司（91440113698678349P）：</w:t>
      </w:r>
    </w:p>
    <w:p w14:paraId="06F98241">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你单位报送的《广州董大电子科技有限公司年产300万条数据线、100万个充电器新建项目环境影响报告表》（以下简称《报告表》）及附送资料收悉。经研究，现批复如下：</w:t>
      </w:r>
    </w:p>
    <w:p w14:paraId="6234E811">
      <w:pPr>
        <w:keepNext w:val="0"/>
        <w:keepLines w:val="0"/>
        <w:pageBreakBefore w:val="0"/>
        <w:kinsoku/>
        <w:overflowPunct/>
        <w:topLinePunct w:val="0"/>
        <w:autoSpaceDE/>
        <w:autoSpaceDN/>
        <w:bidi w:val="0"/>
        <w:spacing w:line="560" w:lineRule="exact"/>
        <w:ind w:firstLine="640" w:firstLineChars="200"/>
        <w:textAlignment w:val="auto"/>
        <w:rPr>
          <w:rFonts w:hint="eastAsia" w:ascii="仿宋_GB2312" w:eastAsia="仿宋_GB2312"/>
          <w:color w:val="auto"/>
          <w:sz w:val="32"/>
          <w:szCs w:val="32"/>
          <w:lang w:eastAsia="zh-CN"/>
        </w:rPr>
      </w:pPr>
      <w:r>
        <w:rPr>
          <w:rFonts w:hint="eastAsia" w:ascii="仿宋_GB2312" w:eastAsia="仿宋_GB2312"/>
          <w:color w:val="auto"/>
          <w:sz w:val="32"/>
          <w:szCs w:val="32"/>
        </w:rPr>
        <w:t>一、广州董大电子科技有限公司年产300万条数据线、100万个充电器新建项目（以下简称“该项目”）位于广州市番禺区化龙镇龙顺二路9号1栋9层，申报内容为从事PE数据线和充电器的加工生产</w:t>
      </w:r>
      <w:r>
        <w:rPr>
          <w:rFonts w:hint="eastAsia" w:ascii="仿宋_GB2312" w:eastAsia="仿宋_GB2312"/>
          <w:color w:val="auto"/>
          <w:sz w:val="32"/>
          <w:szCs w:val="32"/>
          <w:lang w:eastAsia="zh-CN"/>
        </w:rPr>
        <w:t>，</w:t>
      </w:r>
      <w:r>
        <w:rPr>
          <w:rFonts w:hint="eastAsia" w:ascii="仿宋_GB2312" w:eastAsia="仿宋_GB2312"/>
          <w:color w:val="auto"/>
          <w:sz w:val="32"/>
          <w:szCs w:val="32"/>
        </w:rPr>
        <w:t>预计年产300万条数据线、100万个充电器</w:t>
      </w:r>
      <w:r>
        <w:rPr>
          <w:rFonts w:hint="eastAsia" w:ascii="仿宋_GB2312" w:eastAsia="仿宋_GB2312"/>
          <w:color w:val="auto"/>
          <w:sz w:val="32"/>
          <w:szCs w:val="32"/>
        </w:rPr>
        <w:t>。该项目占地面积2333.01平方米，总建筑面积2333.01平方米，</w:t>
      </w:r>
      <w:r>
        <w:rPr>
          <w:rFonts w:hint="eastAsia" w:ascii="仿宋_GB2312" w:eastAsia="仿宋_GB2312"/>
          <w:color w:val="auto"/>
          <w:sz w:val="32"/>
          <w:szCs w:val="32"/>
          <w:lang w:val="en-US" w:eastAsia="zh-CN"/>
        </w:rPr>
        <w:t>租用1栋12层</w:t>
      </w:r>
      <w:r>
        <w:rPr>
          <w:rFonts w:hint="eastAsia" w:ascii="仿宋_GB2312" w:eastAsia="仿宋_GB2312"/>
          <w:color w:val="auto"/>
          <w:sz w:val="32"/>
          <w:szCs w:val="32"/>
        </w:rPr>
        <w:t>建筑物</w:t>
      </w:r>
      <w:r>
        <w:rPr>
          <w:rFonts w:hint="eastAsia" w:ascii="仿宋_GB2312" w:eastAsia="仿宋_GB2312"/>
          <w:color w:val="auto"/>
          <w:sz w:val="32"/>
          <w:szCs w:val="32"/>
          <w:lang w:val="en-US" w:eastAsia="zh-CN"/>
        </w:rPr>
        <w:t>中的</w:t>
      </w:r>
      <w:r>
        <w:rPr>
          <w:rFonts w:hint="eastAsia" w:ascii="仿宋_GB2312" w:eastAsia="仿宋_GB2312"/>
          <w:color w:val="auto"/>
          <w:sz w:val="32"/>
          <w:szCs w:val="32"/>
          <w:lang w:val="en-US" w:eastAsia="zh-CN"/>
        </w:rPr>
        <w:t>第9层</w:t>
      </w:r>
      <w:r>
        <w:rPr>
          <w:rFonts w:hint="eastAsia" w:ascii="仿宋_GB2312" w:eastAsia="仿宋_GB2312"/>
          <w:color w:val="auto"/>
          <w:sz w:val="32"/>
          <w:szCs w:val="32"/>
        </w:rPr>
        <w:t>；主要设备有立式成型机</w:t>
      </w:r>
      <w:r>
        <w:rPr>
          <w:rFonts w:hint="eastAsia" w:ascii="仿宋_GB2312" w:eastAsia="仿宋_GB2312"/>
          <w:color w:val="auto"/>
          <w:sz w:val="32"/>
          <w:szCs w:val="32"/>
          <w:lang w:val="en-US" w:eastAsia="zh-CN"/>
        </w:rPr>
        <w:t>10台、</w:t>
      </w:r>
      <w:r>
        <w:rPr>
          <w:rFonts w:hint="eastAsia" w:ascii="仿宋_GB2312" w:eastAsia="仿宋_GB2312"/>
          <w:color w:val="auto"/>
          <w:sz w:val="32"/>
          <w:szCs w:val="32"/>
        </w:rPr>
        <w:t>自动焊锡机</w:t>
      </w:r>
      <w:r>
        <w:rPr>
          <w:rFonts w:hint="eastAsia" w:ascii="仿宋_GB2312" w:eastAsia="仿宋_GB2312"/>
          <w:color w:val="auto"/>
          <w:sz w:val="32"/>
          <w:szCs w:val="32"/>
          <w:lang w:val="en-US" w:eastAsia="zh-CN"/>
        </w:rPr>
        <w:t>3台、</w:t>
      </w:r>
      <w:r>
        <w:rPr>
          <w:rFonts w:hint="eastAsia" w:ascii="仿宋_GB2312" w:eastAsia="仿宋_GB2312"/>
          <w:color w:val="auto"/>
          <w:sz w:val="32"/>
          <w:szCs w:val="32"/>
        </w:rPr>
        <w:t>激光镭雕机</w:t>
      </w:r>
      <w:r>
        <w:rPr>
          <w:rFonts w:hint="eastAsia" w:ascii="仿宋_GB2312" w:eastAsia="仿宋_GB2312"/>
          <w:color w:val="auto"/>
          <w:sz w:val="32"/>
          <w:szCs w:val="32"/>
          <w:lang w:val="en-US" w:eastAsia="zh-CN"/>
        </w:rPr>
        <w:t>5台、</w:t>
      </w:r>
      <w:r>
        <w:rPr>
          <w:rFonts w:hint="eastAsia" w:ascii="仿宋_GB2312" w:eastAsia="仿宋_GB2312"/>
          <w:color w:val="auto"/>
          <w:sz w:val="32"/>
          <w:szCs w:val="32"/>
        </w:rPr>
        <w:t>手工焊锡机</w:t>
      </w:r>
      <w:r>
        <w:rPr>
          <w:rFonts w:hint="eastAsia" w:ascii="仿宋_GB2312" w:eastAsia="仿宋_GB2312"/>
          <w:color w:val="auto"/>
          <w:sz w:val="32"/>
          <w:szCs w:val="32"/>
          <w:lang w:val="en-US" w:eastAsia="zh-CN"/>
        </w:rPr>
        <w:t>8台、</w:t>
      </w:r>
      <w:r>
        <w:rPr>
          <w:rFonts w:hint="eastAsia" w:ascii="仿宋_GB2312" w:eastAsia="仿宋_GB2312"/>
          <w:color w:val="auto"/>
          <w:sz w:val="32"/>
          <w:szCs w:val="32"/>
        </w:rPr>
        <w:t>超声波焊接机</w:t>
      </w:r>
      <w:r>
        <w:rPr>
          <w:rFonts w:hint="eastAsia" w:ascii="仿宋_GB2312" w:eastAsia="仿宋_GB2312"/>
          <w:color w:val="auto"/>
          <w:sz w:val="32"/>
          <w:szCs w:val="32"/>
          <w:lang w:val="en-US" w:eastAsia="zh-CN"/>
        </w:rPr>
        <w:t>3台、</w:t>
      </w:r>
      <w:r>
        <w:rPr>
          <w:rFonts w:hint="eastAsia" w:ascii="仿宋_GB2312" w:eastAsia="仿宋_GB2312"/>
          <w:color w:val="auto"/>
          <w:sz w:val="32"/>
          <w:szCs w:val="32"/>
        </w:rPr>
        <w:t>封边机</w:t>
      </w:r>
      <w:r>
        <w:rPr>
          <w:rFonts w:hint="eastAsia" w:ascii="仿宋_GB2312" w:eastAsia="仿宋_GB2312"/>
          <w:color w:val="auto"/>
          <w:sz w:val="32"/>
          <w:szCs w:val="32"/>
          <w:lang w:val="en-US" w:eastAsia="zh-CN"/>
        </w:rPr>
        <w:t>1台</w:t>
      </w:r>
      <w:r>
        <w:rPr>
          <w:rFonts w:hint="eastAsia" w:ascii="仿宋_GB2312" w:eastAsia="仿宋_GB2312"/>
          <w:color w:val="auto"/>
          <w:sz w:val="32"/>
          <w:szCs w:val="32"/>
        </w:rPr>
        <w:t>；员工</w:t>
      </w:r>
      <w:r>
        <w:rPr>
          <w:rFonts w:hint="eastAsia" w:ascii="仿宋_GB2312" w:eastAsia="仿宋_GB2312"/>
          <w:color w:val="auto"/>
          <w:sz w:val="32"/>
          <w:szCs w:val="32"/>
          <w:lang w:val="en-US" w:eastAsia="zh-CN"/>
        </w:rPr>
        <w:t>70</w:t>
      </w:r>
      <w:r>
        <w:rPr>
          <w:rFonts w:hint="eastAsia" w:ascii="仿宋_GB2312" w:eastAsia="仿宋_GB2312"/>
          <w:color w:val="auto"/>
          <w:sz w:val="32"/>
          <w:szCs w:val="32"/>
        </w:rPr>
        <w:t>名，内部不安排食宿</w:t>
      </w:r>
      <w:r>
        <w:rPr>
          <w:rFonts w:hint="eastAsia" w:ascii="仿宋_GB2312" w:eastAsia="仿宋_GB2312"/>
          <w:color w:val="auto"/>
          <w:sz w:val="32"/>
          <w:szCs w:val="32"/>
          <w:lang w:eastAsia="zh-CN"/>
        </w:rPr>
        <w:t>。</w:t>
      </w:r>
    </w:p>
    <w:p w14:paraId="0B64A3CC">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按照《报告表》的评价结论，在落实各项环境保护措施后，该项目产生的污染物及不良环境影响能够得到有效控制，从环境保护角度，在拟选址处建设可行。经审查，我局原则同意《报告表》评价结论。该项目应当按照《报告表》所述性质、规模、地点、生产工艺和环境保护措施进行建设。</w:t>
      </w:r>
    </w:p>
    <w:p w14:paraId="655CFE16">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二、该项目各类污染物排放控制要求如下：</w:t>
      </w:r>
    </w:p>
    <w:p w14:paraId="4A776410">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（一）</w:t>
      </w:r>
      <w:r>
        <w:rPr>
          <w:rFonts w:hint="eastAsia" w:ascii="仿宋_GB2312" w:eastAsia="仿宋_GB2312"/>
          <w:color w:val="auto"/>
          <w:sz w:val="32"/>
          <w:szCs w:val="32"/>
          <w:lang w:val="en-US" w:eastAsia="zh-CN"/>
        </w:rPr>
        <w:t>水污染物</w:t>
      </w:r>
      <w:r>
        <w:rPr>
          <w:rFonts w:hint="eastAsia" w:ascii="仿宋_GB2312" w:eastAsia="仿宋_GB2312"/>
          <w:color w:val="auto"/>
          <w:sz w:val="32"/>
          <w:szCs w:val="32"/>
        </w:rPr>
        <w:t>排放执行广东省《水污染物排放限值》（DB44/26-2001）第二时段三级标准</w:t>
      </w:r>
      <w:r>
        <w:rPr>
          <w:rFonts w:hint="eastAsia" w:ascii="仿宋_GB2312" w:eastAsia="仿宋_GB2312"/>
          <w:color w:val="auto"/>
          <w:sz w:val="32"/>
          <w:szCs w:val="32"/>
          <w:lang w:eastAsia="zh-CN"/>
        </w:rPr>
        <w:t>，</w:t>
      </w:r>
      <w:r>
        <w:rPr>
          <w:rFonts w:hint="eastAsia" w:ascii="仿宋_GB2312" w:eastAsia="仿宋_GB2312"/>
          <w:color w:val="auto"/>
          <w:sz w:val="32"/>
          <w:szCs w:val="32"/>
        </w:rPr>
        <w:t>生活污水排放量不超过</w:t>
      </w:r>
      <w:r>
        <w:rPr>
          <w:rFonts w:hint="eastAsia" w:ascii="仿宋_GB2312" w:eastAsia="仿宋_GB2312"/>
          <w:color w:val="auto"/>
          <w:sz w:val="32"/>
          <w:szCs w:val="32"/>
          <w:lang w:val="en-US" w:eastAsia="zh-CN"/>
        </w:rPr>
        <w:t>630</w:t>
      </w:r>
      <w:r>
        <w:rPr>
          <w:rFonts w:hint="eastAsia" w:ascii="仿宋_GB2312" w:eastAsia="仿宋_GB2312"/>
          <w:color w:val="auto"/>
          <w:sz w:val="32"/>
          <w:szCs w:val="32"/>
        </w:rPr>
        <w:t>吨/年。</w:t>
      </w:r>
    </w:p>
    <w:p w14:paraId="5C2993F3">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（二）颗粒物排放执行《合成树脂工业污染物排放标准》（GB31572-2015，含2024年修改单）表5大气污染物特别排放限值</w:t>
      </w:r>
      <w:r>
        <w:rPr>
          <w:rFonts w:hint="eastAsia" w:ascii="仿宋_GB2312" w:eastAsia="仿宋_GB2312"/>
          <w:color w:val="auto"/>
          <w:sz w:val="32"/>
          <w:szCs w:val="32"/>
          <w:lang w:eastAsia="zh-CN"/>
        </w:rPr>
        <w:t>、</w:t>
      </w:r>
      <w:r>
        <w:rPr>
          <w:rFonts w:hint="eastAsia" w:ascii="仿宋_GB2312" w:eastAsia="仿宋_GB2312"/>
          <w:color w:val="auto"/>
          <w:sz w:val="32"/>
          <w:szCs w:val="32"/>
        </w:rPr>
        <w:t>广东省《大气污染物排放限值》（DB44/27-2001）第二时段二级标准</w:t>
      </w:r>
      <w:r>
        <w:rPr>
          <w:rFonts w:hint="eastAsia" w:ascii="仿宋_GB2312" w:eastAsia="仿宋_GB2312"/>
          <w:color w:val="auto"/>
          <w:sz w:val="32"/>
          <w:szCs w:val="32"/>
          <w:lang w:val="en-US" w:eastAsia="zh-CN"/>
        </w:rPr>
        <w:t>及</w:t>
      </w:r>
      <w:r>
        <w:rPr>
          <w:rFonts w:hint="eastAsia" w:ascii="仿宋_GB2312" w:eastAsia="仿宋_GB2312"/>
          <w:color w:val="auto"/>
          <w:sz w:val="32"/>
          <w:szCs w:val="32"/>
        </w:rPr>
        <w:t>无组织排放监控浓度限值要求</w:t>
      </w:r>
      <w:r>
        <w:rPr>
          <w:rFonts w:hint="eastAsia" w:ascii="仿宋_GB2312" w:eastAsia="仿宋_GB2312"/>
          <w:color w:val="auto"/>
          <w:sz w:val="32"/>
          <w:szCs w:val="32"/>
          <w:lang w:eastAsia="zh-CN"/>
        </w:rPr>
        <w:t>；非甲烷总烃有组织排放执行《合成树脂工业污染物排放标准》（GB31572-2015，含2024年修改单）表5大气污染物特别排放限值；厂界非甲烷总烃执行《固定污染源挥发性有机物综合排放标准》（DB44/ 2367-2022）表3厂区内VOCs无组织排放限值；锡及其化合物排放执行广东省《大气污染物排放限值》（DB44/27-2001）第二时段二级标准及无组织排放监控浓度限值；</w:t>
      </w:r>
      <w:r>
        <w:rPr>
          <w:rFonts w:hint="eastAsia" w:ascii="仿宋_GB2312" w:eastAsia="仿宋_GB2312" w:cs="Times New Roman"/>
          <w:color w:val="auto"/>
          <w:sz w:val="32"/>
          <w:szCs w:val="32"/>
        </w:rPr>
        <w:t>臭气浓度排放执行《恶臭污染物排放标准》（GB14554-93）表1厂界新扩改建二级标准限值和表2排放标准值</w:t>
      </w:r>
      <w:r>
        <w:rPr>
          <w:rFonts w:hint="eastAsia" w:ascii="仿宋_GB2312" w:eastAsia="仿宋_GB2312" w:cs="Times New Roman"/>
          <w:color w:val="auto"/>
          <w:sz w:val="32"/>
          <w:szCs w:val="32"/>
          <w:lang w:eastAsia="zh-CN"/>
        </w:rPr>
        <w:t>。</w:t>
      </w:r>
    </w:p>
    <w:p w14:paraId="1C452005">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（三）边界噪声排放执行《工业企业厂界环境噪声排放标准》（GB12348-2008）</w:t>
      </w:r>
      <w:r>
        <w:rPr>
          <w:rFonts w:hint="eastAsia" w:ascii="仿宋_GB2312" w:eastAsia="仿宋_GB2312"/>
          <w:color w:val="auto"/>
          <w:sz w:val="32"/>
          <w:szCs w:val="32"/>
          <w:lang w:val="en-US" w:eastAsia="zh-CN"/>
        </w:rPr>
        <w:t>3</w:t>
      </w:r>
      <w:r>
        <w:rPr>
          <w:rFonts w:hint="eastAsia" w:ascii="仿宋_GB2312" w:eastAsia="仿宋_GB2312"/>
          <w:color w:val="auto"/>
          <w:sz w:val="32"/>
          <w:szCs w:val="32"/>
        </w:rPr>
        <w:t>类区限值，即：昼间≤</w:t>
      </w:r>
      <w:r>
        <w:rPr>
          <w:rFonts w:hint="eastAsia" w:ascii="仿宋_GB2312" w:eastAsia="仿宋_GB2312"/>
          <w:color w:val="auto"/>
          <w:sz w:val="32"/>
          <w:szCs w:val="32"/>
          <w:lang w:val="en-US" w:eastAsia="zh-CN"/>
        </w:rPr>
        <w:t>6</w:t>
      </w:r>
      <w:r>
        <w:rPr>
          <w:rFonts w:hint="eastAsia" w:ascii="仿宋_GB2312" w:eastAsia="仿宋_GB2312"/>
          <w:color w:val="auto"/>
          <w:sz w:val="32"/>
          <w:szCs w:val="32"/>
        </w:rPr>
        <w:t>5dB(A)，夜间≤</w:t>
      </w:r>
      <w:r>
        <w:rPr>
          <w:rFonts w:hint="eastAsia" w:ascii="仿宋_GB2312" w:eastAsia="仿宋_GB2312"/>
          <w:color w:val="auto"/>
          <w:sz w:val="32"/>
          <w:szCs w:val="32"/>
          <w:lang w:val="en-US" w:eastAsia="zh-CN"/>
        </w:rPr>
        <w:t>5</w:t>
      </w:r>
      <w:r>
        <w:rPr>
          <w:rFonts w:hint="eastAsia" w:ascii="仿宋_GB2312" w:eastAsia="仿宋_GB2312"/>
          <w:color w:val="auto"/>
          <w:sz w:val="32"/>
          <w:szCs w:val="32"/>
        </w:rPr>
        <w:t>5dB(A)。</w:t>
      </w:r>
    </w:p>
    <w:p w14:paraId="5D589B1F">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三、该项目应当认真落实《报告表》提出的各项环境保护措施，重点做好以下工作：</w:t>
      </w:r>
    </w:p>
    <w:p w14:paraId="548C04D0">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（一）排水系统采用雨污分流。生活污水</w:t>
      </w:r>
      <w:r>
        <w:rPr>
          <w:rFonts w:hint="eastAsia" w:ascii="仿宋_GB2312" w:eastAsia="仿宋_GB2312"/>
          <w:color w:val="auto"/>
          <w:sz w:val="32"/>
          <w:szCs w:val="32"/>
          <w:lang w:eastAsia="zh-CN"/>
        </w:rPr>
        <w:t>经三级化粪池预处理后</w:t>
      </w:r>
      <w:r>
        <w:rPr>
          <w:rFonts w:hint="eastAsia" w:ascii="仿宋_GB2312" w:eastAsia="仿宋_GB2312"/>
          <w:color w:val="auto"/>
          <w:sz w:val="32"/>
          <w:szCs w:val="32"/>
        </w:rPr>
        <w:t>排入市政集污管网，送</w:t>
      </w:r>
      <w:r>
        <w:rPr>
          <w:rFonts w:hint="eastAsia" w:ascii="仿宋_GB2312" w:eastAsia="仿宋_GB2312"/>
          <w:color w:val="auto"/>
          <w:sz w:val="32"/>
          <w:szCs w:val="32"/>
          <w:lang w:val="en-US" w:eastAsia="zh-CN"/>
        </w:rPr>
        <w:t>化龙</w:t>
      </w:r>
      <w:r>
        <w:rPr>
          <w:rFonts w:hint="eastAsia" w:ascii="仿宋_GB2312" w:eastAsia="仿宋_GB2312"/>
          <w:color w:val="auto"/>
          <w:sz w:val="32"/>
          <w:szCs w:val="32"/>
        </w:rPr>
        <w:t>净水厂</w:t>
      </w:r>
      <w:r>
        <w:rPr>
          <w:rFonts w:hint="eastAsia" w:ascii="仿宋_GB2312" w:eastAsia="仿宋_GB2312"/>
          <w:color w:val="auto"/>
          <w:sz w:val="32"/>
          <w:szCs w:val="32"/>
          <w:lang w:val="en-US" w:eastAsia="zh-CN"/>
        </w:rPr>
        <w:t>集中</w:t>
      </w:r>
      <w:r>
        <w:rPr>
          <w:rFonts w:hint="eastAsia" w:ascii="仿宋_GB2312" w:eastAsia="仿宋_GB2312"/>
          <w:color w:val="auto"/>
          <w:sz w:val="32"/>
          <w:szCs w:val="32"/>
        </w:rPr>
        <w:t>处理。</w:t>
      </w:r>
      <w:r>
        <w:rPr>
          <w:rFonts w:hint="eastAsia" w:ascii="仿宋_GB2312" w:hAnsi="仿宋_GB2312" w:eastAsia="仿宋_GB2312" w:cs="仿宋_GB2312"/>
          <w:color w:val="auto"/>
          <w:sz w:val="32"/>
          <w:szCs w:val="32"/>
        </w:rPr>
        <w:t>项目</w:t>
      </w:r>
      <w:r>
        <w:rPr>
          <w:rFonts w:hint="eastAsia" w:ascii="仿宋_GB2312" w:hAnsi="仿宋_GB2312" w:eastAsia="仿宋_GB2312" w:cs="仿宋_GB2312"/>
          <w:color w:val="auto"/>
          <w:sz w:val="32"/>
          <w:szCs w:val="32"/>
          <w:lang w:val="en-US" w:eastAsia="zh-CN"/>
        </w:rPr>
        <w:t>设置</w:t>
      </w:r>
      <w:r>
        <w:rPr>
          <w:rFonts w:hint="eastAsia" w:ascii="仿宋_GB2312" w:hAnsi="仿宋_GB2312" w:eastAsia="仿宋_GB2312" w:cs="仿宋_GB2312"/>
          <w:color w:val="auto"/>
          <w:sz w:val="32"/>
          <w:szCs w:val="32"/>
        </w:rPr>
        <w:t>生活污水排放口1个。</w:t>
      </w:r>
    </w:p>
    <w:p w14:paraId="0D4C6869">
      <w:pPr>
        <w:keepNext w:val="0"/>
        <w:keepLines w:val="0"/>
        <w:pageBreakBefore w:val="0"/>
        <w:kinsoku/>
        <w:overflowPunct/>
        <w:topLinePunct w:val="0"/>
        <w:autoSpaceDE/>
        <w:autoSpaceDN/>
        <w:bidi w:val="0"/>
        <w:spacing w:line="560" w:lineRule="exact"/>
        <w:ind w:firstLine="640" w:firstLineChars="200"/>
        <w:textAlignment w:val="auto"/>
        <w:rPr>
          <w:rFonts w:hint="eastAsia" w:ascii="仿宋_GB2312" w:eastAsia="仿宋_GB2312"/>
          <w:color w:val="auto"/>
          <w:sz w:val="32"/>
          <w:szCs w:val="32"/>
        </w:rPr>
      </w:pPr>
      <w:r>
        <w:rPr>
          <w:rFonts w:hint="eastAsia" w:ascii="仿宋_GB2312" w:eastAsia="仿宋_GB2312"/>
          <w:color w:val="auto"/>
          <w:sz w:val="32"/>
          <w:szCs w:val="32"/>
        </w:rPr>
        <w:t>（二）</w:t>
      </w:r>
      <w:r>
        <w:rPr>
          <w:rFonts w:hint="eastAsia" w:ascii="仿宋_GB2312" w:eastAsia="仿宋_GB2312"/>
          <w:color w:val="auto"/>
          <w:sz w:val="32"/>
          <w:szCs w:val="32"/>
          <w:lang w:val="en-US" w:eastAsia="zh-CN"/>
        </w:rPr>
        <w:t>按照</w:t>
      </w:r>
      <w:r>
        <w:rPr>
          <w:rFonts w:hint="eastAsia" w:ascii="仿宋_GB2312" w:eastAsia="仿宋_GB2312"/>
          <w:color w:val="auto"/>
          <w:sz w:val="32"/>
          <w:szCs w:val="32"/>
          <w:lang w:eastAsia="zh-CN"/>
        </w:rPr>
        <w:t>广东省</w:t>
      </w:r>
      <w:r>
        <w:rPr>
          <w:rFonts w:hint="eastAsia" w:ascii="仿宋_GB2312" w:eastAsia="仿宋_GB2312"/>
          <w:color w:val="auto"/>
          <w:sz w:val="32"/>
          <w:szCs w:val="32"/>
        </w:rPr>
        <w:t>《固定污染源挥发性有机物综合排放标准》（DB44</w:t>
      </w:r>
      <w:r>
        <w:rPr>
          <w:rFonts w:hint="eastAsia" w:ascii="仿宋_GB2312" w:eastAsia="仿宋_GB2312"/>
          <w:color w:val="auto"/>
          <w:sz w:val="32"/>
          <w:szCs w:val="32"/>
          <w:lang w:val="en-US" w:eastAsia="zh-CN"/>
        </w:rPr>
        <w:t>/</w:t>
      </w:r>
      <w:r>
        <w:rPr>
          <w:rFonts w:hint="eastAsia" w:ascii="仿宋_GB2312" w:eastAsia="仿宋_GB2312"/>
          <w:color w:val="auto"/>
          <w:sz w:val="32"/>
          <w:szCs w:val="32"/>
        </w:rPr>
        <w:t>2367-2022）的无组织排放控制要求落实相关措施</w:t>
      </w:r>
      <w:r>
        <w:rPr>
          <w:rFonts w:hint="eastAsia" w:ascii="仿宋_GB2312" w:eastAsia="仿宋_GB2312"/>
          <w:color w:val="auto"/>
          <w:sz w:val="32"/>
          <w:szCs w:val="32"/>
          <w:lang w:eastAsia="zh-CN"/>
        </w:rPr>
        <w:t>。端子焊接废气、镭雕废气、点胶废气、注塑废气和封边废气经整室收集后通过一套“过滤棉+两级活性炭吸附装置”处理后</w:t>
      </w:r>
      <w:r>
        <w:rPr>
          <w:rFonts w:hint="eastAsia" w:ascii="仿宋_GB2312" w:eastAsia="仿宋_GB2312"/>
          <w:color w:val="auto"/>
          <w:sz w:val="32"/>
          <w:szCs w:val="32"/>
          <w:lang w:val="en-US" w:eastAsia="zh-CN"/>
        </w:rPr>
        <w:t>引至所在建筑物楼顶高空</w:t>
      </w:r>
      <w:r>
        <w:rPr>
          <w:rFonts w:hint="eastAsia" w:ascii="仿宋_GB2312" w:eastAsia="仿宋_GB2312"/>
          <w:color w:val="auto"/>
          <w:sz w:val="32"/>
          <w:szCs w:val="32"/>
        </w:rPr>
        <w:t>排放，项目设置废气排放口</w:t>
      </w:r>
      <w:r>
        <w:rPr>
          <w:rFonts w:hint="eastAsia" w:ascii="仿宋_GB2312" w:eastAsia="仿宋_GB2312"/>
          <w:color w:val="auto"/>
          <w:sz w:val="32"/>
          <w:szCs w:val="32"/>
          <w:lang w:val="en-US" w:eastAsia="zh-CN"/>
        </w:rPr>
        <w:t>1</w:t>
      </w:r>
      <w:r>
        <w:rPr>
          <w:rFonts w:hint="eastAsia" w:ascii="仿宋_GB2312" w:eastAsia="仿宋_GB2312"/>
          <w:color w:val="auto"/>
          <w:sz w:val="32"/>
          <w:szCs w:val="32"/>
        </w:rPr>
        <w:t>个。</w:t>
      </w:r>
    </w:p>
    <w:p w14:paraId="148AB73A">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hAnsi="仿宋_GB2312" w:eastAsia="仿宋_GB2312" w:cs="仿宋_GB2312"/>
          <w:color w:val="auto"/>
          <w:sz w:val="32"/>
          <w:szCs w:val="32"/>
        </w:rPr>
        <w:t>加强</w:t>
      </w:r>
      <w:r>
        <w:rPr>
          <w:rFonts w:hint="eastAsia" w:ascii="仿宋_GB2312" w:eastAsia="仿宋_GB2312"/>
          <w:color w:val="auto"/>
          <w:sz w:val="32"/>
          <w:szCs w:val="32"/>
        </w:rPr>
        <w:t>车间边界</w:t>
      </w:r>
      <w:r>
        <w:rPr>
          <w:rFonts w:hint="eastAsia" w:ascii="仿宋_GB2312" w:hAnsi="仿宋_GB2312" w:eastAsia="仿宋_GB2312" w:cs="仿宋_GB2312"/>
          <w:color w:val="auto"/>
          <w:sz w:val="32"/>
          <w:szCs w:val="32"/>
        </w:rPr>
        <w:t>无组织</w:t>
      </w:r>
      <w:r>
        <w:rPr>
          <w:rFonts w:hint="eastAsia" w:ascii="仿宋_GB2312" w:hAnsi="仿宋_GB2312" w:eastAsia="仿宋_GB2312" w:cs="仿宋_GB2312"/>
          <w:color w:val="auto"/>
          <w:sz w:val="32"/>
          <w:szCs w:val="32"/>
          <w:lang w:eastAsia="zh-CN"/>
        </w:rPr>
        <w:t>排放</w:t>
      </w:r>
      <w:r>
        <w:rPr>
          <w:rFonts w:hint="eastAsia" w:ascii="仿宋_GB2312" w:hAnsi="仿宋_GB2312" w:eastAsia="仿宋_GB2312" w:cs="仿宋_GB2312"/>
          <w:color w:val="auto"/>
          <w:sz w:val="32"/>
          <w:szCs w:val="32"/>
        </w:rPr>
        <w:t>废气的监控，确保</w:t>
      </w:r>
      <w:r>
        <w:rPr>
          <w:rFonts w:hint="eastAsia" w:ascii="仿宋_GB2312" w:eastAsia="仿宋_GB2312"/>
          <w:color w:val="auto"/>
          <w:sz w:val="32"/>
          <w:szCs w:val="32"/>
        </w:rPr>
        <w:t>车间边界</w:t>
      </w:r>
      <w:r>
        <w:rPr>
          <w:rFonts w:hint="eastAsia" w:ascii="仿宋_GB2312" w:hAnsi="仿宋_GB2312" w:eastAsia="仿宋_GB2312" w:cs="仿宋_GB2312"/>
          <w:color w:val="auto"/>
          <w:sz w:val="32"/>
          <w:szCs w:val="32"/>
        </w:rPr>
        <w:t>无组织</w:t>
      </w:r>
      <w:r>
        <w:rPr>
          <w:rFonts w:hint="eastAsia" w:ascii="仿宋_GB2312" w:hAnsi="仿宋_GB2312" w:eastAsia="仿宋_GB2312" w:cs="仿宋_GB2312"/>
          <w:color w:val="auto"/>
          <w:sz w:val="32"/>
          <w:szCs w:val="32"/>
          <w:lang w:eastAsia="zh-CN"/>
        </w:rPr>
        <w:t>排放</w:t>
      </w:r>
      <w:r>
        <w:rPr>
          <w:rFonts w:hint="eastAsia" w:ascii="仿宋_GB2312" w:hAnsi="仿宋_GB2312" w:eastAsia="仿宋_GB2312" w:cs="仿宋_GB2312"/>
          <w:color w:val="auto"/>
          <w:sz w:val="32"/>
          <w:szCs w:val="32"/>
        </w:rPr>
        <w:t>监控点的废气达到相应标准限值的要求，监测超标时应</w:t>
      </w:r>
      <w:r>
        <w:rPr>
          <w:rFonts w:hint="eastAsia" w:ascii="仿宋_GB2312" w:hAnsi="仿宋_GB2312" w:eastAsia="仿宋_GB2312" w:cs="仿宋_GB2312"/>
          <w:color w:val="auto"/>
          <w:sz w:val="32"/>
          <w:szCs w:val="32"/>
          <w:lang w:eastAsia="zh-CN"/>
        </w:rPr>
        <w:t>加强</w:t>
      </w:r>
      <w:r>
        <w:rPr>
          <w:rFonts w:hint="eastAsia" w:ascii="仿宋_GB2312" w:hAnsi="仿宋_GB2312" w:eastAsia="仿宋_GB2312" w:cs="仿宋_GB2312"/>
          <w:color w:val="auto"/>
          <w:sz w:val="32"/>
          <w:szCs w:val="32"/>
        </w:rPr>
        <w:t>对无组织排放废气进行收集、净化处理。</w:t>
      </w:r>
    </w:p>
    <w:p w14:paraId="089C39E3">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（三）选用低噪声设备，合理布设生产车间，对噪声源采取隔声、减振等措施，定期检修设备。</w:t>
      </w:r>
    </w:p>
    <w:p w14:paraId="0A6372C0">
      <w:pPr>
        <w:keepNext w:val="0"/>
        <w:keepLines w:val="0"/>
        <w:pageBreakBefore w:val="0"/>
        <w:kinsoku/>
        <w:overflowPunct/>
        <w:topLinePunct w:val="0"/>
        <w:autoSpaceDE/>
        <w:autoSpaceDN/>
        <w:bidi w:val="0"/>
        <w:spacing w:line="560" w:lineRule="exact"/>
        <w:ind w:firstLine="640" w:firstLineChars="200"/>
        <w:textAlignment w:val="auto"/>
        <w:rPr>
          <w:rFonts w:hint="eastAsia" w:ascii="仿宋_GB2312" w:eastAsia="仿宋_GB2312"/>
          <w:color w:val="auto"/>
          <w:sz w:val="32"/>
          <w:szCs w:val="32"/>
          <w:lang w:eastAsia="zh-CN"/>
        </w:rPr>
      </w:pPr>
      <w:r>
        <w:rPr>
          <w:rFonts w:hint="eastAsia" w:ascii="仿宋_GB2312" w:eastAsia="仿宋_GB2312"/>
          <w:color w:val="auto"/>
          <w:sz w:val="32"/>
          <w:szCs w:val="32"/>
        </w:rPr>
        <w:t>（四）</w:t>
      </w:r>
      <w:r>
        <w:rPr>
          <w:rFonts w:hint="eastAsia" w:ascii="仿宋_GB2312" w:eastAsia="仿宋_GB2312"/>
          <w:color w:val="auto"/>
          <w:sz w:val="32"/>
          <w:szCs w:val="32"/>
          <w:lang w:val="en-US" w:eastAsia="zh-CN"/>
        </w:rPr>
        <w:t>废电路</w:t>
      </w:r>
      <w:r>
        <w:rPr>
          <w:rFonts w:hint="eastAsia" w:ascii="仿宋_GB2312" w:eastAsia="仿宋_GB2312"/>
          <w:color w:val="auto"/>
          <w:sz w:val="32"/>
          <w:szCs w:val="32"/>
        </w:rPr>
        <w:t>板、废机油、废机油桶、含油废抹布、废活性炭、废过滤棉等危险废物须设置符合《危险废物贮存污染控制标准》（GB18597-20</w:t>
      </w:r>
      <w:r>
        <w:rPr>
          <w:rFonts w:hint="eastAsia" w:ascii="仿宋_GB2312" w:eastAsia="仿宋_GB2312"/>
          <w:color w:val="auto"/>
          <w:sz w:val="32"/>
          <w:szCs w:val="32"/>
          <w:lang w:val="en-US" w:eastAsia="zh-CN"/>
        </w:rPr>
        <w:t>23</w:t>
      </w:r>
      <w:r>
        <w:rPr>
          <w:rFonts w:hint="eastAsia" w:ascii="仿宋_GB2312" w:eastAsia="仿宋_GB2312"/>
          <w:color w:val="auto"/>
          <w:sz w:val="32"/>
          <w:szCs w:val="32"/>
        </w:rPr>
        <w:t>）要求的专用贮存场所存放并委托具备危险废物处理资质的机构处理。</w:t>
      </w:r>
    </w:p>
    <w:p w14:paraId="73B05BF2">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四、该项目的性质、规模、地点、采用的生产工艺或者防治污染、防止生态破坏的措施发生重大变动的，你单位应当重新报批环境影响评价文件。</w:t>
      </w:r>
    </w:p>
    <w:p w14:paraId="75E76E29">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五、自《报告表》批准之日起超过五年，方决定该项目开工建设的，《报告表》应当在开工建设前报我局重新审核。未经我局重新审核同意的，不得擅自开工建设。</w:t>
      </w:r>
    </w:p>
    <w:p w14:paraId="6FF04D60">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六、该项目建设应严格执行配套建设的环境保护设施与主体工程同时设计、同时施工、同时投产使用的环境保护“三同时”制度，具体要求如下：</w:t>
      </w:r>
    </w:p>
    <w:p w14:paraId="085CFB9D">
      <w:pPr>
        <w:keepNext w:val="0"/>
        <w:keepLines w:val="0"/>
        <w:pageBreakBefore w:val="0"/>
        <w:widowControl/>
        <w:tabs>
          <w:tab w:val="left" w:pos="1418"/>
        </w:tabs>
        <w:kinsoku/>
        <w:overflowPunct/>
        <w:topLinePunct w:val="0"/>
        <w:autoSpaceDE/>
        <w:autoSpaceDN/>
        <w:bidi w:val="0"/>
        <w:spacing w:line="560" w:lineRule="exact"/>
        <w:ind w:firstLine="640"/>
        <w:textAlignment w:val="auto"/>
        <w:rPr>
          <w:rFonts w:hint="eastAsia" w:ascii="仿宋_GB2312" w:eastAsia="仿宋_GB2312"/>
          <w:color w:val="auto"/>
          <w:sz w:val="32"/>
          <w:szCs w:val="32"/>
        </w:rPr>
      </w:pPr>
      <w:r>
        <w:rPr>
          <w:rFonts w:hint="eastAsia" w:ascii="仿宋_GB2312" w:eastAsia="仿宋_GB2312"/>
          <w:color w:val="auto"/>
          <w:sz w:val="32"/>
          <w:szCs w:val="32"/>
        </w:rPr>
        <w:t>（一）项目竣工后，你单位应按规定申请取得排污许可证或填报排污登记表，并按照规定的标准、程序和时限，对配套建设的环境保护设施进行验收，编制验收报告，依法向社会公开。</w:t>
      </w:r>
    </w:p>
    <w:p w14:paraId="49DAD142">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（二）项目配套建设的环境保护设施经验收合格后，方可投入生产或者使用。</w:t>
      </w:r>
    </w:p>
    <w:p w14:paraId="3564EFEA">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七、该项目建设和运行过程中如涉及规划、土地利用、建设、水务、消防、安全等问题，应遵照相关法律法规要求到相应的行政主管部门办理有关手续。</w:t>
      </w:r>
    </w:p>
    <w:p w14:paraId="59C5D8D3">
      <w:pPr>
        <w:pStyle w:val="18"/>
        <w:ind w:firstLine="636"/>
        <w:rPr>
          <w:rFonts w:hint="eastAsia" w:eastAsia="仿宋_GB2312"/>
          <w:color w:val="auto"/>
          <w:sz w:val="32"/>
          <w:szCs w:val="32"/>
        </w:rPr>
      </w:pPr>
      <w:r>
        <w:rPr>
          <w:rFonts w:hint="eastAsia" w:ascii="仿宋_GB2312" w:eastAsia="仿宋_GB2312"/>
          <w:color w:val="auto"/>
          <w:sz w:val="32"/>
          <w:szCs w:val="32"/>
        </w:rPr>
        <w:t>八、</w:t>
      </w:r>
      <w:r>
        <w:rPr>
          <w:rFonts w:hint="eastAsia" w:ascii="仿宋_GB2312" w:hAnsi="仿宋" w:eastAsia="仿宋_GB2312"/>
          <w:color w:val="auto"/>
          <w:sz w:val="32"/>
        </w:rPr>
        <w:t>当事人如不服本决定，可在收到文书之日起60日内向广州市人民政府行政复议机构广州市政府行政复议办公室窗口（地址：广州市越秀区小北路183号金和大厦2楼，电话：020-83555988）提出行政复议申请；或者在收到文书之日起6个月内直接向广州铁路运输法院提起行政诉讼。申请行政复议或提起行政诉讼的，不停止本决定的执行。</w:t>
      </w:r>
    </w:p>
    <w:p w14:paraId="0A04E271">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p>
    <w:p w14:paraId="2799DFF0">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p>
    <w:p w14:paraId="60D15471">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p>
    <w:p w14:paraId="7E90A0C7">
      <w:pPr>
        <w:keepNext w:val="0"/>
        <w:keepLines w:val="0"/>
        <w:pageBreakBefore w:val="0"/>
        <w:kinsoku/>
        <w:overflowPunct/>
        <w:topLinePunct w:val="0"/>
        <w:autoSpaceDE/>
        <w:autoSpaceDN/>
        <w:bidi w:val="0"/>
        <w:spacing w:line="560" w:lineRule="exact"/>
        <w:jc w:val="center"/>
        <w:textAlignment w:val="auto"/>
        <w:rPr>
          <w:rFonts w:ascii="仿宋_GB2312" w:eastAsia="仿宋_GB2312"/>
          <w:color w:val="auto"/>
          <w:sz w:val="32"/>
          <w:szCs w:val="32"/>
        </w:rPr>
      </w:pPr>
      <w:r>
        <w:rPr>
          <w:rFonts w:hint="eastAsia" w:ascii="仿宋_GB2312" w:eastAsia="仿宋_GB2312"/>
          <w:color w:val="auto"/>
          <w:sz w:val="32"/>
          <w:szCs w:val="32"/>
        </w:rPr>
        <w:t xml:space="preserve">                        广州市生态环境局</w:t>
      </w:r>
    </w:p>
    <w:p w14:paraId="7BC6E7C2">
      <w:pPr>
        <w:keepNext w:val="0"/>
        <w:keepLines w:val="0"/>
        <w:pageBreakBefore w:val="0"/>
        <w:kinsoku/>
        <w:overflowPunct/>
        <w:topLinePunct w:val="0"/>
        <w:autoSpaceDE/>
        <w:autoSpaceDN/>
        <w:bidi w:val="0"/>
        <w:spacing w:line="560" w:lineRule="exact"/>
        <w:ind w:right="4" w:rightChars="0" w:firstLine="5120" w:firstLineChars="1600"/>
        <w:textAlignment w:val="auto"/>
        <w:rPr>
          <w:rFonts w:ascii="仿宋_GB2312" w:eastAsia="仿宋_GB2312"/>
          <w:color w:val="auto"/>
          <w:sz w:val="32"/>
          <w:szCs w:val="32"/>
        </w:rPr>
      </w:pPr>
      <w:r>
        <w:rPr>
          <w:rFonts w:hint="eastAsia" w:ascii="仿宋_GB2312" w:eastAsia="仿宋_GB2312"/>
          <w:color w:val="auto"/>
          <w:sz w:val="32"/>
          <w:szCs w:val="32"/>
        </w:rPr>
        <w:t>20</w:t>
      </w:r>
      <w:r>
        <w:rPr>
          <w:rFonts w:hint="eastAsia" w:ascii="仿宋_GB2312" w:eastAsia="仿宋_GB2312"/>
          <w:color w:val="auto"/>
          <w:sz w:val="32"/>
          <w:szCs w:val="32"/>
          <w:lang w:val="en-US" w:eastAsia="zh-CN"/>
        </w:rPr>
        <w:t>25</w:t>
      </w:r>
      <w:r>
        <w:rPr>
          <w:rFonts w:hint="eastAsia" w:ascii="仿宋_GB2312" w:eastAsia="仿宋_GB2312"/>
          <w:color w:val="auto"/>
          <w:sz w:val="32"/>
          <w:szCs w:val="32"/>
        </w:rPr>
        <w:t>年</w:t>
      </w:r>
      <w:r>
        <w:rPr>
          <w:rFonts w:hint="eastAsia" w:ascii="仿宋_GB2312" w:eastAsia="仿宋_GB2312"/>
          <w:color w:val="auto"/>
          <w:sz w:val="32"/>
          <w:szCs w:val="32"/>
          <w:lang w:val="en-US" w:eastAsia="zh-CN"/>
        </w:rPr>
        <w:t>8</w:t>
      </w:r>
      <w:r>
        <w:rPr>
          <w:rFonts w:hint="eastAsia" w:ascii="仿宋_GB2312" w:eastAsia="仿宋_GB2312"/>
          <w:color w:val="auto"/>
          <w:sz w:val="32"/>
          <w:szCs w:val="32"/>
        </w:rPr>
        <w:t>月</w:t>
      </w:r>
      <w:r>
        <w:rPr>
          <w:rFonts w:hint="eastAsia" w:ascii="仿宋_GB2312" w:eastAsia="仿宋_GB2312"/>
          <w:color w:val="auto"/>
          <w:sz w:val="32"/>
          <w:szCs w:val="32"/>
          <w:lang w:val="en-US" w:eastAsia="zh-CN"/>
        </w:rPr>
        <w:t>1</w:t>
      </w:r>
      <w:r>
        <w:rPr>
          <w:rFonts w:hint="eastAsia" w:ascii="仿宋_GB2312" w:eastAsia="仿宋_GB2312"/>
          <w:color w:val="auto"/>
          <w:sz w:val="32"/>
          <w:szCs w:val="32"/>
        </w:rPr>
        <w:t>日</w:t>
      </w:r>
    </w:p>
    <w:p w14:paraId="372AA674">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p>
    <w:p w14:paraId="4B5413A7">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p>
    <w:p w14:paraId="326EB5F5">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p>
    <w:p w14:paraId="0CCA8466">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r>
        <w:rPr>
          <w:rFonts w:hint="eastAsia" w:ascii="黑体" w:eastAsia="黑体"/>
          <w:color w:val="auto"/>
          <w:sz w:val="32"/>
          <w:szCs w:val="32"/>
        </w:rPr>
        <w:t>公开方式：</w:t>
      </w:r>
      <w:r>
        <w:rPr>
          <w:rFonts w:hint="eastAsia" w:ascii="仿宋_GB2312" w:eastAsia="仿宋_GB2312"/>
          <w:color w:val="auto"/>
          <w:sz w:val="32"/>
          <w:szCs w:val="32"/>
        </w:rPr>
        <w:t>主动公开</w:t>
      </w:r>
    </w:p>
    <w:p w14:paraId="22184C5B">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p>
    <w:p w14:paraId="6452DAE3">
      <w:pPr>
        <w:keepNext w:val="0"/>
        <w:keepLines w:val="0"/>
        <w:pageBreakBefore w:val="0"/>
        <w:kinsoku/>
        <w:overflowPunct/>
        <w:topLinePunct w:val="0"/>
        <w:autoSpaceDE/>
        <w:autoSpaceDN/>
        <w:bidi w:val="0"/>
        <w:spacing w:line="560" w:lineRule="exact"/>
        <w:ind w:left="1133" w:leftChars="201" w:hanging="711" w:hangingChars="254"/>
        <w:textAlignment w:val="auto"/>
        <w:rPr>
          <w:rFonts w:ascii="仿宋_GB2312" w:eastAsia="仿宋_GB2312"/>
          <w:color w:val="auto"/>
          <w:sz w:val="28"/>
          <w:szCs w:val="28"/>
        </w:rPr>
      </w:pPr>
      <w:r>
        <w:rPr>
          <w:rFonts w:hint="eastAsia" w:ascii="仿宋_GB2312" w:eastAsia="仿宋_GB2312"/>
          <w:color w:val="auto"/>
          <w:sz w:val="28"/>
          <w:szCs w:val="28"/>
        </w:rPr>
        <w:t>抄送：</w:t>
      </w:r>
      <w:bookmarkStart w:id="0" w:name="_GoBack"/>
      <w:r>
        <w:rPr>
          <w:rFonts w:hint="eastAsia" w:ascii="仿宋_GB2312" w:eastAsia="仿宋_GB2312"/>
          <w:color w:val="auto"/>
          <w:sz w:val="28"/>
          <w:szCs w:val="28"/>
        </w:rPr>
        <w:t>广州市生态环境局番禺分局执法</w:t>
      </w:r>
      <w:r>
        <w:rPr>
          <w:rFonts w:hint="eastAsia" w:ascii="仿宋_GB2312" w:eastAsia="仿宋_GB2312"/>
          <w:color w:val="auto"/>
          <w:sz w:val="32"/>
          <w:szCs w:val="32"/>
          <w:lang w:val="en-US" w:eastAsia="zh-CN"/>
        </w:rPr>
        <w:t>三</w:t>
      </w:r>
      <w:r>
        <w:rPr>
          <w:rFonts w:hint="eastAsia" w:ascii="仿宋_GB2312" w:eastAsia="仿宋_GB2312"/>
          <w:color w:val="auto"/>
          <w:sz w:val="28"/>
          <w:szCs w:val="28"/>
        </w:rPr>
        <w:t>科、</w:t>
      </w:r>
      <w:r>
        <w:rPr>
          <w:rFonts w:hint="eastAsia" w:ascii="仿宋_GB2312" w:eastAsia="仿宋_GB2312"/>
          <w:color w:val="auto"/>
          <w:sz w:val="28"/>
          <w:szCs w:val="28"/>
          <w:lang w:eastAsia="zh-CN"/>
        </w:rPr>
        <w:t>番禺</w:t>
      </w:r>
      <w:r>
        <w:rPr>
          <w:rFonts w:hint="eastAsia" w:ascii="仿宋_GB2312" w:eastAsia="仿宋_GB2312"/>
          <w:color w:val="auto"/>
          <w:sz w:val="28"/>
          <w:szCs w:val="28"/>
        </w:rPr>
        <w:t>第</w:t>
      </w:r>
      <w:r>
        <w:rPr>
          <w:rFonts w:hint="eastAsia" w:ascii="仿宋_GB2312" w:eastAsia="仿宋_GB2312"/>
          <w:color w:val="auto"/>
          <w:sz w:val="32"/>
          <w:szCs w:val="32"/>
          <w:lang w:val="en-US" w:eastAsia="zh-CN"/>
        </w:rPr>
        <w:t>三</w:t>
      </w:r>
      <w:r>
        <w:rPr>
          <w:rFonts w:hint="eastAsia" w:ascii="仿宋_GB2312" w:eastAsia="仿宋_GB2312"/>
          <w:color w:val="auto"/>
          <w:sz w:val="28"/>
          <w:szCs w:val="28"/>
        </w:rPr>
        <w:t>环保所，广州科绿环保科技有限公司</w:t>
      </w:r>
      <w:bookmarkEnd w:id="0"/>
      <w:r>
        <w:rPr>
          <w:rFonts w:hint="eastAsia" w:ascii="仿宋_GB2312" w:eastAsia="仿宋_GB2312"/>
          <w:color w:val="auto"/>
          <w:sz w:val="28"/>
          <w:szCs w:val="28"/>
        </w:rPr>
        <w:t>。</w:t>
      </w:r>
    </w:p>
    <w:sectPr>
      <w:footerReference r:id="rId3" w:type="default"/>
      <w:footerReference r:id="rId4" w:type="even"/>
      <w:pgSz w:w="11906" w:h="16838"/>
      <w:pgMar w:top="1588" w:right="1474" w:bottom="1134" w:left="1588" w:header="851" w:footer="624" w:gutter="0"/>
      <w:cols w:space="425" w:num="1"/>
      <w:titlePg/>
      <w:docGrid w:type="lines" w:linePitch="613" w:charSpace="2167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02"/>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公文小标宋简">
    <w:altName w:val="微软雅黑"/>
    <w:panose1 w:val="02010609010101010101"/>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882500">
    <w:pPr>
      <w:pStyle w:val="4"/>
      <w:framePr w:wrap="around" w:vAnchor="text" w:hAnchor="margin" w:xAlign="outside" w:y="1"/>
      <w:rPr>
        <w:rStyle w:val="9"/>
        <w:rFonts w:ascii="宋体" w:hAnsi="宋体"/>
        <w:sz w:val="28"/>
        <w:szCs w:val="28"/>
      </w:rPr>
    </w:pPr>
    <w:r>
      <w:rPr>
        <w:rStyle w:val="9"/>
        <w:rFonts w:hint="eastAsia" w:ascii="宋体" w:hAnsi="宋体"/>
        <w:sz w:val="28"/>
        <w:szCs w:val="28"/>
      </w:rPr>
      <w:t xml:space="preserve">— </w:t>
    </w:r>
    <w:r>
      <w:rPr>
        <w:rStyle w:val="9"/>
        <w:rFonts w:ascii="宋体" w:hAnsi="宋体"/>
        <w:sz w:val="28"/>
        <w:szCs w:val="28"/>
      </w:rPr>
      <w:fldChar w:fldCharType="begin"/>
    </w:r>
    <w:r>
      <w:rPr>
        <w:rStyle w:val="9"/>
        <w:rFonts w:ascii="宋体" w:hAnsi="宋体"/>
        <w:sz w:val="28"/>
        <w:szCs w:val="28"/>
      </w:rPr>
      <w:instrText xml:space="preserve">PAGE  </w:instrText>
    </w:r>
    <w:r>
      <w:rPr>
        <w:rStyle w:val="9"/>
        <w:rFonts w:ascii="宋体" w:hAnsi="宋体"/>
        <w:sz w:val="28"/>
        <w:szCs w:val="28"/>
      </w:rPr>
      <w:fldChar w:fldCharType="separate"/>
    </w:r>
    <w:r>
      <w:rPr>
        <w:rStyle w:val="9"/>
        <w:rFonts w:ascii="宋体" w:hAnsi="宋体"/>
        <w:sz w:val="28"/>
        <w:szCs w:val="28"/>
      </w:rPr>
      <w:t>3</w:t>
    </w:r>
    <w:r>
      <w:rPr>
        <w:rStyle w:val="9"/>
        <w:rFonts w:ascii="宋体" w:hAnsi="宋体"/>
        <w:sz w:val="28"/>
        <w:szCs w:val="28"/>
      </w:rPr>
      <w:fldChar w:fldCharType="end"/>
    </w:r>
    <w:r>
      <w:rPr>
        <w:rStyle w:val="9"/>
        <w:rFonts w:hint="eastAsia" w:ascii="宋体" w:hAnsi="宋体"/>
        <w:sz w:val="28"/>
        <w:szCs w:val="28"/>
      </w:rPr>
      <w:t xml:space="preserve"> —</w:t>
    </w:r>
  </w:p>
  <w:p w14:paraId="2C3B46C2">
    <w:pPr>
      <w:pStyle w:val="4"/>
      <w:ind w:right="360" w:firstLine="360"/>
      <w:jc w:val="center"/>
      <w:rPr>
        <w:rFonts w:ascii="Times New Roman" w:hAnsi="Times New Roman"/>
        <w:sz w:val="28"/>
        <w:szCs w:val="28"/>
      </w:rPr>
    </w:pPr>
  </w:p>
  <w:p w14:paraId="1F0202FA">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3CDDBE">
    <w:pPr>
      <w:pStyle w:val="4"/>
      <w:framePr w:wrap="around" w:vAnchor="text" w:hAnchor="margin" w:xAlign="outside" w:y="1"/>
      <w:rPr>
        <w:rStyle w:val="9"/>
      </w:rPr>
    </w:pPr>
    <w:r>
      <w:rPr>
        <w:rStyle w:val="9"/>
      </w:rPr>
      <w:fldChar w:fldCharType="begin"/>
    </w:r>
    <w:r>
      <w:rPr>
        <w:rStyle w:val="9"/>
      </w:rPr>
      <w:instrText xml:space="preserve">PAGE  </w:instrText>
    </w:r>
    <w:r>
      <w:rPr>
        <w:rStyle w:val="9"/>
      </w:rPr>
      <w:fldChar w:fldCharType="end"/>
    </w:r>
  </w:p>
  <w:p w14:paraId="75A86EC9">
    <w:pPr>
      <w:pStyle w:val="4"/>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attachedTemplate r:id="rId1"/>
  <w:documentProtection w:enforcement="0"/>
  <w:defaultTabStop w:val="420"/>
  <w:drawingGridHorizontalSpacing w:val="158"/>
  <w:drawingGridVerticalSpacing w:val="613"/>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E2ZGFmMGVmYWFiODk5YTFiNTc2ZWNlODI1MTcyOTMifQ=="/>
  </w:docVars>
  <w:rsids>
    <w:rsidRoot w:val="000F2DCB"/>
    <w:rsid w:val="00001C85"/>
    <w:rsid w:val="00003EFB"/>
    <w:rsid w:val="00047670"/>
    <w:rsid w:val="00067C13"/>
    <w:rsid w:val="00082A5C"/>
    <w:rsid w:val="000832FD"/>
    <w:rsid w:val="000852F9"/>
    <w:rsid w:val="00090CE7"/>
    <w:rsid w:val="00097289"/>
    <w:rsid w:val="000A03AB"/>
    <w:rsid w:val="000B070F"/>
    <w:rsid w:val="000C18A8"/>
    <w:rsid w:val="000C301C"/>
    <w:rsid w:val="000C3889"/>
    <w:rsid w:val="000C3ADC"/>
    <w:rsid w:val="000C3CB8"/>
    <w:rsid w:val="000D6A43"/>
    <w:rsid w:val="000F2DCB"/>
    <w:rsid w:val="00104C9C"/>
    <w:rsid w:val="0012593F"/>
    <w:rsid w:val="00145974"/>
    <w:rsid w:val="00163612"/>
    <w:rsid w:val="00173803"/>
    <w:rsid w:val="00185235"/>
    <w:rsid w:val="001C347F"/>
    <w:rsid w:val="001E17DB"/>
    <w:rsid w:val="001F12B9"/>
    <w:rsid w:val="001F60AA"/>
    <w:rsid w:val="001F7ECF"/>
    <w:rsid w:val="00207F01"/>
    <w:rsid w:val="00212861"/>
    <w:rsid w:val="00212DD9"/>
    <w:rsid w:val="00214473"/>
    <w:rsid w:val="00225893"/>
    <w:rsid w:val="002513F3"/>
    <w:rsid w:val="0027017E"/>
    <w:rsid w:val="0027079B"/>
    <w:rsid w:val="00283EC7"/>
    <w:rsid w:val="002840F5"/>
    <w:rsid w:val="00290A95"/>
    <w:rsid w:val="002915FD"/>
    <w:rsid w:val="002A78A2"/>
    <w:rsid w:val="002B3756"/>
    <w:rsid w:val="002C0C0E"/>
    <w:rsid w:val="002C13BB"/>
    <w:rsid w:val="002D01F1"/>
    <w:rsid w:val="002D6E72"/>
    <w:rsid w:val="002D73CB"/>
    <w:rsid w:val="002F222A"/>
    <w:rsid w:val="003016C4"/>
    <w:rsid w:val="00310275"/>
    <w:rsid w:val="00323D70"/>
    <w:rsid w:val="003275AA"/>
    <w:rsid w:val="00334F3A"/>
    <w:rsid w:val="0035299E"/>
    <w:rsid w:val="003551D8"/>
    <w:rsid w:val="003804CF"/>
    <w:rsid w:val="00396136"/>
    <w:rsid w:val="003A396F"/>
    <w:rsid w:val="003D6927"/>
    <w:rsid w:val="003E6957"/>
    <w:rsid w:val="003F0936"/>
    <w:rsid w:val="003F0E80"/>
    <w:rsid w:val="003F1D2D"/>
    <w:rsid w:val="0042675C"/>
    <w:rsid w:val="004366AD"/>
    <w:rsid w:val="00436E68"/>
    <w:rsid w:val="004422C8"/>
    <w:rsid w:val="00446DB5"/>
    <w:rsid w:val="00464587"/>
    <w:rsid w:val="00466E9D"/>
    <w:rsid w:val="0047490D"/>
    <w:rsid w:val="004A38CF"/>
    <w:rsid w:val="004A62BA"/>
    <w:rsid w:val="004B3994"/>
    <w:rsid w:val="004B3A73"/>
    <w:rsid w:val="004C5EFD"/>
    <w:rsid w:val="004C6230"/>
    <w:rsid w:val="004D0859"/>
    <w:rsid w:val="004D4458"/>
    <w:rsid w:val="004D586D"/>
    <w:rsid w:val="004E13C9"/>
    <w:rsid w:val="004E567A"/>
    <w:rsid w:val="00501F40"/>
    <w:rsid w:val="00511456"/>
    <w:rsid w:val="00521A96"/>
    <w:rsid w:val="00527C59"/>
    <w:rsid w:val="0053095F"/>
    <w:rsid w:val="0053590B"/>
    <w:rsid w:val="00562DAC"/>
    <w:rsid w:val="00564EB8"/>
    <w:rsid w:val="0059052A"/>
    <w:rsid w:val="005A149B"/>
    <w:rsid w:val="005B12AD"/>
    <w:rsid w:val="005B60C8"/>
    <w:rsid w:val="005B6D04"/>
    <w:rsid w:val="005C24D6"/>
    <w:rsid w:val="005C69AB"/>
    <w:rsid w:val="005D060E"/>
    <w:rsid w:val="005E3B4A"/>
    <w:rsid w:val="005E49C1"/>
    <w:rsid w:val="005F76D5"/>
    <w:rsid w:val="0062245C"/>
    <w:rsid w:val="00635EAB"/>
    <w:rsid w:val="00640DE7"/>
    <w:rsid w:val="00641192"/>
    <w:rsid w:val="006576FA"/>
    <w:rsid w:val="00677228"/>
    <w:rsid w:val="00693BD5"/>
    <w:rsid w:val="006A28F5"/>
    <w:rsid w:val="006A6965"/>
    <w:rsid w:val="006B2BAD"/>
    <w:rsid w:val="006D0170"/>
    <w:rsid w:val="006D7C57"/>
    <w:rsid w:val="006E5889"/>
    <w:rsid w:val="006F049D"/>
    <w:rsid w:val="006F15BA"/>
    <w:rsid w:val="006F18AD"/>
    <w:rsid w:val="006F29B5"/>
    <w:rsid w:val="00707832"/>
    <w:rsid w:val="007158E4"/>
    <w:rsid w:val="00716C4E"/>
    <w:rsid w:val="00730C65"/>
    <w:rsid w:val="00740ADC"/>
    <w:rsid w:val="007443DC"/>
    <w:rsid w:val="00750DBF"/>
    <w:rsid w:val="00753DD4"/>
    <w:rsid w:val="00753DDF"/>
    <w:rsid w:val="0077498B"/>
    <w:rsid w:val="007847A3"/>
    <w:rsid w:val="00786866"/>
    <w:rsid w:val="007B29D0"/>
    <w:rsid w:val="007B438D"/>
    <w:rsid w:val="007B5088"/>
    <w:rsid w:val="007C55F7"/>
    <w:rsid w:val="007C5CB3"/>
    <w:rsid w:val="00802F15"/>
    <w:rsid w:val="008170AC"/>
    <w:rsid w:val="008372CA"/>
    <w:rsid w:val="00860EEE"/>
    <w:rsid w:val="00884916"/>
    <w:rsid w:val="008865F4"/>
    <w:rsid w:val="0089220A"/>
    <w:rsid w:val="0089687C"/>
    <w:rsid w:val="008B3E8D"/>
    <w:rsid w:val="008C31B7"/>
    <w:rsid w:val="008D16D3"/>
    <w:rsid w:val="008D701C"/>
    <w:rsid w:val="008E07FB"/>
    <w:rsid w:val="008F580D"/>
    <w:rsid w:val="00902C55"/>
    <w:rsid w:val="00932FC7"/>
    <w:rsid w:val="0093611D"/>
    <w:rsid w:val="009473C5"/>
    <w:rsid w:val="009544A8"/>
    <w:rsid w:val="0096566C"/>
    <w:rsid w:val="00970837"/>
    <w:rsid w:val="00972A29"/>
    <w:rsid w:val="00974E8C"/>
    <w:rsid w:val="009A3DB2"/>
    <w:rsid w:val="009B21A4"/>
    <w:rsid w:val="009C5976"/>
    <w:rsid w:val="009C5EB5"/>
    <w:rsid w:val="009C790D"/>
    <w:rsid w:val="009D272F"/>
    <w:rsid w:val="009D34AC"/>
    <w:rsid w:val="009E0D72"/>
    <w:rsid w:val="009E1AD4"/>
    <w:rsid w:val="00A262B0"/>
    <w:rsid w:val="00A36142"/>
    <w:rsid w:val="00A40AFA"/>
    <w:rsid w:val="00A56A9B"/>
    <w:rsid w:val="00AC34E1"/>
    <w:rsid w:val="00AC648A"/>
    <w:rsid w:val="00AC7BAA"/>
    <w:rsid w:val="00AD33EF"/>
    <w:rsid w:val="00AE0762"/>
    <w:rsid w:val="00AE5E03"/>
    <w:rsid w:val="00AF7F2C"/>
    <w:rsid w:val="00AF7F99"/>
    <w:rsid w:val="00B10676"/>
    <w:rsid w:val="00B15884"/>
    <w:rsid w:val="00B30042"/>
    <w:rsid w:val="00B31FB2"/>
    <w:rsid w:val="00B42B25"/>
    <w:rsid w:val="00B45736"/>
    <w:rsid w:val="00B5742B"/>
    <w:rsid w:val="00B71F4F"/>
    <w:rsid w:val="00B805AF"/>
    <w:rsid w:val="00B837BD"/>
    <w:rsid w:val="00B95160"/>
    <w:rsid w:val="00B95EC7"/>
    <w:rsid w:val="00BA78FA"/>
    <w:rsid w:val="00BB16F4"/>
    <w:rsid w:val="00BB1A3F"/>
    <w:rsid w:val="00BB1C8A"/>
    <w:rsid w:val="00BB73EF"/>
    <w:rsid w:val="00BD014D"/>
    <w:rsid w:val="00C013B9"/>
    <w:rsid w:val="00C046AB"/>
    <w:rsid w:val="00C12A22"/>
    <w:rsid w:val="00C1575A"/>
    <w:rsid w:val="00C2000C"/>
    <w:rsid w:val="00C25D4D"/>
    <w:rsid w:val="00C331EC"/>
    <w:rsid w:val="00C35028"/>
    <w:rsid w:val="00C41EC5"/>
    <w:rsid w:val="00C45C92"/>
    <w:rsid w:val="00C47559"/>
    <w:rsid w:val="00C50129"/>
    <w:rsid w:val="00C577CF"/>
    <w:rsid w:val="00C61143"/>
    <w:rsid w:val="00C61368"/>
    <w:rsid w:val="00C76BD4"/>
    <w:rsid w:val="00C850D2"/>
    <w:rsid w:val="00CC469B"/>
    <w:rsid w:val="00CC70BC"/>
    <w:rsid w:val="00CD225F"/>
    <w:rsid w:val="00CD3097"/>
    <w:rsid w:val="00CD5ECF"/>
    <w:rsid w:val="00CF1B16"/>
    <w:rsid w:val="00D01DA0"/>
    <w:rsid w:val="00D02618"/>
    <w:rsid w:val="00D0455B"/>
    <w:rsid w:val="00D205FC"/>
    <w:rsid w:val="00D37BB0"/>
    <w:rsid w:val="00D44326"/>
    <w:rsid w:val="00D55BFA"/>
    <w:rsid w:val="00D70C73"/>
    <w:rsid w:val="00D74A06"/>
    <w:rsid w:val="00D75AAE"/>
    <w:rsid w:val="00D76AC3"/>
    <w:rsid w:val="00D8050D"/>
    <w:rsid w:val="00D87223"/>
    <w:rsid w:val="00DA096B"/>
    <w:rsid w:val="00DB438D"/>
    <w:rsid w:val="00DD3F0C"/>
    <w:rsid w:val="00DF26FF"/>
    <w:rsid w:val="00DF7771"/>
    <w:rsid w:val="00E06F40"/>
    <w:rsid w:val="00E16205"/>
    <w:rsid w:val="00E23AD5"/>
    <w:rsid w:val="00E44B98"/>
    <w:rsid w:val="00E52C18"/>
    <w:rsid w:val="00E9508B"/>
    <w:rsid w:val="00E95F22"/>
    <w:rsid w:val="00EA1AB8"/>
    <w:rsid w:val="00EB0FC1"/>
    <w:rsid w:val="00EC4EBA"/>
    <w:rsid w:val="00ED3E23"/>
    <w:rsid w:val="00ED426B"/>
    <w:rsid w:val="00ED656B"/>
    <w:rsid w:val="00EE0C36"/>
    <w:rsid w:val="00EE5C65"/>
    <w:rsid w:val="00EE5F9D"/>
    <w:rsid w:val="00F02188"/>
    <w:rsid w:val="00F02F63"/>
    <w:rsid w:val="00F05A97"/>
    <w:rsid w:val="00F1261C"/>
    <w:rsid w:val="00F27B34"/>
    <w:rsid w:val="00F8191D"/>
    <w:rsid w:val="00FA4830"/>
    <w:rsid w:val="00FB1867"/>
    <w:rsid w:val="00FB5B94"/>
    <w:rsid w:val="00FC49F0"/>
    <w:rsid w:val="00FD7864"/>
    <w:rsid w:val="00FF05C9"/>
    <w:rsid w:val="00FF121F"/>
    <w:rsid w:val="020C3600"/>
    <w:rsid w:val="0316501C"/>
    <w:rsid w:val="035F3318"/>
    <w:rsid w:val="039E0DF7"/>
    <w:rsid w:val="04F0022B"/>
    <w:rsid w:val="05BF1B7D"/>
    <w:rsid w:val="083C20B8"/>
    <w:rsid w:val="091574A4"/>
    <w:rsid w:val="0AB6351E"/>
    <w:rsid w:val="0AEE277F"/>
    <w:rsid w:val="0B1F3303"/>
    <w:rsid w:val="0C7516B2"/>
    <w:rsid w:val="0C807692"/>
    <w:rsid w:val="0DE36B99"/>
    <w:rsid w:val="0E0B63D0"/>
    <w:rsid w:val="0E0B7D94"/>
    <w:rsid w:val="0E3B3C64"/>
    <w:rsid w:val="0F0A6D3C"/>
    <w:rsid w:val="0F611949"/>
    <w:rsid w:val="0FD72C0C"/>
    <w:rsid w:val="102A2170"/>
    <w:rsid w:val="103E38B5"/>
    <w:rsid w:val="10BF38FB"/>
    <w:rsid w:val="10E93D4E"/>
    <w:rsid w:val="11B62D57"/>
    <w:rsid w:val="12737E91"/>
    <w:rsid w:val="12DA5DA1"/>
    <w:rsid w:val="12E3158A"/>
    <w:rsid w:val="1549557C"/>
    <w:rsid w:val="157D650A"/>
    <w:rsid w:val="15A25C0B"/>
    <w:rsid w:val="16A128C5"/>
    <w:rsid w:val="19AF0CB4"/>
    <w:rsid w:val="19AF2EEB"/>
    <w:rsid w:val="19F023A6"/>
    <w:rsid w:val="1BC528C4"/>
    <w:rsid w:val="1C1945A6"/>
    <w:rsid w:val="1D4266B3"/>
    <w:rsid w:val="1E537B54"/>
    <w:rsid w:val="1F3F7351"/>
    <w:rsid w:val="1F4D7EC7"/>
    <w:rsid w:val="20CF4E76"/>
    <w:rsid w:val="21BD5166"/>
    <w:rsid w:val="221365B8"/>
    <w:rsid w:val="226A3577"/>
    <w:rsid w:val="22DA593E"/>
    <w:rsid w:val="23241352"/>
    <w:rsid w:val="246C2851"/>
    <w:rsid w:val="24E06F8D"/>
    <w:rsid w:val="2537321F"/>
    <w:rsid w:val="26850942"/>
    <w:rsid w:val="26B164C1"/>
    <w:rsid w:val="27987506"/>
    <w:rsid w:val="288E5F3F"/>
    <w:rsid w:val="28AE5DA0"/>
    <w:rsid w:val="2A175959"/>
    <w:rsid w:val="2B6910C5"/>
    <w:rsid w:val="2D4B705C"/>
    <w:rsid w:val="2D6A3A3F"/>
    <w:rsid w:val="2DCC08AF"/>
    <w:rsid w:val="2DFD4901"/>
    <w:rsid w:val="2E182F2D"/>
    <w:rsid w:val="2E9B7C83"/>
    <w:rsid w:val="2ECA65D4"/>
    <w:rsid w:val="2EE338FA"/>
    <w:rsid w:val="30357A24"/>
    <w:rsid w:val="307C5365"/>
    <w:rsid w:val="30A22B85"/>
    <w:rsid w:val="3279612E"/>
    <w:rsid w:val="34034262"/>
    <w:rsid w:val="34A100EE"/>
    <w:rsid w:val="35D37D9D"/>
    <w:rsid w:val="36C83AF0"/>
    <w:rsid w:val="36DC47B5"/>
    <w:rsid w:val="37977641"/>
    <w:rsid w:val="385C6105"/>
    <w:rsid w:val="38EB77CC"/>
    <w:rsid w:val="3A1D0EF5"/>
    <w:rsid w:val="3AA44A54"/>
    <w:rsid w:val="3AE822E0"/>
    <w:rsid w:val="3B617677"/>
    <w:rsid w:val="3B8678B6"/>
    <w:rsid w:val="3B9C3FD8"/>
    <w:rsid w:val="3C8B0C00"/>
    <w:rsid w:val="3CC73AC6"/>
    <w:rsid w:val="3CC7607D"/>
    <w:rsid w:val="3CCA53AD"/>
    <w:rsid w:val="3CF81873"/>
    <w:rsid w:val="3D1E66D3"/>
    <w:rsid w:val="3D546E95"/>
    <w:rsid w:val="3DFC60C1"/>
    <w:rsid w:val="3EEA5570"/>
    <w:rsid w:val="3F2D1CB6"/>
    <w:rsid w:val="3FD1113F"/>
    <w:rsid w:val="41057667"/>
    <w:rsid w:val="41171C7F"/>
    <w:rsid w:val="418E5F9D"/>
    <w:rsid w:val="42BF1B92"/>
    <w:rsid w:val="43D755DA"/>
    <w:rsid w:val="43F25407"/>
    <w:rsid w:val="440875AB"/>
    <w:rsid w:val="450F1F75"/>
    <w:rsid w:val="453C3F01"/>
    <w:rsid w:val="45520847"/>
    <w:rsid w:val="45E73322"/>
    <w:rsid w:val="49383A30"/>
    <w:rsid w:val="494A394A"/>
    <w:rsid w:val="4AE22D88"/>
    <w:rsid w:val="4B621286"/>
    <w:rsid w:val="4CDB6B18"/>
    <w:rsid w:val="4D1D2609"/>
    <w:rsid w:val="4D8971C2"/>
    <w:rsid w:val="4E305A20"/>
    <w:rsid w:val="4EB11A7C"/>
    <w:rsid w:val="4EE6167D"/>
    <w:rsid w:val="4F136CC9"/>
    <w:rsid w:val="4F586ABA"/>
    <w:rsid w:val="4F9C166D"/>
    <w:rsid w:val="52F76854"/>
    <w:rsid w:val="530C784E"/>
    <w:rsid w:val="53406164"/>
    <w:rsid w:val="53774CFF"/>
    <w:rsid w:val="53DE59A8"/>
    <w:rsid w:val="553B58E4"/>
    <w:rsid w:val="55AA541C"/>
    <w:rsid w:val="567E16A6"/>
    <w:rsid w:val="5728768E"/>
    <w:rsid w:val="57E809C6"/>
    <w:rsid w:val="58272CFA"/>
    <w:rsid w:val="58A00174"/>
    <w:rsid w:val="5906339C"/>
    <w:rsid w:val="596879A6"/>
    <w:rsid w:val="59806102"/>
    <w:rsid w:val="59F57B8E"/>
    <w:rsid w:val="5ADA0B1D"/>
    <w:rsid w:val="5B7E4A72"/>
    <w:rsid w:val="5D6C6AD3"/>
    <w:rsid w:val="5E811B87"/>
    <w:rsid w:val="5EB016E9"/>
    <w:rsid w:val="5FF25578"/>
    <w:rsid w:val="609E0F14"/>
    <w:rsid w:val="614E41B0"/>
    <w:rsid w:val="62973EAF"/>
    <w:rsid w:val="62BE08BB"/>
    <w:rsid w:val="631E222D"/>
    <w:rsid w:val="64A70A2F"/>
    <w:rsid w:val="654F3592"/>
    <w:rsid w:val="658835A0"/>
    <w:rsid w:val="65D2271B"/>
    <w:rsid w:val="66D37837"/>
    <w:rsid w:val="670A7A3E"/>
    <w:rsid w:val="679E2C8B"/>
    <w:rsid w:val="69EF3DF1"/>
    <w:rsid w:val="6B2F71CC"/>
    <w:rsid w:val="6CF83D02"/>
    <w:rsid w:val="6D7C272C"/>
    <w:rsid w:val="6D8B22BF"/>
    <w:rsid w:val="6EF51F98"/>
    <w:rsid w:val="6F034B31"/>
    <w:rsid w:val="6F6C545A"/>
    <w:rsid w:val="6F766087"/>
    <w:rsid w:val="70340726"/>
    <w:rsid w:val="716A2D22"/>
    <w:rsid w:val="73006EB1"/>
    <w:rsid w:val="73417714"/>
    <w:rsid w:val="7431442E"/>
    <w:rsid w:val="747D1147"/>
    <w:rsid w:val="75DD1EEC"/>
    <w:rsid w:val="762C5749"/>
    <w:rsid w:val="765C5FCF"/>
    <w:rsid w:val="77A5337F"/>
    <w:rsid w:val="77D05B9F"/>
    <w:rsid w:val="780A11FC"/>
    <w:rsid w:val="781B07A0"/>
    <w:rsid w:val="78824C27"/>
    <w:rsid w:val="79442D41"/>
    <w:rsid w:val="7AEE4248"/>
    <w:rsid w:val="7B331FDF"/>
    <w:rsid w:val="7B5B3EF1"/>
    <w:rsid w:val="7BA515D0"/>
    <w:rsid w:val="7C2E2674"/>
    <w:rsid w:val="7CB3343B"/>
    <w:rsid w:val="7E4F6A23"/>
    <w:rsid w:val="7EC00980"/>
    <w:rsid w:val="7EEC2AC9"/>
    <w:rsid w:val="7F2467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4"/>
    <w:semiHidden/>
    <w:unhideWhenUsed/>
    <w:qFormat/>
    <w:uiPriority w:val="99"/>
    <w:pPr>
      <w:jc w:val="left"/>
    </w:pPr>
  </w:style>
  <w:style w:type="paragraph" w:styleId="3">
    <w:name w:val="Balloon Text"/>
    <w:basedOn w:val="1"/>
    <w:link w:val="16"/>
    <w:semiHidden/>
    <w:unhideWhenUsed/>
    <w:qFormat/>
    <w:uiPriority w:val="99"/>
    <w:rPr>
      <w:sz w:val="18"/>
      <w:szCs w:val="18"/>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5"/>
    <w:semiHidden/>
    <w:unhideWhenUsed/>
    <w:qFormat/>
    <w:uiPriority w:val="99"/>
    <w:rPr>
      <w:b/>
      <w:bCs/>
    </w:rPr>
  </w:style>
  <w:style w:type="character" w:styleId="9">
    <w:name w:val="page number"/>
    <w:basedOn w:val="8"/>
    <w:qFormat/>
    <w:uiPriority w:val="0"/>
  </w:style>
  <w:style w:type="character" w:styleId="10">
    <w:name w:val="annotation reference"/>
    <w:basedOn w:val="8"/>
    <w:semiHidden/>
    <w:unhideWhenUsed/>
    <w:qFormat/>
    <w:uiPriority w:val="99"/>
    <w:rPr>
      <w:sz w:val="21"/>
      <w:szCs w:val="21"/>
    </w:rPr>
  </w:style>
  <w:style w:type="character" w:customStyle="1" w:styleId="11">
    <w:name w:val="页眉 Char"/>
    <w:basedOn w:val="8"/>
    <w:link w:val="5"/>
    <w:semiHidden/>
    <w:qFormat/>
    <w:uiPriority w:val="99"/>
    <w:rPr>
      <w:kern w:val="2"/>
      <w:sz w:val="18"/>
      <w:szCs w:val="18"/>
    </w:rPr>
  </w:style>
  <w:style w:type="character" w:customStyle="1" w:styleId="12">
    <w:name w:val="页脚 Char"/>
    <w:basedOn w:val="8"/>
    <w:link w:val="4"/>
    <w:qFormat/>
    <w:uiPriority w:val="99"/>
    <w:rPr>
      <w:kern w:val="2"/>
      <w:sz w:val="18"/>
      <w:szCs w:val="18"/>
    </w:rPr>
  </w:style>
  <w:style w:type="paragraph" w:customStyle="1" w:styleId="13">
    <w:name w:val="Char1"/>
    <w:basedOn w:val="1"/>
    <w:qFormat/>
    <w:uiPriority w:val="0"/>
    <w:pPr>
      <w:tabs>
        <w:tab w:val="left" w:pos="840"/>
      </w:tabs>
      <w:ind w:left="840" w:hanging="420"/>
    </w:pPr>
    <w:rPr>
      <w:rFonts w:ascii="Times New Roman" w:hAnsi="Times New Roman"/>
      <w:sz w:val="24"/>
      <w:szCs w:val="24"/>
    </w:rPr>
  </w:style>
  <w:style w:type="character" w:customStyle="1" w:styleId="14">
    <w:name w:val="批注文字 Char"/>
    <w:basedOn w:val="8"/>
    <w:link w:val="2"/>
    <w:semiHidden/>
    <w:qFormat/>
    <w:uiPriority w:val="99"/>
    <w:rPr>
      <w:kern w:val="2"/>
      <w:sz w:val="21"/>
      <w:szCs w:val="22"/>
    </w:rPr>
  </w:style>
  <w:style w:type="character" w:customStyle="1" w:styleId="15">
    <w:name w:val="批注主题 Char"/>
    <w:basedOn w:val="14"/>
    <w:link w:val="6"/>
    <w:semiHidden/>
    <w:qFormat/>
    <w:uiPriority w:val="99"/>
    <w:rPr>
      <w:b/>
      <w:bCs/>
    </w:rPr>
  </w:style>
  <w:style w:type="character" w:customStyle="1" w:styleId="16">
    <w:name w:val="批注框文本 Char"/>
    <w:basedOn w:val="8"/>
    <w:link w:val="3"/>
    <w:semiHidden/>
    <w:qFormat/>
    <w:uiPriority w:val="99"/>
    <w:rPr>
      <w:kern w:val="2"/>
      <w:sz w:val="18"/>
      <w:szCs w:val="18"/>
    </w:rPr>
  </w:style>
  <w:style w:type="paragraph" w:customStyle="1" w:styleId="17">
    <w:name w:val="Revision"/>
    <w:hidden/>
    <w:semiHidden/>
    <w:qFormat/>
    <w:uiPriority w:val="99"/>
    <w:rPr>
      <w:rFonts w:ascii="Calibri" w:hAnsi="Calibri" w:eastAsia="宋体" w:cs="Times New Roman"/>
      <w:kern w:val="2"/>
      <w:sz w:val="21"/>
      <w:szCs w:val="22"/>
      <w:lang w:val="en-US" w:eastAsia="zh-CN" w:bidi="ar-SA"/>
    </w:rPr>
  </w:style>
  <w:style w:type="paragraph" w:customStyle="1" w:styleId="18">
    <w:name w:val="正文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
    <w:name w:val="nn-表 内容"/>
    <w:basedOn w:val="1"/>
    <w:qFormat/>
    <w:uiPriority w:val="0"/>
    <w:pPr>
      <w:jc w:val="center"/>
    </w:pPr>
    <w:rPr>
      <w:rFonts w:hAnsi="宋体"/>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T:\xxy\&#38634;&#33721;\0.&#29615;&#35780;&#30005;&#23376;&#23457;&#26597;\2.&#29615;&#35780;&#23457;&#25209;\00%20%20&#25209;&#22797;&#12289;&#21576;&#25209;&#34920;&#27169;&#26495;\&#12304;&#29615;&#35780;&#25209;&#22797;&#27169;&#26495;&#12305;&#29615;&#35780;&#25253;&#21578;&#34920;&#65288;2017&#24180;&#29256;&#65289;.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30880F-0172-4367-9D41-5B93968F3B74}">
  <ds:schemaRefs/>
</ds:datastoreItem>
</file>

<file path=docProps/app.xml><?xml version="1.0" encoding="utf-8"?>
<Properties xmlns="http://schemas.openxmlformats.org/officeDocument/2006/extended-properties" xmlns:vt="http://schemas.openxmlformats.org/officeDocument/2006/docPropsVTypes">
  <Template>【环评批复模板】环评报告表（2017年版）.dot</Template>
  <Company>Bureau of Environment Protection</Company>
  <Pages>4</Pages>
  <Words>1906</Words>
  <Characters>2110</Characters>
  <Lines>19</Lines>
  <Paragraphs>5</Paragraphs>
  <TotalTime>9</TotalTime>
  <ScaleCrop>false</ScaleCrop>
  <LinksUpToDate>false</LinksUpToDate>
  <CharactersWithSpaces>2174</CharactersWithSpaces>
  <Application>WPS Office_12.1.0.22215_F1E327BC-269C-435d-A152-05C5408002CA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2019-11-22T08:14:00Z</dcterms:created>
  <dc:creator>Panyu EPB</dc:creator>
  <cp:lastModifiedBy>DELL</cp:lastModifiedBy>
  <cp:lastPrinted>2025-07-26T13:52:00Z</cp:lastPrinted>
  <dcterms:modified xsi:type="dcterms:W3CDTF">2025-08-01T09:05:44Z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ogined">
    <vt:bool>true</vt:bool>
  </property>
  <property fmtid="{D5CDD505-2E9C-101B-9397-08002B2CF9AE}" pid="3" name="KSOProductBuildVer">
    <vt:lpwstr>2052-12.1.0.22215</vt:lpwstr>
  </property>
  <property fmtid="{D5CDD505-2E9C-101B-9397-08002B2CF9AE}" pid="4" name="ICV">
    <vt:lpwstr>99A2BE25D52649BBA9D1B542A47D2633_13</vt:lpwstr>
  </property>
  <property fmtid="{D5CDD505-2E9C-101B-9397-08002B2CF9AE}" pid="5" name="KSOTemplateDocerSaveRecord">
    <vt:lpwstr>eyJoZGlkIjoiOTFmYTNmMGY4YzliOTEyNGRkM2M5OTJiMTUxNWY2YjkiLCJ1c2VySWQiOiIxMDI2OTE4Mzc5In0=</vt:lpwstr>
  </property>
</Properties>
</file>