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8161B">
      <w:pPr>
        <w:adjustRightInd w:val="0"/>
        <w:snapToGrid w:val="0"/>
        <w:ind w:right="-156" w:hanging="180"/>
        <w:jc w:val="center"/>
        <w:rPr>
          <w:rFonts w:eastAsia="公文小标宋简"/>
          <w:b/>
          <w:bCs/>
          <w:smallCaps/>
          <w:snapToGrid w:val="0"/>
          <w:color w:val="auto"/>
          <w:spacing w:val="56"/>
          <w:kern w:val="0"/>
          <w:sz w:val="72"/>
          <w:szCs w:val="72"/>
        </w:rPr>
      </w:pPr>
    </w:p>
    <w:p w14:paraId="2EE47728">
      <w:pPr>
        <w:wordWrap w:val="0"/>
        <w:adjustRightInd w:val="0"/>
        <w:snapToGrid w:val="0"/>
        <w:spacing w:line="600" w:lineRule="exact"/>
        <w:ind w:firstLine="420" w:firstLineChars="200"/>
        <w:rPr>
          <w:color w:val="auto"/>
        </w:rPr>
      </w:pPr>
      <w:r>
        <w:rPr>
          <w:color w:val="auto"/>
        </w:rPr>
        <w:t xml:space="preserve">                                       </w:t>
      </w:r>
      <w:r>
        <w:rPr>
          <w:rFonts w:eastAsia="仿宋_GB2312"/>
          <w:color w:val="auto"/>
          <w:sz w:val="32"/>
          <w:szCs w:val="32"/>
        </w:rPr>
        <w:t>穗环管影（番）〔202</w:t>
      </w:r>
      <w:r>
        <w:rPr>
          <w:rFonts w:hint="eastAsia" w:eastAsia="仿宋_GB2312"/>
          <w:color w:val="auto"/>
          <w:sz w:val="32"/>
          <w:szCs w:val="32"/>
          <w:lang w:val="en-US" w:eastAsia="zh-CN"/>
        </w:rPr>
        <w:t>5</w:t>
      </w:r>
      <w:r>
        <w:rPr>
          <w:rFonts w:eastAsia="仿宋_GB2312"/>
          <w:color w:val="auto"/>
          <w:sz w:val="32"/>
          <w:szCs w:val="32"/>
        </w:rPr>
        <w:t>〕</w:t>
      </w:r>
      <w:r>
        <w:rPr>
          <w:rFonts w:hint="eastAsia" w:eastAsia="仿宋_GB2312"/>
          <w:color w:val="auto"/>
          <w:sz w:val="32"/>
          <w:szCs w:val="32"/>
          <w:lang w:val="en-US" w:eastAsia="zh-CN"/>
        </w:rPr>
        <w:t>87</w:t>
      </w:r>
      <w:r>
        <w:rPr>
          <w:rFonts w:eastAsia="仿宋_GB2312"/>
          <w:color w:val="auto"/>
          <w:sz w:val="32"/>
          <w:szCs w:val="32"/>
        </w:rPr>
        <w:t>号</w:t>
      </w:r>
    </w:p>
    <w:p w14:paraId="4C5610D2">
      <w:pPr>
        <w:rPr>
          <w:rFonts w:eastAsia="黑体"/>
          <w:color w:val="auto"/>
        </w:rPr>
      </w:pPr>
    </w:p>
    <w:p w14:paraId="6559B870">
      <w:pPr>
        <w:adjustRightInd w:val="0"/>
        <w:snapToGrid w:val="0"/>
        <w:spacing w:line="600" w:lineRule="exact"/>
        <w:rPr>
          <w:color w:val="auto"/>
        </w:rPr>
      </w:pPr>
    </w:p>
    <w:p w14:paraId="290152A2">
      <w:pPr>
        <w:spacing w:line="560" w:lineRule="exact"/>
        <w:jc w:val="center"/>
        <w:rPr>
          <w:rFonts w:hint="eastAsia" w:eastAsia="方正小标宋简体"/>
          <w:color w:val="auto"/>
          <w:sz w:val="44"/>
          <w:szCs w:val="44"/>
          <w:lang w:bidi="ar"/>
        </w:rPr>
      </w:pPr>
      <w:r>
        <w:rPr>
          <w:rFonts w:eastAsia="方正小标宋简体"/>
          <w:color w:val="auto"/>
          <w:sz w:val="44"/>
          <w:szCs w:val="44"/>
          <w:lang w:bidi="ar"/>
        </w:rPr>
        <w:t>广州市生态环境局关于</w:t>
      </w:r>
      <w:r>
        <w:rPr>
          <w:rFonts w:hint="eastAsia" w:eastAsia="方正小标宋简体"/>
          <w:color w:val="auto"/>
          <w:sz w:val="44"/>
          <w:szCs w:val="44"/>
          <w:lang w:bidi="ar"/>
        </w:rPr>
        <w:t>广汽埃安REEV油站</w:t>
      </w:r>
    </w:p>
    <w:p w14:paraId="5B00C97D">
      <w:pPr>
        <w:spacing w:line="560" w:lineRule="exact"/>
        <w:jc w:val="center"/>
        <w:rPr>
          <w:rFonts w:eastAsia="方正小标宋简体"/>
          <w:color w:val="auto"/>
          <w:sz w:val="44"/>
          <w:szCs w:val="44"/>
        </w:rPr>
      </w:pPr>
      <w:bookmarkStart w:id="0" w:name="_GoBack"/>
      <w:bookmarkEnd w:id="0"/>
      <w:r>
        <w:rPr>
          <w:rFonts w:hint="eastAsia" w:eastAsia="方正小标宋简体"/>
          <w:color w:val="auto"/>
          <w:sz w:val="44"/>
          <w:szCs w:val="44"/>
          <w:lang w:bidi="ar"/>
        </w:rPr>
        <w:t>建设及配套项目</w:t>
      </w:r>
      <w:r>
        <w:rPr>
          <w:rFonts w:eastAsia="方正小标宋简体"/>
          <w:color w:val="auto"/>
          <w:sz w:val="44"/>
          <w:szCs w:val="44"/>
          <w:lang w:bidi="ar"/>
        </w:rPr>
        <w:t>环境影响报告表的批复</w:t>
      </w:r>
    </w:p>
    <w:p w14:paraId="68B90ACA">
      <w:pPr>
        <w:rPr>
          <w:rFonts w:eastAsia="方正小标宋_GBK"/>
          <w:color w:val="auto"/>
          <w:sz w:val="44"/>
          <w:szCs w:val="44"/>
        </w:rPr>
      </w:pPr>
    </w:p>
    <w:p w14:paraId="28C42DEA">
      <w:pPr>
        <w:rPr>
          <w:rFonts w:eastAsia="仿宋_GB2312"/>
          <w:color w:val="auto"/>
          <w:sz w:val="32"/>
          <w:szCs w:val="32"/>
        </w:rPr>
      </w:pPr>
      <w:r>
        <w:rPr>
          <w:rFonts w:hint="eastAsia" w:eastAsia="仿宋_GB2312"/>
          <w:color w:val="auto"/>
          <w:sz w:val="32"/>
          <w:szCs w:val="32"/>
        </w:rPr>
        <w:t>广汽埃安新能源汽车股份有限公司</w:t>
      </w:r>
      <w:r>
        <w:rPr>
          <w:rFonts w:eastAsia="仿宋_GB2312"/>
          <w:color w:val="auto"/>
          <w:sz w:val="32"/>
          <w:szCs w:val="32"/>
        </w:rPr>
        <w:t>（</w:t>
      </w:r>
      <w:r>
        <w:rPr>
          <w:rFonts w:hint="eastAsia" w:eastAsia="仿宋_GB2312"/>
          <w:color w:val="auto"/>
          <w:sz w:val="32"/>
          <w:szCs w:val="32"/>
        </w:rPr>
        <w:t>91440101MA59R41L0L</w:t>
      </w:r>
      <w:r>
        <w:rPr>
          <w:rFonts w:eastAsia="仿宋_GB2312"/>
          <w:color w:val="auto"/>
          <w:sz w:val="32"/>
          <w:szCs w:val="32"/>
        </w:rPr>
        <w:t>）：</w:t>
      </w:r>
    </w:p>
    <w:p w14:paraId="6D1153EF">
      <w:pPr>
        <w:ind w:firstLine="640" w:firstLineChars="200"/>
        <w:rPr>
          <w:rFonts w:eastAsia="仿宋_GB2312"/>
          <w:color w:val="auto"/>
          <w:sz w:val="32"/>
          <w:szCs w:val="32"/>
        </w:rPr>
      </w:pPr>
      <w:r>
        <w:rPr>
          <w:rFonts w:eastAsia="仿宋_GB2312"/>
          <w:color w:val="auto"/>
          <w:sz w:val="32"/>
          <w:szCs w:val="32"/>
        </w:rPr>
        <w:t>你单位报送的《</w:t>
      </w:r>
      <w:r>
        <w:rPr>
          <w:rFonts w:hint="eastAsia" w:eastAsia="仿宋_GB2312"/>
          <w:color w:val="auto"/>
          <w:sz w:val="32"/>
          <w:szCs w:val="32"/>
        </w:rPr>
        <w:t>广汽埃安REEV油站建设及配套项目</w:t>
      </w:r>
      <w:r>
        <w:rPr>
          <w:rFonts w:eastAsia="仿宋_GB2312"/>
          <w:color w:val="auto"/>
          <w:sz w:val="32"/>
          <w:szCs w:val="32"/>
        </w:rPr>
        <w:t>环境影响报告表》（以下简称《报告表》）及附送资料收悉。经研究，现批复如下：</w:t>
      </w:r>
    </w:p>
    <w:p w14:paraId="6E6FDA5B">
      <w:pPr>
        <w:numPr>
          <w:ilvl w:val="0"/>
          <w:numId w:val="1"/>
        </w:numPr>
        <w:ind w:firstLine="640" w:firstLineChars="200"/>
        <w:rPr>
          <w:rFonts w:hint="default" w:eastAsia="仿宋_GB2312"/>
          <w:color w:val="auto"/>
          <w:sz w:val="32"/>
          <w:szCs w:val="32"/>
          <w:lang w:val="en-US" w:eastAsia="zh-CN"/>
        </w:rPr>
      </w:pPr>
      <w:r>
        <w:rPr>
          <w:rFonts w:hint="eastAsia" w:eastAsia="仿宋_GB2312"/>
          <w:color w:val="auto"/>
          <w:sz w:val="32"/>
          <w:szCs w:val="32"/>
        </w:rPr>
        <w:t>广汽埃安REEV油站建设及配套项目</w:t>
      </w:r>
      <w:r>
        <w:rPr>
          <w:rFonts w:eastAsia="仿宋_GB2312"/>
          <w:color w:val="auto"/>
          <w:sz w:val="32"/>
          <w:szCs w:val="32"/>
        </w:rPr>
        <w:t>（以下简称“该项目”）位于广州市番禺区</w:t>
      </w:r>
      <w:r>
        <w:rPr>
          <w:rFonts w:hint="eastAsia" w:eastAsia="仿宋_GB2312"/>
          <w:color w:val="auto"/>
          <w:sz w:val="32"/>
          <w:szCs w:val="32"/>
        </w:rPr>
        <w:t>石楼镇龙瀛路36号</w:t>
      </w:r>
      <w:r>
        <w:rPr>
          <w:rFonts w:eastAsia="仿宋_GB2312"/>
          <w:color w:val="auto"/>
          <w:sz w:val="32"/>
          <w:szCs w:val="32"/>
        </w:rPr>
        <w:t>，申报内容为</w:t>
      </w:r>
      <w:r>
        <w:rPr>
          <w:rFonts w:hint="eastAsia" w:eastAsia="仿宋_GB2312"/>
          <w:color w:val="auto"/>
          <w:sz w:val="32"/>
          <w:szCs w:val="32"/>
          <w:lang w:val="en-US" w:eastAsia="zh-CN"/>
        </w:rPr>
        <w:t>在现有新能源汽车总体产能不变的情况下，通过新建1条</w:t>
      </w:r>
      <w:r>
        <w:rPr>
          <w:rFonts w:hint="eastAsia" w:eastAsia="仿宋_GB2312"/>
          <w:color w:val="auto"/>
          <w:sz w:val="32"/>
          <w:szCs w:val="32"/>
        </w:rPr>
        <w:t>增程器分装线</w:t>
      </w:r>
      <w:r>
        <w:rPr>
          <w:rFonts w:hint="eastAsia" w:eastAsia="仿宋_GB2312"/>
          <w:color w:val="auto"/>
          <w:sz w:val="32"/>
          <w:szCs w:val="32"/>
          <w:lang w:val="en-US" w:eastAsia="zh-CN"/>
        </w:rPr>
        <w:t>及REEV油站等配套项目</w:t>
      </w:r>
      <w:r>
        <w:rPr>
          <w:rFonts w:hint="eastAsia" w:eastAsia="仿宋_GB2312"/>
          <w:color w:val="auto"/>
          <w:sz w:val="32"/>
          <w:szCs w:val="32"/>
          <w:lang w:eastAsia="zh-CN"/>
        </w:rPr>
        <w:t>，</w:t>
      </w:r>
      <w:r>
        <w:rPr>
          <w:rFonts w:hint="eastAsia" w:eastAsia="仿宋_GB2312"/>
          <w:color w:val="auto"/>
          <w:sz w:val="32"/>
          <w:szCs w:val="32"/>
          <w:lang w:val="en-US" w:eastAsia="zh-CN"/>
        </w:rPr>
        <w:t>新增增程式新能源汽车生产能力。</w:t>
      </w:r>
      <w:r>
        <w:rPr>
          <w:rFonts w:hint="eastAsia" w:eastAsia="仿宋_GB2312"/>
          <w:strike w:val="0"/>
          <w:dstrike w:val="0"/>
          <w:color w:val="auto"/>
          <w:sz w:val="32"/>
          <w:szCs w:val="32"/>
          <w:lang w:val="en-US" w:eastAsia="zh-CN"/>
        </w:rPr>
        <w:t>技改项目不新增用地，在现有厂区内新建1个汽车油站，其他新增产线通过调整现有建筑布局实现。项目</w:t>
      </w:r>
      <w:r>
        <w:rPr>
          <w:rFonts w:hint="eastAsia" w:eastAsia="仿宋_GB2312"/>
          <w:color w:val="auto"/>
          <w:sz w:val="32"/>
          <w:szCs w:val="32"/>
          <w:lang w:val="en-US" w:eastAsia="zh-CN"/>
        </w:rPr>
        <w:t>新增主要设备增程器分装线1套、底盘托盘改造1套、燃油气密性检测设备2套、汽油加注机2套、测功机1套、撬装式汽车加油装置（含10m</w:t>
      </w:r>
      <w:r>
        <w:rPr>
          <w:rFonts w:hint="eastAsia" w:eastAsia="仿宋_GB2312"/>
          <w:color w:val="auto"/>
          <w:sz w:val="32"/>
          <w:szCs w:val="32"/>
          <w:vertAlign w:val="superscript"/>
          <w:lang w:val="en-US" w:eastAsia="zh-CN"/>
        </w:rPr>
        <w:t>3</w:t>
      </w:r>
      <w:r>
        <w:rPr>
          <w:rFonts w:hint="eastAsia" w:eastAsia="仿宋_GB2312"/>
          <w:color w:val="auto"/>
          <w:sz w:val="32"/>
          <w:szCs w:val="32"/>
          <w:lang w:val="en-US" w:eastAsia="zh-CN"/>
        </w:rPr>
        <w:t>地上卧式双舱油罐1个）1套等。技术改造前后占地面积不变，不新增员工。</w:t>
      </w:r>
    </w:p>
    <w:p w14:paraId="36CCC061">
      <w:pPr>
        <w:ind w:firstLine="640" w:firstLineChars="200"/>
        <w:rPr>
          <w:rFonts w:eastAsia="仿宋_GB2312"/>
          <w:color w:val="auto"/>
          <w:sz w:val="32"/>
          <w:szCs w:val="32"/>
        </w:rPr>
      </w:pPr>
      <w:r>
        <w:rPr>
          <w:rFonts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1019BCC8">
      <w:pPr>
        <w:ind w:firstLine="640" w:firstLineChars="200"/>
        <w:rPr>
          <w:rFonts w:eastAsia="仿宋_GB2312"/>
          <w:color w:val="auto"/>
          <w:sz w:val="32"/>
          <w:szCs w:val="32"/>
        </w:rPr>
      </w:pPr>
      <w:r>
        <w:rPr>
          <w:rFonts w:eastAsia="仿宋_GB2312"/>
          <w:color w:val="auto"/>
          <w:sz w:val="32"/>
          <w:szCs w:val="32"/>
        </w:rPr>
        <w:t>二、该项目各类污染物排放控制要求如下：</w:t>
      </w:r>
    </w:p>
    <w:p w14:paraId="795D7150">
      <w:pPr>
        <w:ind w:firstLine="640" w:firstLineChars="200"/>
        <w:rPr>
          <w:rFonts w:eastAsia="仿宋_GB2312"/>
          <w:color w:val="auto"/>
          <w:sz w:val="32"/>
          <w:szCs w:val="32"/>
        </w:rPr>
      </w:pPr>
      <w:r>
        <w:rPr>
          <w:rFonts w:eastAsia="仿宋_GB2312"/>
          <w:color w:val="auto"/>
          <w:sz w:val="32"/>
          <w:szCs w:val="32"/>
        </w:rPr>
        <w:t>（一）</w:t>
      </w:r>
      <w:r>
        <w:rPr>
          <w:rFonts w:hint="eastAsia" w:eastAsia="仿宋_GB2312"/>
          <w:color w:val="auto"/>
          <w:sz w:val="32"/>
          <w:szCs w:val="32"/>
          <w:lang w:val="en-US" w:eastAsia="zh-CN"/>
        </w:rPr>
        <w:t>项目不新增生产废水和生活污水排放。</w:t>
      </w:r>
    </w:p>
    <w:p w14:paraId="0EEE0F00">
      <w:pPr>
        <w:ind w:firstLine="640" w:firstLineChars="200"/>
        <w:rPr>
          <w:rFonts w:hint="default" w:ascii="Times New Roman" w:hAnsi="Times New Roman" w:eastAsia="仿宋_GB2312" w:cs="Times New Roman"/>
          <w:color w:val="auto"/>
          <w:sz w:val="32"/>
          <w:szCs w:val="32"/>
          <w:lang w:val="en-US" w:eastAsia="zh-CN"/>
        </w:rPr>
      </w:pPr>
      <w:r>
        <w:rPr>
          <w:rFonts w:eastAsia="仿宋_GB2312"/>
          <w:color w:val="auto"/>
          <w:sz w:val="32"/>
          <w:szCs w:val="32"/>
        </w:rPr>
        <w:t>（二）</w:t>
      </w:r>
      <w:r>
        <w:rPr>
          <w:rFonts w:hint="eastAsia" w:eastAsia="仿宋_GB2312"/>
          <w:color w:val="auto"/>
          <w:sz w:val="32"/>
          <w:szCs w:val="32"/>
          <w:lang w:val="en-US" w:eastAsia="zh-CN"/>
        </w:rPr>
        <w:t>总装检测尾气氮氧化物有组织排放执行广东省《大气污染物排放限值》(DB44/27-2001)第二时段二级标准，非甲烷总烃有组织排放执行广东省《固定污染源挥发性有机物综合排放标准》（DB44/2367-2022）；厂界</w:t>
      </w:r>
      <w:r>
        <w:rPr>
          <w:rFonts w:hint="eastAsia" w:ascii="仿宋_GB2312" w:hAnsi="仿宋_GB2312" w:eastAsia="仿宋_GB2312" w:cs="仿宋_GB2312"/>
          <w:color w:val="auto"/>
          <w:sz w:val="32"/>
          <w:szCs w:val="32"/>
        </w:rPr>
        <w:t>非甲烷总烃</w:t>
      </w:r>
      <w:r>
        <w:rPr>
          <w:rFonts w:hint="eastAsia" w:ascii="仿宋_GB2312" w:hAnsi="仿宋_GB2312" w:eastAsia="仿宋_GB2312" w:cs="仿宋_GB2312"/>
          <w:color w:val="auto"/>
          <w:sz w:val="32"/>
          <w:szCs w:val="32"/>
          <w:lang w:val="en-US" w:eastAsia="zh-CN"/>
        </w:rPr>
        <w:t>无组织</w:t>
      </w:r>
      <w:r>
        <w:rPr>
          <w:rFonts w:hint="eastAsia" w:ascii="仿宋_GB2312" w:hAnsi="仿宋_GB2312" w:eastAsia="仿宋_GB2312" w:cs="仿宋_GB2312"/>
          <w:color w:val="auto"/>
          <w:sz w:val="32"/>
          <w:szCs w:val="32"/>
        </w:rPr>
        <w:t>排放</w:t>
      </w:r>
      <w:r>
        <w:rPr>
          <w:rFonts w:hint="eastAsia" w:ascii="仿宋_GB2312" w:hAnsi="仿宋_GB2312" w:eastAsia="仿宋_GB2312" w:cs="仿宋_GB2312"/>
          <w:color w:val="auto"/>
          <w:sz w:val="32"/>
          <w:szCs w:val="32"/>
          <w:lang w:val="en-US" w:eastAsia="zh-CN"/>
        </w:rPr>
        <w:t>和汽油站</w:t>
      </w:r>
      <w:r>
        <w:rPr>
          <w:rFonts w:hint="eastAsia" w:ascii="仿宋_GB2312" w:hAnsi="仿宋_GB2312" w:eastAsia="仿宋_GB2312" w:cs="仿宋_GB2312"/>
          <w:color w:val="auto"/>
          <w:sz w:val="32"/>
          <w:szCs w:val="32"/>
          <w:lang w:eastAsia="zh-CN"/>
        </w:rPr>
        <w:t>油气回收装置液阻、气液比</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执行《加油站大气污染物排放标准》</w:t>
      </w:r>
      <w:r>
        <w:rPr>
          <w:rFonts w:hint="eastAsia" w:ascii="Times New Roman" w:hAnsi="Times New Roman" w:eastAsia="仿宋_GB2312" w:cs="Times New Roman"/>
          <w:color w:val="auto"/>
          <w:sz w:val="32"/>
          <w:szCs w:val="32"/>
          <w:lang w:val="en-US" w:eastAsia="zh-CN"/>
        </w:rPr>
        <w:t>（GB20952-2020）的限值要求</w:t>
      </w:r>
      <w:r>
        <w:rPr>
          <w:rFonts w:hint="eastAsia" w:eastAsia="仿宋_GB2312" w:cs="Times New Roman"/>
          <w:color w:val="auto"/>
          <w:sz w:val="32"/>
          <w:szCs w:val="32"/>
          <w:lang w:val="en-US" w:eastAsia="zh-CN"/>
        </w:rPr>
        <w:t>；</w:t>
      </w:r>
      <w:r>
        <w:rPr>
          <w:rFonts w:hint="eastAsia" w:ascii="仿宋_GB2312" w:hAnsi="仿宋_GB2312" w:eastAsia="仿宋_GB2312" w:cs="仿宋_GB2312"/>
          <w:color w:val="auto"/>
          <w:sz w:val="32"/>
          <w:szCs w:val="32"/>
        </w:rPr>
        <w:t>厂区内厂房外非甲烷总烃</w:t>
      </w:r>
      <w:r>
        <w:rPr>
          <w:rFonts w:hint="eastAsia" w:ascii="仿宋_GB2312" w:hAnsi="仿宋_GB2312" w:eastAsia="仿宋_GB2312" w:cs="仿宋_GB2312"/>
          <w:color w:val="auto"/>
          <w:sz w:val="32"/>
          <w:szCs w:val="32"/>
          <w:lang w:val="en-US" w:eastAsia="zh-CN"/>
        </w:rPr>
        <w:t>无组织</w:t>
      </w:r>
      <w:r>
        <w:rPr>
          <w:rFonts w:hint="eastAsia" w:ascii="仿宋_GB2312" w:hAnsi="仿宋_GB2312" w:eastAsia="仿宋_GB2312" w:cs="仿宋_GB2312"/>
          <w:color w:val="auto"/>
          <w:sz w:val="32"/>
          <w:szCs w:val="32"/>
        </w:rPr>
        <w:t>排放</w:t>
      </w:r>
      <w:r>
        <w:rPr>
          <w:rFonts w:hint="eastAsia" w:ascii="仿宋_GB2312" w:hAnsi="仿宋_GB2312" w:eastAsia="仿宋_GB2312" w:cs="仿宋_GB2312"/>
          <w:color w:val="auto"/>
          <w:sz w:val="32"/>
          <w:szCs w:val="32"/>
          <w:lang w:val="en-US" w:eastAsia="zh-CN"/>
        </w:rPr>
        <w:t>执行</w:t>
      </w:r>
      <w:r>
        <w:rPr>
          <w:rFonts w:hint="eastAsia" w:eastAsia="仿宋_GB2312"/>
          <w:color w:val="auto"/>
          <w:sz w:val="32"/>
          <w:szCs w:val="32"/>
          <w:lang w:val="en-US" w:eastAsia="zh-CN"/>
        </w:rPr>
        <w:t>广东省《固定污染源挥发性有机物综合排放标准》（DB44/2367-2022）</w:t>
      </w:r>
      <w:r>
        <w:rPr>
          <w:rFonts w:hint="eastAsia" w:ascii="仿宋_GB2312" w:hAnsi="仿宋_GB2312" w:eastAsia="仿宋_GB2312" w:cs="仿宋_GB2312"/>
          <w:color w:val="auto"/>
          <w:sz w:val="32"/>
          <w:szCs w:val="32"/>
          <w:lang w:eastAsia="zh-CN"/>
        </w:rPr>
        <w:t>；</w:t>
      </w:r>
      <w:r>
        <w:rPr>
          <w:rFonts w:hint="eastAsia" w:eastAsia="仿宋_GB2312"/>
          <w:color w:val="auto"/>
          <w:sz w:val="32"/>
          <w:szCs w:val="32"/>
          <w:lang w:val="en-US" w:eastAsia="zh-CN"/>
        </w:rPr>
        <w:t>氮氧化物</w:t>
      </w:r>
      <w:r>
        <w:rPr>
          <w:rFonts w:hint="eastAsia" w:ascii="仿宋_GB2312" w:hAnsi="仿宋_GB2312" w:eastAsia="仿宋_GB2312" w:cs="仿宋_GB2312"/>
          <w:color w:val="auto"/>
          <w:sz w:val="32"/>
          <w:szCs w:val="32"/>
          <w:lang w:val="en-US" w:eastAsia="zh-CN"/>
        </w:rPr>
        <w:t>无组织</w:t>
      </w:r>
      <w:r>
        <w:rPr>
          <w:rFonts w:hint="eastAsia" w:ascii="Times New Roman" w:hAnsi="Times New Roman" w:eastAsia="仿宋_GB2312" w:cs="Times New Roman"/>
          <w:color w:val="auto"/>
          <w:sz w:val="32"/>
          <w:szCs w:val="32"/>
          <w:lang w:val="en-US" w:eastAsia="zh-CN"/>
        </w:rPr>
        <w:t>排放执行广东省《大气污染物排放限值》（DB44/27-2001）第二时段无组织排放监控浓度限值。</w:t>
      </w:r>
      <w:r>
        <w:rPr>
          <w:rFonts w:hint="eastAsia" w:eastAsia="仿宋_GB2312" w:cs="Times New Roman"/>
          <w:color w:val="auto"/>
          <w:sz w:val="32"/>
          <w:szCs w:val="32"/>
          <w:lang w:val="en-US" w:eastAsia="zh-CN"/>
        </w:rPr>
        <w:t>新增</w:t>
      </w:r>
      <w:r>
        <w:rPr>
          <w:rFonts w:hint="eastAsia" w:ascii="仿宋_GB2312" w:hAnsi="Times New Roman" w:eastAsia="仿宋_GB2312" w:cs="Times New Roman"/>
          <w:color w:val="auto"/>
          <w:sz w:val="32"/>
          <w:szCs w:val="32"/>
          <w:lang w:val="en-US" w:eastAsia="zh-CN"/>
        </w:rPr>
        <w:t>挥发性有机物排放量</w:t>
      </w:r>
      <w:r>
        <w:rPr>
          <w:rFonts w:hint="eastAsia" w:ascii="仿宋_GB2312" w:eastAsia="仿宋_GB2312" w:cs="Times New Roman"/>
          <w:color w:val="auto"/>
          <w:sz w:val="32"/>
          <w:szCs w:val="32"/>
          <w:lang w:val="en-US" w:eastAsia="zh-CN"/>
        </w:rPr>
        <w:t>不超过0.336吨/年，</w:t>
      </w:r>
      <w:r>
        <w:rPr>
          <w:rFonts w:hint="eastAsia" w:eastAsia="仿宋_GB2312" w:cs="Times New Roman"/>
          <w:color w:val="auto"/>
          <w:sz w:val="32"/>
          <w:szCs w:val="32"/>
          <w:lang w:val="en-US" w:eastAsia="zh-CN"/>
        </w:rPr>
        <w:t>新增</w:t>
      </w:r>
      <w:r>
        <w:rPr>
          <w:rFonts w:hint="eastAsia" w:ascii="仿宋_GB2312" w:eastAsia="仿宋_GB2312" w:cs="Times New Roman"/>
          <w:color w:val="auto"/>
          <w:sz w:val="32"/>
          <w:szCs w:val="32"/>
          <w:lang w:val="en-US" w:eastAsia="zh-CN"/>
        </w:rPr>
        <w:t>氮氧化物排放量不超过0.122吨/年。</w:t>
      </w:r>
    </w:p>
    <w:p w14:paraId="2A31BB69">
      <w:pPr>
        <w:ind w:firstLine="640" w:firstLineChars="200"/>
        <w:rPr>
          <w:rFonts w:eastAsia="仿宋_GB2312"/>
          <w:color w:val="auto"/>
          <w:sz w:val="32"/>
          <w:szCs w:val="32"/>
        </w:rPr>
      </w:pPr>
      <w:r>
        <w:rPr>
          <w:rFonts w:eastAsia="仿宋_GB2312"/>
          <w:color w:val="auto"/>
          <w:sz w:val="32"/>
          <w:szCs w:val="32"/>
        </w:rPr>
        <w:t>（三）</w:t>
      </w:r>
      <w:r>
        <w:rPr>
          <w:rFonts w:hint="eastAsia" w:ascii="仿宋_GB2312" w:hAnsi="仿宋_GB2312" w:eastAsia="仿宋_GB2312" w:cs="仿宋_GB2312"/>
          <w:color w:val="auto"/>
          <w:sz w:val="32"/>
          <w:szCs w:val="32"/>
        </w:rPr>
        <w:t>边界噪声排放执行《工业企业厂界环境噪声排放标准》（GB12348-2008）3类区限值，即：昼间≤65dB(A)，夜间≤55dB(A)</w:t>
      </w:r>
      <w:r>
        <w:rPr>
          <w:rFonts w:eastAsia="仿宋_GB2312"/>
          <w:color w:val="auto"/>
          <w:sz w:val="32"/>
          <w:szCs w:val="32"/>
        </w:rPr>
        <w:t>。</w:t>
      </w:r>
    </w:p>
    <w:p w14:paraId="6B3DC608">
      <w:pPr>
        <w:ind w:firstLine="640" w:firstLineChars="200"/>
        <w:rPr>
          <w:rFonts w:eastAsia="仿宋_GB2312"/>
          <w:color w:val="auto"/>
          <w:sz w:val="32"/>
          <w:szCs w:val="32"/>
        </w:rPr>
      </w:pPr>
      <w:r>
        <w:rPr>
          <w:rFonts w:eastAsia="仿宋_GB2312"/>
          <w:color w:val="auto"/>
          <w:sz w:val="32"/>
          <w:szCs w:val="32"/>
        </w:rPr>
        <w:t>三、该项目应当认真落实《报告表》提出的各项环境保护措施，重点做好以下工作：</w:t>
      </w:r>
    </w:p>
    <w:p w14:paraId="29C99FB4">
      <w:pPr>
        <w:ind w:firstLine="640" w:firstLineChars="200"/>
        <w:rPr>
          <w:rFonts w:eastAsia="仿宋_GB2312"/>
          <w:color w:val="auto"/>
          <w:sz w:val="32"/>
          <w:szCs w:val="32"/>
        </w:rPr>
      </w:pPr>
      <w:r>
        <w:rPr>
          <w:rFonts w:eastAsia="仿宋_GB2312"/>
          <w:color w:val="auto"/>
          <w:sz w:val="32"/>
          <w:szCs w:val="32"/>
        </w:rPr>
        <w:t>（一）</w:t>
      </w:r>
      <w:r>
        <w:rPr>
          <w:rFonts w:hint="eastAsia" w:eastAsia="仿宋_GB2312"/>
          <w:color w:val="auto"/>
          <w:sz w:val="32"/>
          <w:szCs w:val="32"/>
          <w:lang w:val="en-US" w:eastAsia="zh-CN"/>
        </w:rPr>
        <w:t>总装检测尾气通过自带三元催化装置处理后，经套管管道引至不低于15米高排气筒排放；项目储油罐装卸（储罐“大”呼吸）油气经一级油气回收系统（即卸油油气回收系统）回收后无组织排放；汽车加油过程油气经二次回收系统回收后无组织排放；项目油品贮存（储罐“小”呼吸）产生的油气经油气回收装置（冷凝炭吸附工艺）回收后采用油气处理装置排气口（高度4米）排放</w:t>
      </w:r>
      <w:r>
        <w:rPr>
          <w:rFonts w:hint="eastAsia" w:eastAsia="仿宋_GB2312"/>
          <w:color w:val="auto"/>
          <w:sz w:val="32"/>
          <w:szCs w:val="32"/>
        </w:rPr>
        <w:t>。</w:t>
      </w:r>
      <w:r>
        <w:rPr>
          <w:rFonts w:eastAsia="仿宋_GB2312"/>
          <w:color w:val="auto"/>
          <w:sz w:val="32"/>
          <w:szCs w:val="32"/>
        </w:rPr>
        <w:t>项目</w:t>
      </w:r>
      <w:r>
        <w:rPr>
          <w:rFonts w:hint="eastAsia" w:eastAsia="仿宋_GB2312"/>
          <w:color w:val="auto"/>
          <w:sz w:val="32"/>
          <w:szCs w:val="32"/>
          <w:lang w:val="en-US" w:eastAsia="zh-CN"/>
        </w:rPr>
        <w:t>新增</w:t>
      </w:r>
      <w:r>
        <w:rPr>
          <w:rFonts w:eastAsia="仿宋_GB2312"/>
          <w:color w:val="auto"/>
          <w:sz w:val="32"/>
          <w:szCs w:val="32"/>
        </w:rPr>
        <w:t>废气排放口</w:t>
      </w:r>
      <w:r>
        <w:rPr>
          <w:rFonts w:hint="eastAsia" w:eastAsia="仿宋_GB2312"/>
          <w:color w:val="auto"/>
          <w:sz w:val="32"/>
          <w:szCs w:val="32"/>
          <w:lang w:val="en-US" w:eastAsia="zh-CN"/>
        </w:rPr>
        <w:t>2</w:t>
      </w:r>
      <w:r>
        <w:rPr>
          <w:rFonts w:eastAsia="仿宋_GB2312"/>
          <w:color w:val="auto"/>
          <w:sz w:val="32"/>
          <w:szCs w:val="32"/>
        </w:rPr>
        <w:t>个。</w:t>
      </w:r>
    </w:p>
    <w:p w14:paraId="6A5E24C4">
      <w:pPr>
        <w:ind w:firstLine="640" w:firstLineChars="200"/>
        <w:rPr>
          <w:rFonts w:eastAsia="仿宋_GB2312"/>
          <w:color w:val="auto"/>
          <w:sz w:val="32"/>
          <w:szCs w:val="32"/>
        </w:rPr>
      </w:pPr>
      <w:r>
        <w:rPr>
          <w:rFonts w:eastAsia="仿宋_GB2312"/>
          <w:color w:val="auto"/>
          <w:sz w:val="32"/>
          <w:szCs w:val="32"/>
        </w:rPr>
        <w:t>加强车间边界无组织排放废气的监控，确保车间边界无组织排放监控点的废气达到相应标准限值的要求，监测超标时应对无组织排放废气进行收集、净化处理。</w:t>
      </w:r>
    </w:p>
    <w:p w14:paraId="0859A366">
      <w:pPr>
        <w:ind w:firstLine="640" w:firstLineChars="200"/>
        <w:rPr>
          <w:rFonts w:eastAsia="仿宋_GB2312"/>
          <w:color w:val="auto"/>
          <w:sz w:val="32"/>
          <w:szCs w:val="32"/>
        </w:rPr>
      </w:pPr>
      <w:r>
        <w:rPr>
          <w:rFonts w:eastAsia="仿宋_GB2312"/>
          <w:color w:val="auto"/>
          <w:sz w:val="32"/>
          <w:szCs w:val="32"/>
        </w:rPr>
        <w:t>（</w:t>
      </w:r>
      <w:r>
        <w:rPr>
          <w:rFonts w:hint="eastAsia" w:eastAsia="仿宋_GB2312"/>
          <w:color w:val="auto"/>
          <w:sz w:val="32"/>
          <w:szCs w:val="32"/>
          <w:lang w:val="en-US" w:eastAsia="zh-CN"/>
        </w:rPr>
        <w:t>二</w:t>
      </w:r>
      <w:r>
        <w:rPr>
          <w:rFonts w:eastAsia="仿宋_GB2312"/>
          <w:color w:val="auto"/>
          <w:sz w:val="32"/>
          <w:szCs w:val="32"/>
        </w:rPr>
        <w:t>）选用低噪声设备，合理布设生产车间，对噪声源采取隔声、减振等措施，定期检修设备。</w:t>
      </w:r>
    </w:p>
    <w:p w14:paraId="72B23ABD">
      <w:pPr>
        <w:ind w:firstLine="640" w:firstLineChars="200"/>
        <w:rPr>
          <w:rFonts w:eastAsia="仿宋_GB2312"/>
          <w:color w:val="auto"/>
          <w:sz w:val="32"/>
          <w:szCs w:val="32"/>
        </w:rPr>
      </w:pPr>
      <w:r>
        <w:rPr>
          <w:rFonts w:eastAsia="仿宋_GB2312"/>
          <w:color w:val="auto"/>
          <w:sz w:val="32"/>
          <w:szCs w:val="32"/>
        </w:rPr>
        <w:t>（</w:t>
      </w:r>
      <w:r>
        <w:rPr>
          <w:rFonts w:hint="eastAsia" w:eastAsia="仿宋_GB2312"/>
          <w:color w:val="auto"/>
          <w:sz w:val="32"/>
          <w:szCs w:val="32"/>
          <w:lang w:val="en-US" w:eastAsia="zh-CN"/>
        </w:rPr>
        <w:t>三</w:t>
      </w:r>
      <w:r>
        <w:rPr>
          <w:rFonts w:eastAsia="仿宋_GB2312"/>
          <w:color w:val="auto"/>
          <w:sz w:val="32"/>
          <w:szCs w:val="32"/>
        </w:rPr>
        <w:t>）</w:t>
      </w:r>
      <w:r>
        <w:rPr>
          <w:rFonts w:hint="eastAsia" w:eastAsia="仿宋_GB2312"/>
          <w:color w:val="auto"/>
          <w:sz w:val="32"/>
          <w:szCs w:val="32"/>
        </w:rPr>
        <w:t>含油抹布、手套</w:t>
      </w:r>
      <w:r>
        <w:rPr>
          <w:rFonts w:hint="eastAsia" w:eastAsia="仿宋_GB2312"/>
          <w:color w:val="auto"/>
          <w:sz w:val="32"/>
          <w:szCs w:val="32"/>
          <w:lang w:eastAsia="zh-CN"/>
        </w:rPr>
        <w:t>、</w:t>
      </w:r>
      <w:r>
        <w:rPr>
          <w:rFonts w:hint="eastAsia" w:eastAsia="仿宋_GB2312"/>
          <w:color w:val="auto"/>
          <w:sz w:val="32"/>
          <w:szCs w:val="32"/>
          <w:lang w:val="en-US" w:eastAsia="zh-CN"/>
        </w:rPr>
        <w:t>废活性炭等</w:t>
      </w:r>
      <w:r>
        <w:rPr>
          <w:rFonts w:eastAsia="仿宋_GB2312"/>
          <w:color w:val="auto"/>
          <w:sz w:val="32"/>
          <w:szCs w:val="32"/>
        </w:rPr>
        <w:t>属于危险废物的须设置符合《危险废物贮存污染控制标准》（GB18597-2023）要求的专用贮存场所存放并委托具备危险废物处理资质的机构处理。</w:t>
      </w:r>
    </w:p>
    <w:p w14:paraId="0C9EE544">
      <w:pPr>
        <w:ind w:firstLine="640" w:firstLineChars="200"/>
        <w:rPr>
          <w:rFonts w:hint="eastAsia" w:eastAsia="仿宋_GB2312"/>
          <w:color w:val="auto"/>
          <w:sz w:val="32"/>
          <w:szCs w:val="32"/>
          <w:lang w:eastAsia="zh-CN"/>
        </w:rPr>
      </w:pPr>
      <w:r>
        <w:rPr>
          <w:rFonts w:eastAsia="仿宋_GB2312"/>
          <w:color w:val="auto"/>
          <w:sz w:val="32"/>
          <w:szCs w:val="32"/>
        </w:rPr>
        <w:t>（</w:t>
      </w:r>
      <w:r>
        <w:rPr>
          <w:rFonts w:hint="eastAsia" w:eastAsia="仿宋_GB2312"/>
          <w:color w:val="auto"/>
          <w:sz w:val="32"/>
          <w:szCs w:val="32"/>
          <w:lang w:val="en-US" w:eastAsia="zh-CN"/>
        </w:rPr>
        <w:t>四</w:t>
      </w:r>
      <w:r>
        <w:rPr>
          <w:rFonts w:eastAsia="仿宋_GB2312"/>
          <w:color w:val="auto"/>
          <w:sz w:val="32"/>
          <w:szCs w:val="32"/>
        </w:rPr>
        <w:t>）</w:t>
      </w:r>
      <w:r>
        <w:rPr>
          <w:rFonts w:hint="eastAsia" w:eastAsia="仿宋_GB2312"/>
          <w:color w:val="auto"/>
          <w:sz w:val="32"/>
          <w:szCs w:val="32"/>
        </w:rPr>
        <w:t>严格按《报告表》的要求落实环境风险防范措施和应急预案，建立健全环境事故应急体系，加强污染防治设施的管理和维护，设置足够容积的废水事故应急池，加强与区域环境风险防范体系的联动，切实防范环境污染事故发生</w:t>
      </w:r>
      <w:r>
        <w:rPr>
          <w:rFonts w:hint="eastAsia" w:eastAsia="仿宋_GB2312"/>
          <w:color w:val="auto"/>
          <w:sz w:val="32"/>
          <w:szCs w:val="32"/>
          <w:lang w:eastAsia="zh-CN"/>
        </w:rPr>
        <w:t>。</w:t>
      </w:r>
    </w:p>
    <w:p w14:paraId="21D51933">
      <w:pPr>
        <w:ind w:firstLine="640" w:firstLineChars="200"/>
        <w:rPr>
          <w:rFonts w:eastAsia="仿宋_GB2312"/>
          <w:color w:val="auto"/>
          <w:sz w:val="32"/>
          <w:szCs w:val="32"/>
        </w:rPr>
      </w:pPr>
      <w:r>
        <w:rPr>
          <w:rFonts w:eastAsia="仿宋_GB2312"/>
          <w:color w:val="auto"/>
          <w:sz w:val="32"/>
          <w:szCs w:val="32"/>
        </w:rPr>
        <w:t>四、该项目的性质、规模、地点、采用的生产工艺或者防治污染、防止生态破坏的措施发生重大变动的，你单位应当重新报批环境影响评价文件。</w:t>
      </w:r>
    </w:p>
    <w:p w14:paraId="4A405DFB">
      <w:pPr>
        <w:ind w:firstLine="640" w:firstLineChars="200"/>
        <w:rPr>
          <w:rFonts w:eastAsia="仿宋_GB2312"/>
          <w:color w:val="auto"/>
          <w:sz w:val="32"/>
          <w:szCs w:val="32"/>
        </w:rPr>
      </w:pPr>
      <w:r>
        <w:rPr>
          <w:rFonts w:eastAsia="仿宋_GB2312"/>
          <w:color w:val="auto"/>
          <w:sz w:val="32"/>
          <w:szCs w:val="32"/>
        </w:rPr>
        <w:t>五、自《报告表》批准之日起超过五年，方决定该项目开工建设的，《报告表》应当在开工建设前报我局重新审核。未经我局重新审核同意的，不得擅自开工建设。</w:t>
      </w:r>
    </w:p>
    <w:p w14:paraId="36C7CDBB">
      <w:pPr>
        <w:ind w:firstLine="640" w:firstLineChars="200"/>
        <w:rPr>
          <w:rFonts w:eastAsia="仿宋_GB2312"/>
          <w:color w:val="auto"/>
          <w:sz w:val="32"/>
          <w:szCs w:val="32"/>
        </w:rPr>
      </w:pPr>
      <w:r>
        <w:rPr>
          <w:rFonts w:eastAsia="仿宋_GB2312"/>
          <w:color w:val="auto"/>
          <w:sz w:val="32"/>
          <w:szCs w:val="32"/>
        </w:rPr>
        <w:t>六、该项目建设应严格执行配套建设的环境保护设施与主体工程同时设计、同时施工、同时投产使用的环境保护“三同时”制度，具体要求如下：</w:t>
      </w:r>
    </w:p>
    <w:p w14:paraId="07E93DDB">
      <w:pPr>
        <w:ind w:firstLine="640" w:firstLineChars="200"/>
        <w:rPr>
          <w:rFonts w:eastAsia="仿宋_GB2312"/>
          <w:color w:val="auto"/>
          <w:sz w:val="32"/>
          <w:szCs w:val="32"/>
        </w:rPr>
      </w:pPr>
      <w:r>
        <w:rPr>
          <w:rFonts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60FEA39D">
      <w:pPr>
        <w:ind w:firstLine="640" w:firstLineChars="200"/>
        <w:rPr>
          <w:rFonts w:eastAsia="仿宋_GB2312"/>
          <w:color w:val="auto"/>
          <w:sz w:val="32"/>
          <w:szCs w:val="32"/>
        </w:rPr>
      </w:pPr>
      <w:r>
        <w:rPr>
          <w:rFonts w:eastAsia="仿宋_GB2312"/>
          <w:color w:val="auto"/>
          <w:sz w:val="32"/>
          <w:szCs w:val="32"/>
        </w:rPr>
        <w:t>（二）项目配套建设的环境保护设施经验收合格后，方可投入生产或者使用。</w:t>
      </w:r>
    </w:p>
    <w:p w14:paraId="289917C3">
      <w:pPr>
        <w:ind w:firstLine="640" w:firstLineChars="200"/>
        <w:rPr>
          <w:rFonts w:eastAsia="仿宋_GB2312"/>
          <w:color w:val="auto"/>
          <w:sz w:val="32"/>
          <w:szCs w:val="32"/>
        </w:rPr>
      </w:pPr>
      <w:r>
        <w:rPr>
          <w:rFonts w:eastAsia="仿宋_GB2312"/>
          <w:color w:val="auto"/>
          <w:sz w:val="32"/>
          <w:szCs w:val="32"/>
        </w:rPr>
        <w:t>七、该项目建设和运行过程中如涉及规划、土地利用、建设、水务、消防、安全等问题，应遵照相关法律法规要求到相应的行政主管部门办理有关手续。</w:t>
      </w:r>
    </w:p>
    <w:p w14:paraId="5E9D5144">
      <w:pPr>
        <w:ind w:firstLine="640" w:firstLineChars="200"/>
        <w:rPr>
          <w:rFonts w:eastAsia="仿宋"/>
          <w:color w:val="auto"/>
        </w:rPr>
      </w:pPr>
      <w:r>
        <w:rPr>
          <w:rFonts w:eastAsia="仿宋_GB2312"/>
          <w:color w:val="auto"/>
          <w:sz w:val="32"/>
          <w:szCs w:val="32"/>
        </w:rPr>
        <w:t>八、</w:t>
      </w:r>
      <w:r>
        <w:rPr>
          <w:rFonts w:eastAsia="仿宋"/>
          <w:color w:val="auto"/>
          <w:sz w:val="32"/>
          <w:szCs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397108FD">
      <w:pPr>
        <w:pStyle w:val="18"/>
        <w:ind w:firstLine="636"/>
        <w:rPr>
          <w:rFonts w:eastAsia="仿宋_GB2312"/>
          <w:color w:val="auto"/>
          <w:sz w:val="32"/>
          <w:szCs w:val="32"/>
        </w:rPr>
      </w:pPr>
    </w:p>
    <w:p w14:paraId="2C4124C5">
      <w:pPr>
        <w:ind w:firstLine="4480" w:firstLineChars="1400"/>
        <w:rPr>
          <w:rFonts w:eastAsia="仿宋_GB2312"/>
          <w:color w:val="auto"/>
          <w:sz w:val="32"/>
          <w:szCs w:val="32"/>
        </w:rPr>
      </w:pPr>
    </w:p>
    <w:p w14:paraId="1E30909B">
      <w:pPr>
        <w:ind w:firstLine="4480" w:firstLineChars="1400"/>
        <w:rPr>
          <w:rFonts w:eastAsia="仿宋_GB2312"/>
          <w:color w:val="auto"/>
          <w:sz w:val="32"/>
          <w:szCs w:val="32"/>
        </w:rPr>
      </w:pPr>
    </w:p>
    <w:p w14:paraId="67D59877">
      <w:pPr>
        <w:ind w:firstLine="4480" w:firstLineChars="1400"/>
        <w:rPr>
          <w:rFonts w:eastAsia="仿宋_GB2312"/>
          <w:color w:val="auto"/>
          <w:sz w:val="32"/>
          <w:szCs w:val="32"/>
        </w:rPr>
      </w:pPr>
      <w:r>
        <w:rPr>
          <w:rFonts w:eastAsia="仿宋_GB2312"/>
          <w:color w:val="auto"/>
          <w:sz w:val="32"/>
          <w:szCs w:val="32"/>
        </w:rPr>
        <w:t xml:space="preserve">    广州市生态环境局</w:t>
      </w:r>
    </w:p>
    <w:p w14:paraId="21C9A226">
      <w:pPr>
        <w:tabs>
          <w:tab w:val="left" w:pos="7371"/>
          <w:tab w:val="left" w:pos="7655"/>
          <w:tab w:val="left" w:pos="7797"/>
        </w:tabs>
        <w:ind w:firstLine="4480" w:firstLineChars="1400"/>
        <w:rPr>
          <w:rFonts w:eastAsia="仿宋_GB2312"/>
          <w:color w:val="auto"/>
          <w:sz w:val="32"/>
          <w:szCs w:val="32"/>
        </w:rPr>
      </w:pPr>
      <w:r>
        <w:rPr>
          <w:rFonts w:eastAsia="仿宋_GB2312"/>
          <w:color w:val="auto"/>
          <w:sz w:val="32"/>
          <w:szCs w:val="32"/>
        </w:rPr>
        <w:t xml:space="preserve">     202</w:t>
      </w:r>
      <w:r>
        <w:rPr>
          <w:rFonts w:hint="eastAsia" w:eastAsia="仿宋_GB2312"/>
          <w:color w:val="auto"/>
          <w:sz w:val="32"/>
          <w:szCs w:val="32"/>
          <w:lang w:val="en-US" w:eastAsia="zh-CN"/>
        </w:rPr>
        <w:t>5</w:t>
      </w:r>
      <w:r>
        <w:rPr>
          <w:rFonts w:eastAsia="仿宋_GB2312"/>
          <w:color w:val="auto"/>
          <w:sz w:val="32"/>
          <w:szCs w:val="32"/>
        </w:rPr>
        <w:t>年</w:t>
      </w:r>
      <w:r>
        <w:rPr>
          <w:rFonts w:hint="eastAsia" w:eastAsia="仿宋_GB2312"/>
          <w:color w:val="auto"/>
          <w:sz w:val="32"/>
          <w:szCs w:val="32"/>
          <w:lang w:val="en-US" w:eastAsia="zh-CN"/>
        </w:rPr>
        <w:t>7</w:t>
      </w:r>
      <w:r>
        <w:rPr>
          <w:rFonts w:eastAsia="仿宋_GB2312"/>
          <w:color w:val="auto"/>
          <w:sz w:val="32"/>
          <w:szCs w:val="32"/>
        </w:rPr>
        <w:t>月</w:t>
      </w:r>
      <w:r>
        <w:rPr>
          <w:rFonts w:hint="eastAsia" w:eastAsia="仿宋_GB2312"/>
          <w:color w:val="auto"/>
          <w:sz w:val="32"/>
          <w:szCs w:val="32"/>
          <w:lang w:val="en-US" w:eastAsia="zh-CN"/>
        </w:rPr>
        <w:t>14</w:t>
      </w:r>
      <w:r>
        <w:rPr>
          <w:rFonts w:eastAsia="仿宋_GB2312"/>
          <w:color w:val="auto"/>
          <w:sz w:val="32"/>
          <w:szCs w:val="32"/>
        </w:rPr>
        <w:t>日</w:t>
      </w:r>
    </w:p>
    <w:p w14:paraId="3363AF48">
      <w:pPr>
        <w:rPr>
          <w:rFonts w:eastAsia="仿宋_GB2312"/>
          <w:color w:val="auto"/>
          <w:sz w:val="32"/>
          <w:szCs w:val="32"/>
        </w:rPr>
      </w:pPr>
      <w:r>
        <w:rPr>
          <w:rFonts w:eastAsia="黑体"/>
          <w:color w:val="auto"/>
          <w:sz w:val="32"/>
          <w:szCs w:val="32"/>
        </w:rPr>
        <w:t>公开方式：</w:t>
      </w:r>
      <w:r>
        <w:rPr>
          <w:rFonts w:eastAsia="仿宋_GB2312"/>
          <w:color w:val="auto"/>
          <w:sz w:val="32"/>
          <w:szCs w:val="32"/>
        </w:rPr>
        <w:t>主动公开</w:t>
      </w:r>
    </w:p>
    <w:p w14:paraId="14552F0F">
      <w:pPr>
        <w:rPr>
          <w:rFonts w:eastAsia="仿宋_GB2312"/>
          <w:color w:val="auto"/>
          <w:sz w:val="32"/>
          <w:szCs w:val="32"/>
        </w:rPr>
      </w:pPr>
    </w:p>
    <w:p w14:paraId="44364267">
      <w:pPr>
        <w:ind w:left="1133" w:leftChars="201" w:hanging="711" w:hangingChars="254"/>
        <w:rPr>
          <w:rFonts w:eastAsia="仿宋_GB2312"/>
          <w:color w:val="auto"/>
          <w:sz w:val="28"/>
          <w:szCs w:val="28"/>
        </w:rPr>
      </w:pPr>
      <w:r>
        <w:rPr>
          <w:rFonts w:eastAsia="仿宋_GB2312"/>
          <w:color w:val="auto"/>
          <w:sz w:val="28"/>
          <w:szCs w:val="28"/>
        </w:rPr>
        <w:t>抄送：广州市生态环境局番禺分局执法</w:t>
      </w:r>
      <w:r>
        <w:rPr>
          <w:rFonts w:hint="eastAsia" w:eastAsia="仿宋_GB2312"/>
          <w:color w:val="auto"/>
          <w:sz w:val="28"/>
          <w:szCs w:val="28"/>
          <w:lang w:val="en-US" w:eastAsia="zh-CN"/>
        </w:rPr>
        <w:t>二</w:t>
      </w:r>
      <w:r>
        <w:rPr>
          <w:rFonts w:eastAsia="仿宋_GB2312"/>
          <w:color w:val="auto"/>
          <w:sz w:val="28"/>
          <w:szCs w:val="28"/>
        </w:rPr>
        <w:t>科、番禺第</w:t>
      </w:r>
      <w:r>
        <w:rPr>
          <w:rFonts w:hint="eastAsia" w:eastAsia="仿宋_GB2312"/>
          <w:color w:val="auto"/>
          <w:sz w:val="28"/>
          <w:szCs w:val="28"/>
          <w:lang w:val="en-US" w:eastAsia="zh-CN"/>
        </w:rPr>
        <w:t>四</w:t>
      </w:r>
      <w:r>
        <w:rPr>
          <w:rFonts w:eastAsia="仿宋_GB2312"/>
          <w:color w:val="auto"/>
          <w:sz w:val="28"/>
          <w:szCs w:val="28"/>
        </w:rPr>
        <w:t>环保所，</w:t>
      </w:r>
      <w:r>
        <w:rPr>
          <w:rFonts w:hint="eastAsia" w:eastAsia="仿宋_GB2312"/>
          <w:color w:val="auto"/>
          <w:sz w:val="28"/>
          <w:szCs w:val="28"/>
        </w:rPr>
        <w:t>广州粤环环保科技有限公司</w:t>
      </w:r>
      <w:r>
        <w:rPr>
          <w:rFonts w:eastAsia="仿宋_GB2312"/>
          <w:color w:val="auto"/>
          <w:sz w:val="28"/>
          <w:szCs w:val="28"/>
        </w:rPr>
        <w:t>。</w:t>
      </w:r>
    </w:p>
    <w:p w14:paraId="7867679A">
      <w:pPr>
        <w:ind w:left="1133" w:leftChars="201" w:hanging="711" w:hangingChars="254"/>
        <w:rPr>
          <w:rFonts w:eastAsia="仿宋_GB2312"/>
          <w:color w:val="auto"/>
          <w:sz w:val="28"/>
          <w:szCs w:val="28"/>
        </w:rPr>
      </w:pPr>
    </w:p>
    <w:sectPr>
      <w:footerReference r:id="rId3" w:type="default"/>
      <w:footerReference r:id="rId4" w:type="even"/>
      <w:pgSz w:w="11906" w:h="16838"/>
      <w:pgMar w:top="1701" w:right="1474" w:bottom="1134" w:left="1588" w:header="851" w:footer="624" w:gutter="0"/>
      <w:cols w:space="720"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方正小标宋简体"/>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C1B09">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5</w:t>
    </w:r>
    <w:r>
      <w:rPr>
        <w:rFonts w:ascii="宋体" w:hAnsi="宋体"/>
        <w:sz w:val="28"/>
        <w:szCs w:val="28"/>
      </w:rPr>
      <w:fldChar w:fldCharType="end"/>
    </w:r>
    <w:r>
      <w:rPr>
        <w:rStyle w:val="9"/>
        <w:rFonts w:hint="eastAsia" w:ascii="宋体" w:hAnsi="宋体"/>
        <w:sz w:val="28"/>
        <w:szCs w:val="28"/>
      </w:rPr>
      <w:t xml:space="preserve"> —</w:t>
    </w:r>
  </w:p>
  <w:p w14:paraId="2F1968E2">
    <w:pPr>
      <w:pStyle w:val="4"/>
      <w:ind w:right="360" w:firstLine="360"/>
      <w:jc w:val="center"/>
      <w:rPr>
        <w:sz w:val="28"/>
        <w:szCs w:val="28"/>
      </w:rPr>
    </w:pPr>
  </w:p>
  <w:p w14:paraId="22D8072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009F6">
    <w:pPr>
      <w:pStyle w:val="4"/>
      <w:framePr w:wrap="around" w:vAnchor="text" w:hAnchor="margin" w:xAlign="outside" w:y="1"/>
      <w:rPr>
        <w:rStyle w:val="9"/>
      </w:rPr>
    </w:pPr>
    <w:r>
      <w:fldChar w:fldCharType="begin"/>
    </w:r>
    <w:r>
      <w:rPr>
        <w:rStyle w:val="9"/>
      </w:rPr>
      <w:instrText xml:space="preserve">PAGE  </w:instrText>
    </w:r>
    <w:r>
      <w:fldChar w:fldCharType="end"/>
    </w:r>
  </w:p>
  <w:p w14:paraId="1A866E71">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243C8"/>
    <w:multiLevelType w:val="singleLevel"/>
    <w:tmpl w:val="D15243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1C"/>
    <w:rsid w:val="00001C85"/>
    <w:rsid w:val="00015EDE"/>
    <w:rsid w:val="00047670"/>
    <w:rsid w:val="00047F69"/>
    <w:rsid w:val="00082A5C"/>
    <w:rsid w:val="000832FD"/>
    <w:rsid w:val="000852F9"/>
    <w:rsid w:val="00090CE7"/>
    <w:rsid w:val="00097289"/>
    <w:rsid w:val="000B070F"/>
    <w:rsid w:val="000B4C18"/>
    <w:rsid w:val="000C301C"/>
    <w:rsid w:val="000C3889"/>
    <w:rsid w:val="000C3CB8"/>
    <w:rsid w:val="000D56D5"/>
    <w:rsid w:val="000D6A43"/>
    <w:rsid w:val="00104C9C"/>
    <w:rsid w:val="00115337"/>
    <w:rsid w:val="0012593F"/>
    <w:rsid w:val="00145974"/>
    <w:rsid w:val="00151CBA"/>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71C08"/>
    <w:rsid w:val="00272176"/>
    <w:rsid w:val="0028081C"/>
    <w:rsid w:val="00283EC7"/>
    <w:rsid w:val="002840F5"/>
    <w:rsid w:val="00290A95"/>
    <w:rsid w:val="002915FD"/>
    <w:rsid w:val="002A78A2"/>
    <w:rsid w:val="002B3756"/>
    <w:rsid w:val="002C0C0E"/>
    <w:rsid w:val="002C13BB"/>
    <w:rsid w:val="002D01F1"/>
    <w:rsid w:val="002D6E72"/>
    <w:rsid w:val="002F222A"/>
    <w:rsid w:val="003016C4"/>
    <w:rsid w:val="00323D70"/>
    <w:rsid w:val="003275AA"/>
    <w:rsid w:val="00334F3A"/>
    <w:rsid w:val="00347973"/>
    <w:rsid w:val="003551D8"/>
    <w:rsid w:val="003804CF"/>
    <w:rsid w:val="00396136"/>
    <w:rsid w:val="003D6927"/>
    <w:rsid w:val="003E6957"/>
    <w:rsid w:val="003F1D2D"/>
    <w:rsid w:val="0042675C"/>
    <w:rsid w:val="004366AD"/>
    <w:rsid w:val="00436E68"/>
    <w:rsid w:val="004422C8"/>
    <w:rsid w:val="00464587"/>
    <w:rsid w:val="00466E9D"/>
    <w:rsid w:val="0047490D"/>
    <w:rsid w:val="0048602A"/>
    <w:rsid w:val="004A38CF"/>
    <w:rsid w:val="004A62BA"/>
    <w:rsid w:val="004C5EFD"/>
    <w:rsid w:val="004D0859"/>
    <w:rsid w:val="004D586D"/>
    <w:rsid w:val="004E13C9"/>
    <w:rsid w:val="004E567A"/>
    <w:rsid w:val="00511456"/>
    <w:rsid w:val="00521A96"/>
    <w:rsid w:val="00527C59"/>
    <w:rsid w:val="0053095F"/>
    <w:rsid w:val="0053590B"/>
    <w:rsid w:val="00564EB8"/>
    <w:rsid w:val="0059052A"/>
    <w:rsid w:val="005A149B"/>
    <w:rsid w:val="005B12AD"/>
    <w:rsid w:val="005B6D04"/>
    <w:rsid w:val="005C24D6"/>
    <w:rsid w:val="005C69AB"/>
    <w:rsid w:val="005D060E"/>
    <w:rsid w:val="005E3B4A"/>
    <w:rsid w:val="005F76D5"/>
    <w:rsid w:val="0062245C"/>
    <w:rsid w:val="00640DE7"/>
    <w:rsid w:val="00641192"/>
    <w:rsid w:val="006576FA"/>
    <w:rsid w:val="00675205"/>
    <w:rsid w:val="00677228"/>
    <w:rsid w:val="00693BD5"/>
    <w:rsid w:val="006A28F5"/>
    <w:rsid w:val="006A6965"/>
    <w:rsid w:val="006B2BAD"/>
    <w:rsid w:val="006D0170"/>
    <w:rsid w:val="006D7C57"/>
    <w:rsid w:val="006E5889"/>
    <w:rsid w:val="006F15BA"/>
    <w:rsid w:val="006F29B5"/>
    <w:rsid w:val="00707832"/>
    <w:rsid w:val="007158E4"/>
    <w:rsid w:val="00716C4E"/>
    <w:rsid w:val="00730C65"/>
    <w:rsid w:val="007443DC"/>
    <w:rsid w:val="00750DBF"/>
    <w:rsid w:val="00753DD4"/>
    <w:rsid w:val="00753DDF"/>
    <w:rsid w:val="00765E1C"/>
    <w:rsid w:val="007847A3"/>
    <w:rsid w:val="00790E97"/>
    <w:rsid w:val="007B29D0"/>
    <w:rsid w:val="007B438D"/>
    <w:rsid w:val="007B5088"/>
    <w:rsid w:val="007C5CB3"/>
    <w:rsid w:val="00802F15"/>
    <w:rsid w:val="008170AC"/>
    <w:rsid w:val="008372CA"/>
    <w:rsid w:val="00842FEA"/>
    <w:rsid w:val="0086236D"/>
    <w:rsid w:val="00884916"/>
    <w:rsid w:val="008865F4"/>
    <w:rsid w:val="0089687C"/>
    <w:rsid w:val="008B3E8D"/>
    <w:rsid w:val="008C31B7"/>
    <w:rsid w:val="008D6E09"/>
    <w:rsid w:val="008D701C"/>
    <w:rsid w:val="008E07FB"/>
    <w:rsid w:val="008F3EEB"/>
    <w:rsid w:val="008F580D"/>
    <w:rsid w:val="00902B79"/>
    <w:rsid w:val="00902C55"/>
    <w:rsid w:val="00926C10"/>
    <w:rsid w:val="00932FC7"/>
    <w:rsid w:val="0093611D"/>
    <w:rsid w:val="009473C5"/>
    <w:rsid w:val="00950FC2"/>
    <w:rsid w:val="009544A8"/>
    <w:rsid w:val="0096566C"/>
    <w:rsid w:val="00972A29"/>
    <w:rsid w:val="00974E8C"/>
    <w:rsid w:val="009A3DB2"/>
    <w:rsid w:val="009C5976"/>
    <w:rsid w:val="009C5EB5"/>
    <w:rsid w:val="009C790D"/>
    <w:rsid w:val="009D272F"/>
    <w:rsid w:val="009D34AC"/>
    <w:rsid w:val="009E0D72"/>
    <w:rsid w:val="009E1AD4"/>
    <w:rsid w:val="009E5416"/>
    <w:rsid w:val="00A36142"/>
    <w:rsid w:val="00A40AFA"/>
    <w:rsid w:val="00A56A9B"/>
    <w:rsid w:val="00A9748E"/>
    <w:rsid w:val="00AC047D"/>
    <w:rsid w:val="00AC648A"/>
    <w:rsid w:val="00AC7BAA"/>
    <w:rsid w:val="00AD33EF"/>
    <w:rsid w:val="00AE0762"/>
    <w:rsid w:val="00AE5E03"/>
    <w:rsid w:val="00AF7F2C"/>
    <w:rsid w:val="00B10676"/>
    <w:rsid w:val="00B15884"/>
    <w:rsid w:val="00B30042"/>
    <w:rsid w:val="00B31FB2"/>
    <w:rsid w:val="00B42B25"/>
    <w:rsid w:val="00B45736"/>
    <w:rsid w:val="00B5742B"/>
    <w:rsid w:val="00B71F4F"/>
    <w:rsid w:val="00B805AF"/>
    <w:rsid w:val="00B837BD"/>
    <w:rsid w:val="00B90EAA"/>
    <w:rsid w:val="00B95160"/>
    <w:rsid w:val="00B95EC7"/>
    <w:rsid w:val="00BB16F4"/>
    <w:rsid w:val="00BB1C8A"/>
    <w:rsid w:val="00BB73EF"/>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74EA0"/>
    <w:rsid w:val="00C76BD4"/>
    <w:rsid w:val="00C850D2"/>
    <w:rsid w:val="00C8740F"/>
    <w:rsid w:val="00CC70BC"/>
    <w:rsid w:val="00CD225F"/>
    <w:rsid w:val="00CF1B16"/>
    <w:rsid w:val="00D01DA0"/>
    <w:rsid w:val="00D02618"/>
    <w:rsid w:val="00D0455B"/>
    <w:rsid w:val="00D051BE"/>
    <w:rsid w:val="00D205FC"/>
    <w:rsid w:val="00D37BB0"/>
    <w:rsid w:val="00D55BFA"/>
    <w:rsid w:val="00D6485C"/>
    <w:rsid w:val="00D70C73"/>
    <w:rsid w:val="00D74A06"/>
    <w:rsid w:val="00D76AC3"/>
    <w:rsid w:val="00D87223"/>
    <w:rsid w:val="00DB438D"/>
    <w:rsid w:val="00DD3F0C"/>
    <w:rsid w:val="00DE30EF"/>
    <w:rsid w:val="00DF26FF"/>
    <w:rsid w:val="00DF376C"/>
    <w:rsid w:val="00DF7771"/>
    <w:rsid w:val="00E23AD5"/>
    <w:rsid w:val="00E44B98"/>
    <w:rsid w:val="00E52C18"/>
    <w:rsid w:val="00E61A5F"/>
    <w:rsid w:val="00E9508B"/>
    <w:rsid w:val="00E95F22"/>
    <w:rsid w:val="00EB0FC1"/>
    <w:rsid w:val="00ED426B"/>
    <w:rsid w:val="00ED656B"/>
    <w:rsid w:val="00EE0C36"/>
    <w:rsid w:val="00EE295C"/>
    <w:rsid w:val="00EE5C65"/>
    <w:rsid w:val="00EE5F9D"/>
    <w:rsid w:val="00F02188"/>
    <w:rsid w:val="00F05A97"/>
    <w:rsid w:val="00F1261C"/>
    <w:rsid w:val="00F27B34"/>
    <w:rsid w:val="00F8191D"/>
    <w:rsid w:val="00FB1867"/>
    <w:rsid w:val="00FB5B94"/>
    <w:rsid w:val="00FC2FF1"/>
    <w:rsid w:val="00FD7864"/>
    <w:rsid w:val="00FF05C9"/>
    <w:rsid w:val="00FF121F"/>
    <w:rsid w:val="02E84D6A"/>
    <w:rsid w:val="09C3083D"/>
    <w:rsid w:val="0B452328"/>
    <w:rsid w:val="1AAB6312"/>
    <w:rsid w:val="211E3C9F"/>
    <w:rsid w:val="26A97E20"/>
    <w:rsid w:val="2A626426"/>
    <w:rsid w:val="3A4C296D"/>
    <w:rsid w:val="520270E8"/>
    <w:rsid w:val="6176180D"/>
    <w:rsid w:val="677B5250"/>
    <w:rsid w:val="686B2E13"/>
    <w:rsid w:val="6DF02B81"/>
    <w:rsid w:val="708819D1"/>
    <w:rsid w:val="73772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character" w:styleId="9">
    <w:name w:val="page number"/>
    <w:basedOn w:val="8"/>
    <w:qFormat/>
    <w:uiPriority w:val="0"/>
  </w:style>
  <w:style w:type="character" w:styleId="10">
    <w:name w:val="annotation reference"/>
    <w:unhideWhenUsed/>
    <w:qFormat/>
    <w:uiPriority w:val="99"/>
    <w:rPr>
      <w:sz w:val="21"/>
      <w:szCs w:val="21"/>
    </w:rPr>
  </w:style>
  <w:style w:type="character" w:customStyle="1" w:styleId="11">
    <w:name w:val="页脚 Char"/>
    <w:link w:val="4"/>
    <w:qFormat/>
    <w:uiPriority w:val="99"/>
    <w:rPr>
      <w:kern w:val="2"/>
      <w:sz w:val="18"/>
      <w:szCs w:val="18"/>
    </w:rPr>
  </w:style>
  <w:style w:type="character" w:customStyle="1" w:styleId="12">
    <w:name w:val="页眉 Char"/>
    <w:link w:val="5"/>
    <w:semiHidden/>
    <w:qFormat/>
    <w:uiPriority w:val="99"/>
    <w:rPr>
      <w:kern w:val="2"/>
      <w:sz w:val="18"/>
      <w:szCs w:val="18"/>
    </w:rPr>
  </w:style>
  <w:style w:type="character" w:customStyle="1" w:styleId="13">
    <w:name w:val="批注框文本 Char"/>
    <w:link w:val="3"/>
    <w:semiHidden/>
    <w:qFormat/>
    <w:uiPriority w:val="99"/>
    <w:rPr>
      <w:kern w:val="2"/>
      <w:sz w:val="18"/>
      <w:szCs w:val="18"/>
    </w:rPr>
  </w:style>
  <w:style w:type="character" w:customStyle="1" w:styleId="14">
    <w:name w:val="批注主题 Char"/>
    <w:link w:val="6"/>
    <w:semiHidden/>
    <w:qFormat/>
    <w:uiPriority w:val="99"/>
    <w:rPr>
      <w:b/>
      <w:bCs/>
      <w:kern w:val="2"/>
      <w:sz w:val="21"/>
      <w:szCs w:val="22"/>
    </w:rPr>
  </w:style>
  <w:style w:type="character" w:customStyle="1" w:styleId="15">
    <w:name w:val="批注文字 Char"/>
    <w:link w:val="2"/>
    <w:semiHidden/>
    <w:qFormat/>
    <w:uiPriority w:val="99"/>
    <w:rPr>
      <w:kern w:val="2"/>
      <w:sz w:val="21"/>
      <w:szCs w:val="22"/>
    </w:rPr>
  </w:style>
  <w:style w:type="paragraph" w:customStyle="1" w:styleId="16">
    <w:name w:val="Char1"/>
    <w:basedOn w:val="1"/>
    <w:qFormat/>
    <w:uiPriority w:val="0"/>
    <w:pPr>
      <w:tabs>
        <w:tab w:val="left" w:pos="840"/>
      </w:tabs>
      <w:ind w:left="840" w:hanging="420"/>
    </w:pPr>
    <w:rPr>
      <w:sz w:val="24"/>
      <w:szCs w:val="24"/>
    </w:rPr>
  </w:style>
  <w:style w:type="paragraph" w:customStyle="1" w:styleId="17">
    <w:name w:val="Revision"/>
    <w:semiHidden/>
    <w:qFormat/>
    <w:uiPriority w:val="99"/>
    <w:rPr>
      <w:rFonts w:ascii="Times New Roman" w:hAnsi="Times New Roman"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yu\2021&#24180;&#23457;&#25209;&#31185;&#24037;&#20316;1\&#29615;&#35780;&#25209;&#22797;&#27169;&#26495;\&#12304;&#29615;&#35780;&#25209;&#22797;&#27169;&#26495;&#12305;&#29615;&#35780;&#25253;&#21578;&#34920;&#65288;2022&#24180;1&#26376;&#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A9E0-8664-4659-84DA-5059E74302A2}">
  <ds:schemaRefs/>
</ds:datastoreItem>
</file>

<file path=docProps/app.xml><?xml version="1.0" encoding="utf-8"?>
<Properties xmlns="http://schemas.openxmlformats.org/officeDocument/2006/extended-properties" xmlns:vt="http://schemas.openxmlformats.org/officeDocument/2006/docPropsVTypes">
  <Template>【环评批复模板】环评报告表（2022年1月版）.dot</Template>
  <Pages>5</Pages>
  <Words>1945</Words>
  <Characters>2104</Characters>
  <Lines>14</Lines>
  <Paragraphs>4</Paragraphs>
  <TotalTime>13</TotalTime>
  <ScaleCrop>false</ScaleCrop>
  <LinksUpToDate>false</LinksUpToDate>
  <CharactersWithSpaces>2152</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2022-01-04T11:34:00Z</dcterms:created>
  <dc:creator>Administrator</dc:creator>
  <cp:lastModifiedBy>1</cp:lastModifiedBy>
  <dcterms:modified xsi:type="dcterms:W3CDTF">2025-07-14T07:56:10Z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KSOTemplateDocerSaveRecord">
    <vt:lpwstr>eyJoZGlkIjoiOTFmYTNmMGY4YzliOTEyNGRkM2M5OTJiMTUxNWY2YjkiLCJ1c2VySWQiOiIxMDI2OTE4Mzc5In0=</vt:lpwstr>
  </property>
  <property fmtid="{D5CDD505-2E9C-101B-9397-08002B2CF9AE}" pid="5" name="ICV">
    <vt:lpwstr>68084B15A9BE486388A6728E3C1D8369_13</vt:lpwstr>
  </property>
</Properties>
</file>