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88</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w:t>
      </w:r>
      <w:r>
        <w:rPr>
          <w:rFonts w:hint="eastAsia" w:ascii="方正小标宋简体" w:eastAsia="方正小标宋简体"/>
          <w:color w:val="auto"/>
          <w:sz w:val="44"/>
          <w:szCs w:val="44"/>
          <w:lang w:eastAsia="zh-CN"/>
        </w:rPr>
        <w:t>新能源汽车精密零部件总部基地建设项目</w:t>
      </w: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广州锐兴智华汽车电子有限公司（</w:t>
      </w:r>
      <w:r>
        <w:rPr>
          <w:rFonts w:hint="eastAsia" w:ascii="仿宋_GB2312" w:eastAsia="仿宋_GB2312"/>
          <w:color w:val="auto"/>
          <w:sz w:val="32"/>
          <w:szCs w:val="32"/>
          <w:lang w:val="en-US" w:eastAsia="zh-CN"/>
        </w:rPr>
        <w:t>91440113MAC1KU1QXD</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新能源汽车精密零部件总部基地</w:t>
      </w:r>
      <w:r>
        <w:rPr>
          <w:rFonts w:hint="eastAsia" w:ascii="仿宋_GB2312" w:eastAsia="仿宋_GB2312"/>
          <w:color w:val="auto"/>
          <w:sz w:val="32"/>
          <w:szCs w:val="32"/>
          <w:lang w:val="en-US" w:eastAsia="zh-CN"/>
        </w:rPr>
        <w:t>建设项目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宋体"/>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新能源汽车精密零部件总部基地</w:t>
      </w:r>
      <w:r>
        <w:rPr>
          <w:rFonts w:hint="eastAsia" w:ascii="仿宋_GB2312" w:eastAsia="仿宋_GB2312"/>
          <w:color w:val="auto"/>
          <w:sz w:val="32"/>
          <w:szCs w:val="32"/>
          <w:lang w:val="en-US" w:eastAsia="zh-CN"/>
        </w:rPr>
        <w:t>建设项目</w:t>
      </w:r>
      <w:r>
        <w:rPr>
          <w:rFonts w:hint="eastAsia" w:ascii="仿宋_GB2312" w:eastAsia="仿宋_GB2312" w:cs="Times New Roman"/>
          <w:color w:val="auto"/>
          <w:sz w:val="32"/>
          <w:szCs w:val="32"/>
          <w:lang w:eastAsia="zh-CN"/>
        </w:rPr>
        <w:t>（以下简称“该项目”）位于广州市番禺区石碁镇亚运大道北侧SQG15-02地块七，申报内容</w:t>
      </w:r>
      <w:r>
        <w:rPr>
          <w:rFonts w:hint="eastAsia" w:ascii="仿宋_GB2312" w:eastAsia="仿宋_GB2312" w:cs="Times New Roman"/>
          <w:color w:val="auto"/>
          <w:sz w:val="32"/>
          <w:szCs w:val="32"/>
          <w:lang w:val="en-US" w:eastAsia="zh-CN"/>
        </w:rPr>
        <w:t>为从事电控执行器、金属密封环、长缸短缸总成及四配套的生产，年产电控执行器5万套、金属密封环7000万片、长缸短缸总成2000台、四配套40万缸。该项目总占地面积为6780.44平方米，建筑占地面积3407.18平方米，总建筑面积为27097.2平方米</w:t>
      </w:r>
      <w:r>
        <w:rPr>
          <w:rFonts w:hint="eastAsia" w:ascii="仿宋_GB2312" w:eastAsia="仿宋_GB2312" w:cs="Times New Roman"/>
          <w:color w:val="000000" w:themeColor="text1"/>
          <w:sz w:val="32"/>
          <w:szCs w:val="32"/>
          <w:lang w:val="en-US" w:eastAsia="zh-CN"/>
          <w14:textFill>
            <w14:solidFill>
              <w14:schemeClr w14:val="tx1"/>
            </w14:solidFill>
          </w14:textFill>
        </w:rPr>
        <w:t>，主要建筑物为1栋10层厂房；</w:t>
      </w:r>
      <w:r>
        <w:rPr>
          <w:rFonts w:hint="eastAsia" w:ascii="仿宋_GB2312" w:eastAsia="仿宋_GB2312" w:cs="Times New Roman"/>
          <w:color w:val="000000" w:themeColor="text1"/>
          <w:sz w:val="32"/>
          <w:szCs w:val="32"/>
          <w:lang w:eastAsia="zh-CN"/>
          <w14:textFill>
            <w14:solidFill>
              <w14:schemeClr w14:val="tx1"/>
            </w14:solidFill>
          </w14:textFill>
        </w:rPr>
        <w:t>主要设备</w:t>
      </w:r>
      <w:r>
        <w:rPr>
          <w:rFonts w:hint="eastAsia" w:ascii="仿宋_GB2312" w:eastAsia="仿宋_GB2312" w:cs="Times New Roman"/>
          <w:color w:val="000000" w:themeColor="text1"/>
          <w:sz w:val="32"/>
          <w:szCs w:val="32"/>
          <w:lang w:val="en-US" w:eastAsia="zh-CN"/>
          <w14:textFill>
            <w14:solidFill>
              <w14:schemeClr w14:val="tx1"/>
            </w14:solidFill>
          </w14:textFill>
        </w:rPr>
        <w:t>有真空淬火炉2台、真空回火炉2台、电阻炉8台、全封闭全自动清洗烘干一体机1台、冷却塔2台、缸体清洗机4台、喷漆晾干房1个（配水帘柜1个，喷枪4把）等；员工200名，内部不安排食宿</w:t>
      </w:r>
      <w:r>
        <w:rPr>
          <w:rFonts w:hint="eastAsia" w:ascii="仿宋_GB2312" w:eastAsia="仿宋_GB2312" w:cs="Times New Roman"/>
          <w:color w:val="auto"/>
          <w:sz w:val="32"/>
          <w:szCs w:val="32"/>
          <w:lang w:val="en-US" w:eastAsia="zh-CN"/>
        </w:rPr>
        <w:t>。</w:t>
      </w:r>
    </w:p>
    <w:p w14:paraId="0B64A3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0C7F8C9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1800</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生产废水排放量不超过639.64</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冷却水和测试废水等清净下水排放量不超过8.9</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w:t>
      </w:r>
    </w:p>
    <w:p w14:paraId="5C299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喷漆工序产生的有机废气排放</w:t>
      </w:r>
      <w:r>
        <w:rPr>
          <w:rFonts w:hint="eastAsia" w:ascii="仿宋_GB2312" w:eastAsia="仿宋_GB2312"/>
          <w:color w:val="000000" w:themeColor="text1"/>
          <w:sz w:val="32"/>
          <w:szCs w:val="32"/>
          <w:lang w:val="en-US" w:eastAsia="zh-CN"/>
          <w14:textFill>
            <w14:solidFill>
              <w14:schemeClr w14:val="tx1"/>
            </w14:solidFill>
          </w14:textFill>
        </w:rPr>
        <w:t>参照</w:t>
      </w:r>
      <w:r>
        <w:rPr>
          <w:rFonts w:hint="eastAsia" w:ascii="仿宋_GB2312" w:eastAsia="仿宋_GB2312"/>
          <w:color w:val="auto"/>
          <w:sz w:val="32"/>
          <w:szCs w:val="32"/>
          <w:lang w:val="en-US" w:eastAsia="zh-CN"/>
        </w:rPr>
        <w:t>执行广东省《表面涂装（汽车制造业）挥发性有机化合物排放标准》（DB44/816-2010）Ⅱ时段烘干室排放限值及无组织排放监控点浓度限值；</w:t>
      </w:r>
      <w:r>
        <w:rPr>
          <w:rFonts w:hint="eastAsia" w:ascii="仿宋_GB2312" w:eastAsia="仿宋_GB2312"/>
          <w:color w:val="auto"/>
          <w:sz w:val="32"/>
          <w:szCs w:val="32"/>
          <w:highlight w:val="none"/>
        </w:rPr>
        <w:t>臭气浓度排放执行《恶臭污染物排放标准》（GB14554-93）表1厂界新扩改建二级标准限值和表2排放标准值；厂区内非甲烷总烃排放执行广东省《固定污染</w:t>
      </w:r>
      <w:r>
        <w:rPr>
          <w:rFonts w:hint="eastAsia" w:ascii="仿宋_GB2312" w:eastAsia="仿宋_GB2312" w:cs="Times New Roman"/>
          <w:color w:val="auto"/>
          <w:sz w:val="32"/>
          <w:szCs w:val="32"/>
          <w:highlight w:val="none"/>
        </w:rPr>
        <w:t>源挥发性有机物综合排放标准》（DB44/2367-2022）表3厂区内VOCs无组织排放限值</w:t>
      </w:r>
      <w:r>
        <w:rPr>
          <w:rFonts w:hint="eastAsia" w:ascii="仿宋_GB2312" w:eastAsia="仿宋_GB2312" w:cs="Times New Roman"/>
          <w:color w:val="auto"/>
          <w:sz w:val="32"/>
          <w:szCs w:val="32"/>
          <w:highlight w:val="none"/>
          <w:lang w:eastAsia="zh-CN"/>
        </w:rPr>
        <w:t>；</w:t>
      </w:r>
      <w:r>
        <w:rPr>
          <w:rFonts w:hint="eastAsia" w:ascii="仿宋_GB2312" w:eastAsia="仿宋_GB2312" w:cs="Times New Roman"/>
          <w:color w:val="auto"/>
          <w:sz w:val="32"/>
          <w:szCs w:val="32"/>
          <w:highlight w:val="none"/>
          <w:lang w:val="en-US" w:eastAsia="zh-CN"/>
        </w:rPr>
        <w:t>其他大气污染物排放执行广东省《大气污染物排放限值》（DB44/27-2001）第二时段二级标准和无组织排放监控点浓度限值。</w:t>
      </w:r>
    </w:p>
    <w:p w14:paraId="1C45200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Times New Roman"/>
          <w:color w:val="auto"/>
          <w:sz w:val="32"/>
          <w:szCs w:val="32"/>
          <w:lang w:val="en-US"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）边界</w:t>
      </w:r>
      <w:r>
        <w:rPr>
          <w:rFonts w:hint="eastAsia" w:ascii="仿宋_GB2312" w:eastAsia="仿宋_GB2312" w:cs="Times New Roman"/>
          <w:color w:val="auto"/>
          <w:sz w:val="32"/>
          <w:szCs w:val="32"/>
          <w:lang w:val="en-US" w:eastAsia="zh-CN"/>
        </w:rPr>
        <w:t>噪声排放执行《工业企业厂界环境噪声排放标准》（GB12348-2008）3类区限值，即：昼间≤65dB（A），夜间≤55dB（A）。</w:t>
      </w:r>
    </w:p>
    <w:p w14:paraId="5D589B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01EC8D1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000000" w:themeColor="text1"/>
          <w:sz w:val="32"/>
          <w:szCs w:val="32"/>
          <w14:textFill>
            <w14:solidFill>
              <w14:schemeClr w14:val="tx1"/>
            </w14:solidFill>
          </w14:textFill>
        </w:rPr>
        <w:t>排水</w:t>
      </w:r>
      <w:r>
        <w:rPr>
          <w:rFonts w:hint="eastAsia" w:ascii="仿宋_GB2312" w:eastAsia="仿宋_GB2312" w:cs="Times New Roman"/>
          <w:color w:val="000000" w:themeColor="text1"/>
          <w:sz w:val="32"/>
          <w:szCs w:val="32"/>
          <w14:textFill>
            <w14:solidFill>
              <w14:schemeClr w14:val="tx1"/>
            </w14:solidFill>
          </w14:textFill>
        </w:rPr>
        <w:t>系统采用雨污分流。冷却</w:t>
      </w:r>
      <w:r>
        <w:rPr>
          <w:rFonts w:hint="eastAsia" w:ascii="仿宋_GB2312" w:eastAsia="仿宋_GB2312" w:cs="Times New Roman"/>
          <w:color w:val="000000" w:themeColor="text1"/>
          <w:sz w:val="32"/>
          <w:szCs w:val="32"/>
          <w:lang w:val="en-US" w:eastAsia="zh-CN"/>
          <w14:textFill>
            <w14:solidFill>
              <w14:schemeClr w14:val="tx1"/>
            </w14:solidFill>
          </w14:textFill>
        </w:rPr>
        <w:t>废</w:t>
      </w:r>
      <w:r>
        <w:rPr>
          <w:rFonts w:hint="eastAsia" w:ascii="仿宋_GB2312" w:eastAsia="仿宋_GB2312" w:cs="Times New Roman"/>
          <w:color w:val="000000" w:themeColor="text1"/>
          <w:sz w:val="32"/>
          <w:szCs w:val="32"/>
          <w14:textFill>
            <w14:solidFill>
              <w14:schemeClr w14:val="tx1"/>
            </w14:solidFill>
          </w14:textFill>
        </w:rPr>
        <w:t>水循环使用，</w:t>
      </w:r>
      <w:r>
        <w:rPr>
          <w:rFonts w:hint="eastAsia" w:ascii="仿宋_GB2312" w:eastAsia="仿宋_GB2312" w:cs="Times New Roman"/>
          <w:color w:val="000000" w:themeColor="text1"/>
          <w:sz w:val="32"/>
          <w:szCs w:val="32"/>
          <w:lang w:val="en-US" w:eastAsia="zh-CN"/>
          <w14:textFill>
            <w14:solidFill>
              <w14:schemeClr w14:val="tx1"/>
            </w14:solidFill>
          </w14:textFill>
        </w:rPr>
        <w:t>定期更换外排</w:t>
      </w:r>
      <w:r>
        <w:rPr>
          <w:rFonts w:hint="eastAsia" w:ascii="仿宋_GB2312" w:eastAsia="仿宋_GB2312" w:cs="Times New Roman"/>
          <w:color w:val="000000" w:themeColor="text1"/>
          <w:sz w:val="32"/>
          <w:szCs w:val="32"/>
          <w14:textFill>
            <w14:solidFill>
              <w14:schemeClr w14:val="tx1"/>
            </w14:solidFill>
          </w14:textFill>
        </w:rPr>
        <w:t>。</w:t>
      </w:r>
      <w:r>
        <w:rPr>
          <w:rFonts w:hint="eastAsia" w:ascii="仿宋_GB2312" w:eastAsia="仿宋_GB2312" w:cs="Times New Roman"/>
          <w:color w:val="000000" w:themeColor="text1"/>
          <w:sz w:val="32"/>
          <w:szCs w:val="32"/>
          <w:lang w:eastAsia="zh-CN"/>
          <w14:textFill>
            <w14:solidFill>
              <w14:schemeClr w14:val="tx1"/>
            </w14:solidFill>
          </w14:textFill>
        </w:rPr>
        <w:t>研磨废水、清洗废水经自建污水处理设施处理</w:t>
      </w:r>
      <w:r>
        <w:rPr>
          <w:rFonts w:hint="eastAsia" w:ascii="仿宋_GB2312" w:eastAsia="仿宋_GB2312" w:cs="Times New Roman"/>
          <w:color w:val="000000" w:themeColor="text1"/>
          <w:sz w:val="32"/>
          <w:szCs w:val="32"/>
          <w:lang w:val="en-US" w:eastAsia="zh-CN"/>
          <w14:textFill>
            <w14:solidFill>
              <w14:schemeClr w14:val="tx1"/>
            </w14:solidFill>
          </w14:textFill>
        </w:rPr>
        <w:t>后，生活污水经化粪池预处理后，与测试废水、冷却塔更换水一并</w:t>
      </w:r>
      <w:r>
        <w:rPr>
          <w:rFonts w:hint="eastAsia" w:ascii="仿宋_GB2312" w:eastAsia="仿宋_GB2312" w:cs="Times New Roman"/>
          <w:color w:val="000000" w:themeColor="text1"/>
          <w:sz w:val="32"/>
          <w:szCs w:val="32"/>
          <w14:textFill>
            <w14:solidFill>
              <w14:schemeClr w14:val="tx1"/>
            </w14:solidFill>
          </w14:textFill>
        </w:rPr>
        <w:t>排入市政集污</w:t>
      </w:r>
      <w:r>
        <w:rPr>
          <w:rFonts w:hint="eastAsia" w:ascii="仿宋_GB2312" w:eastAsia="仿宋_GB2312"/>
          <w:color w:val="000000" w:themeColor="text1"/>
          <w:sz w:val="32"/>
          <w:szCs w:val="32"/>
          <w14:textFill>
            <w14:solidFill>
              <w14:schemeClr w14:val="tx1"/>
            </w14:solidFill>
          </w14:textFill>
        </w:rPr>
        <w:t>管网，送</w:t>
      </w:r>
      <w:r>
        <w:rPr>
          <w:rFonts w:hint="eastAsia" w:ascii="仿宋_GB2312" w:eastAsia="仿宋_GB2312"/>
          <w:color w:val="000000" w:themeColor="text1"/>
          <w:sz w:val="32"/>
          <w:szCs w:val="32"/>
          <w:lang w:val="en-US" w:eastAsia="zh-CN"/>
          <w14:textFill>
            <w14:solidFill>
              <w14:schemeClr w14:val="tx1"/>
            </w14:solidFill>
          </w14:textFill>
        </w:rPr>
        <w:t>前锋</w:t>
      </w:r>
      <w:r>
        <w:rPr>
          <w:rFonts w:hint="eastAsia" w:ascii="仿宋_GB2312" w:eastAsia="仿宋_GB2312"/>
          <w:color w:val="000000" w:themeColor="text1"/>
          <w:sz w:val="32"/>
          <w:szCs w:val="32"/>
          <w14:textFill>
            <w14:solidFill>
              <w14:schemeClr w14:val="tx1"/>
            </w14:solidFill>
          </w14:textFill>
        </w:rPr>
        <w:t>净水厂</w:t>
      </w:r>
      <w:r>
        <w:rPr>
          <w:rFonts w:hint="eastAsia" w:ascii="仿宋_GB2312" w:eastAsia="仿宋_GB2312"/>
          <w:color w:val="000000" w:themeColor="text1"/>
          <w:sz w:val="32"/>
          <w:szCs w:val="32"/>
          <w:lang w:val="en-US" w:eastAsia="zh-CN"/>
          <w14:textFill>
            <w14:solidFill>
              <w14:schemeClr w14:val="tx1"/>
            </w14:solidFill>
          </w14:textFill>
        </w:rPr>
        <w:t>集中</w:t>
      </w:r>
      <w:r>
        <w:rPr>
          <w:rFonts w:hint="eastAsia" w:ascii="仿宋_GB2312" w:eastAsia="仿宋_GB2312"/>
          <w:color w:val="000000" w:themeColor="text1"/>
          <w:sz w:val="32"/>
          <w:szCs w:val="32"/>
          <w14:textFill>
            <w14:solidFill>
              <w14:schemeClr w14:val="tx1"/>
            </w14:solidFill>
          </w14:textFill>
        </w:rPr>
        <w:t>处理。项目设置</w:t>
      </w:r>
      <w:r>
        <w:rPr>
          <w:rFonts w:hint="eastAsia" w:ascii="仿宋_GB2312" w:eastAsia="仿宋_GB2312"/>
          <w:color w:val="000000" w:themeColor="text1"/>
          <w:sz w:val="32"/>
          <w:szCs w:val="32"/>
          <w:lang w:val="en-US" w:eastAsia="zh-CN"/>
          <w14:textFill>
            <w14:solidFill>
              <w14:schemeClr w14:val="tx1"/>
            </w14:solidFill>
          </w14:textFill>
        </w:rPr>
        <w:t>废水总排口1</w:t>
      </w:r>
      <w:r>
        <w:rPr>
          <w:rFonts w:hint="eastAsia" w:ascii="仿宋_GB2312" w:eastAsia="仿宋_GB2312"/>
          <w:color w:val="000000" w:themeColor="text1"/>
          <w:sz w:val="32"/>
          <w:szCs w:val="32"/>
          <w14:textFill>
            <w14:solidFill>
              <w14:schemeClr w14:val="tx1"/>
            </w14:solidFill>
          </w14:textFill>
        </w:rPr>
        <w:t>个。</w:t>
      </w:r>
    </w:p>
    <w:p w14:paraId="3A96B3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（二）按照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。喷漆废气经水帘柜预处理后，与调漆、喷枪清洗、晾干废气</w:t>
      </w:r>
      <w:r>
        <w:rPr>
          <w:rFonts w:hint="eastAsia" w:ascii="仿宋_GB2312" w:eastAsia="仿宋_GB2312"/>
          <w:color w:val="auto"/>
          <w:sz w:val="32"/>
          <w:szCs w:val="32"/>
          <w:lang w:val="en-US" w:eastAsia="zh-CN"/>
        </w:rPr>
        <w:t>一并</w:t>
      </w:r>
      <w:r>
        <w:rPr>
          <w:rFonts w:hint="eastAsia" w:ascii="仿宋_GB2312" w:eastAsia="仿宋_GB2312"/>
          <w:color w:val="auto"/>
          <w:sz w:val="32"/>
          <w:szCs w:val="32"/>
          <w:lang w:eastAsia="zh-CN"/>
        </w:rPr>
        <w:t>收集至“干式过滤器+二级活性炭吸附装置”处理后</w:t>
      </w:r>
      <w:r>
        <w:rPr>
          <w:rFonts w:hint="eastAsia" w:ascii="仿宋_GB2312" w:eastAsia="仿宋_GB2312"/>
          <w:color w:val="auto"/>
          <w:sz w:val="32"/>
          <w:szCs w:val="32"/>
          <w:lang w:val="en-US" w:eastAsia="zh-CN"/>
        </w:rPr>
        <w:t>通过专用管道引至所在建筑物楼顶高空排放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排气筒高度不低于15米。</w:t>
      </w:r>
      <w:r>
        <w:rPr>
          <w:rFonts w:hint="eastAsia" w:ascii="仿宋_GB2312" w:eastAsia="仿宋_GB2312"/>
          <w:color w:val="auto"/>
          <w:sz w:val="32"/>
          <w:szCs w:val="32"/>
        </w:rPr>
        <w:t>项目</w:t>
      </w:r>
      <w:r>
        <w:rPr>
          <w:rFonts w:hint="eastAsia" w:ascii="仿宋_GB2312" w:eastAsia="仿宋_GB2312"/>
          <w:color w:val="auto"/>
          <w:sz w:val="32"/>
          <w:szCs w:val="32"/>
          <w:lang w:eastAsia="zh-CN"/>
        </w:rPr>
        <w:t>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个</w:t>
      </w:r>
      <w:r>
        <w:rPr>
          <w:rFonts w:hint="eastAsia" w:ascii="仿宋_GB2312" w:eastAsia="仿宋_GB2312"/>
          <w:color w:val="auto"/>
          <w:sz w:val="32"/>
          <w:szCs w:val="32"/>
        </w:rPr>
        <w:t>。</w:t>
      </w:r>
    </w:p>
    <w:p w14:paraId="148AB7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w:t>
      </w:r>
      <w:r>
        <w:rPr>
          <w:rFonts w:hint="eastAsia" w:ascii="仿宋_GB2312" w:eastAsia="仿宋_GB2312"/>
          <w:color w:val="000000" w:themeColor="text1"/>
          <w:sz w:val="32"/>
          <w:szCs w:val="32"/>
          <w:lang w:val="en-US" w:eastAsia="zh-CN"/>
          <w14:textFill>
            <w14:solidFill>
              <w14:schemeClr w14:val="tx1"/>
            </w14:solidFill>
          </w14:textFill>
        </w:rPr>
        <w:t>废切削液及含切削液金属碎屑、废乳化液及磨泥、废清洁液、废清洁布、废包装桶、漆渣、水帘柜废水、喷枪清洗废液、废矿物油（液压油、机油、真空泵油）、含油废抹布及手套、废过滤棉、废活性炭、废水处理设施污泥等属</w:t>
      </w:r>
      <w:r>
        <w:rPr>
          <w:rFonts w:hint="eastAsia" w:ascii="仿宋_GB2312" w:eastAsia="仿宋_GB2312"/>
          <w:color w:val="auto"/>
          <w:sz w:val="32"/>
          <w:szCs w:val="32"/>
          <w:lang w:val="en-US" w:eastAsia="zh-CN"/>
        </w:rPr>
        <w:t>于</w:t>
      </w:r>
      <w:r>
        <w:rPr>
          <w:rFonts w:hint="eastAsia" w:ascii="仿宋_GB2312" w:eastAsia="仿宋_GB2312"/>
          <w:color w:val="auto"/>
          <w:sz w:val="32"/>
          <w:szCs w:val="32"/>
        </w:rPr>
        <w:t>危险废物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6205658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）督促施工单位落实《报告表》提出的施工期污染防治措施，做好该项目施工现场的环保工作，防止施工粉尘、噪声和污水等对周围环境造成影</w:t>
      </w:r>
      <w:r>
        <w:rPr>
          <w:rFonts w:hint="eastAsia" w:ascii="仿宋_GB2312" w:eastAsia="仿宋_GB2312" w:cs="Times New Roman"/>
          <w:color w:val="000000" w:themeColor="text1"/>
          <w:sz w:val="32"/>
          <w:szCs w:val="32"/>
          <w14:textFill>
            <w14:solidFill>
              <w14:schemeClr w14:val="tx1"/>
            </w14:solidFill>
          </w14:textFill>
        </w:rPr>
        <w:t>响。</w:t>
      </w:r>
    </w:p>
    <w:p w14:paraId="73B05BF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1DEC4323">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ascii="仿宋_GB2312" w:hAnsi="仿宋" w:eastAsia="仿宋_GB2312"/>
          <w:color w:val="auto"/>
          <w:sz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日</w:t>
      </w:r>
    </w:p>
    <w:p w14:paraId="62373F65">
      <w:pPr>
        <w:keepNext w:val="0"/>
        <w:keepLines w:val="0"/>
        <w:pageBreakBefore w:val="0"/>
        <w:kinsoku/>
        <w:wordWrap/>
        <w:overflowPunct/>
        <w:topLinePunct w:val="0"/>
        <w:autoSpaceDE/>
        <w:autoSpaceDN/>
        <w:bidi w:val="0"/>
        <w:adjustRightInd/>
        <w:snapToGrid/>
        <w:spacing w:line="520" w:lineRule="exact"/>
        <w:textAlignment w:val="auto"/>
        <w:rPr>
          <w:rFonts w:hint="eastAsia" w:ascii="黑体" w:eastAsia="黑体"/>
          <w:color w:val="auto"/>
          <w:sz w:val="32"/>
          <w:szCs w:val="32"/>
        </w:rPr>
      </w:pPr>
    </w:p>
    <w:p w14:paraId="6AB4C964">
      <w:pPr>
        <w:keepNext w:val="0"/>
        <w:keepLines w:val="0"/>
        <w:pageBreakBefore w:val="0"/>
        <w:kinsoku/>
        <w:wordWrap/>
        <w:overflowPunct/>
        <w:topLinePunct w:val="0"/>
        <w:autoSpaceDE/>
        <w:autoSpaceDN/>
        <w:bidi w:val="0"/>
        <w:adjustRightInd/>
        <w:snapToGrid/>
        <w:spacing w:line="520" w:lineRule="exact"/>
        <w:textAlignment w:val="auto"/>
        <w:rPr>
          <w:rFonts w:hint="eastAsia" w:ascii="黑体" w:eastAsia="黑体"/>
          <w:color w:val="auto"/>
          <w:sz w:val="32"/>
          <w:szCs w:val="32"/>
        </w:rPr>
      </w:pPr>
    </w:p>
    <w:p w14:paraId="3DC4A30A">
      <w:pPr>
        <w:keepNext w:val="0"/>
        <w:keepLines w:val="0"/>
        <w:pageBreakBefore w:val="0"/>
        <w:kinsoku/>
        <w:wordWrap/>
        <w:overflowPunct/>
        <w:topLinePunct w:val="0"/>
        <w:autoSpaceDE/>
        <w:autoSpaceDN/>
        <w:bidi w:val="0"/>
        <w:adjustRightInd/>
        <w:snapToGrid/>
        <w:spacing w:line="520" w:lineRule="exact"/>
        <w:textAlignment w:val="auto"/>
        <w:rPr>
          <w:rFonts w:hint="eastAsia" w:ascii="黑体" w:eastAsia="黑体"/>
          <w:color w:val="auto"/>
          <w:sz w:val="32"/>
          <w:szCs w:val="32"/>
        </w:rPr>
      </w:pPr>
    </w:p>
    <w:p w14:paraId="05CB1B03">
      <w:pPr>
        <w:keepNext w:val="0"/>
        <w:keepLines w:val="0"/>
        <w:pageBreakBefore w:val="0"/>
        <w:kinsoku/>
        <w:wordWrap/>
        <w:overflowPunct/>
        <w:topLinePunct w:val="0"/>
        <w:autoSpaceDE/>
        <w:autoSpaceDN/>
        <w:bidi w:val="0"/>
        <w:adjustRightInd/>
        <w:snapToGrid/>
        <w:spacing w:line="520" w:lineRule="exact"/>
        <w:textAlignment w:val="auto"/>
        <w:rPr>
          <w:rFonts w:hint="eastAsia" w:ascii="黑体" w:eastAsia="黑体"/>
          <w:color w:val="auto"/>
          <w:sz w:val="32"/>
          <w:szCs w:val="32"/>
        </w:rPr>
      </w:pPr>
      <w:bookmarkStart w:id="0" w:name="_GoBack"/>
      <w:bookmarkEnd w:id="0"/>
    </w:p>
    <w:p w14:paraId="0CCA8466">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6452DAE3">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环保所，广东华韬环境技术有限公司。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924D0"/>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46AA3"/>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17A40"/>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C775B"/>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5E4ACC"/>
    <w:rsid w:val="020C3600"/>
    <w:rsid w:val="028D2FBF"/>
    <w:rsid w:val="02A0095B"/>
    <w:rsid w:val="036F35B2"/>
    <w:rsid w:val="039E0DF7"/>
    <w:rsid w:val="0673125F"/>
    <w:rsid w:val="06813E39"/>
    <w:rsid w:val="075A51D1"/>
    <w:rsid w:val="078C1D6D"/>
    <w:rsid w:val="083C20B8"/>
    <w:rsid w:val="091574A4"/>
    <w:rsid w:val="0955265E"/>
    <w:rsid w:val="09860C2E"/>
    <w:rsid w:val="09C51A18"/>
    <w:rsid w:val="0AB6351E"/>
    <w:rsid w:val="0B1F3303"/>
    <w:rsid w:val="0BC12F49"/>
    <w:rsid w:val="0C2314F7"/>
    <w:rsid w:val="0C7516B2"/>
    <w:rsid w:val="0C807692"/>
    <w:rsid w:val="0D53766A"/>
    <w:rsid w:val="0D8C3605"/>
    <w:rsid w:val="0DC760A7"/>
    <w:rsid w:val="0DE36B99"/>
    <w:rsid w:val="0E383160"/>
    <w:rsid w:val="0E3B3C64"/>
    <w:rsid w:val="0E8E5DFC"/>
    <w:rsid w:val="0F0A6D3C"/>
    <w:rsid w:val="0F1F7BDB"/>
    <w:rsid w:val="0FD72C0C"/>
    <w:rsid w:val="0FDB1613"/>
    <w:rsid w:val="103E38B5"/>
    <w:rsid w:val="1048085F"/>
    <w:rsid w:val="10942FBF"/>
    <w:rsid w:val="10BF38FB"/>
    <w:rsid w:val="10E93D4E"/>
    <w:rsid w:val="10EA17D0"/>
    <w:rsid w:val="11B62D57"/>
    <w:rsid w:val="11D648D0"/>
    <w:rsid w:val="12737E91"/>
    <w:rsid w:val="12930507"/>
    <w:rsid w:val="12DA5DA1"/>
    <w:rsid w:val="134C3538"/>
    <w:rsid w:val="140F3276"/>
    <w:rsid w:val="141F534A"/>
    <w:rsid w:val="15090F10"/>
    <w:rsid w:val="1549557C"/>
    <w:rsid w:val="157D344D"/>
    <w:rsid w:val="157D650A"/>
    <w:rsid w:val="168D108C"/>
    <w:rsid w:val="16F83FBE"/>
    <w:rsid w:val="18FF308F"/>
    <w:rsid w:val="198A0A74"/>
    <w:rsid w:val="19AF0CB4"/>
    <w:rsid w:val="19F023A6"/>
    <w:rsid w:val="1AA1023C"/>
    <w:rsid w:val="1BC528C4"/>
    <w:rsid w:val="1BC54B1C"/>
    <w:rsid w:val="1C3125D6"/>
    <w:rsid w:val="1D4266B3"/>
    <w:rsid w:val="1DCC746F"/>
    <w:rsid w:val="1E0C0259"/>
    <w:rsid w:val="1E537B54"/>
    <w:rsid w:val="1EB64E6E"/>
    <w:rsid w:val="1F4D7EC7"/>
    <w:rsid w:val="1FC503E5"/>
    <w:rsid w:val="206B103D"/>
    <w:rsid w:val="20CF4E76"/>
    <w:rsid w:val="221365B8"/>
    <w:rsid w:val="22194C96"/>
    <w:rsid w:val="22A031DB"/>
    <w:rsid w:val="23241352"/>
    <w:rsid w:val="23395957"/>
    <w:rsid w:val="234B6EF7"/>
    <w:rsid w:val="24283062"/>
    <w:rsid w:val="246C2851"/>
    <w:rsid w:val="24BC3C23"/>
    <w:rsid w:val="2537321F"/>
    <w:rsid w:val="26850942"/>
    <w:rsid w:val="26B164C1"/>
    <w:rsid w:val="26C174A2"/>
    <w:rsid w:val="276F2ABE"/>
    <w:rsid w:val="27987506"/>
    <w:rsid w:val="288E5F3F"/>
    <w:rsid w:val="28986BF1"/>
    <w:rsid w:val="28AE5DA0"/>
    <w:rsid w:val="28BF6F68"/>
    <w:rsid w:val="295E7D6B"/>
    <w:rsid w:val="2A1D6EA4"/>
    <w:rsid w:val="2A827ECE"/>
    <w:rsid w:val="2A9A5574"/>
    <w:rsid w:val="2B6910C5"/>
    <w:rsid w:val="2B700A50"/>
    <w:rsid w:val="2C475230"/>
    <w:rsid w:val="2C4F557D"/>
    <w:rsid w:val="2C5454C4"/>
    <w:rsid w:val="2CA220C6"/>
    <w:rsid w:val="2D363D79"/>
    <w:rsid w:val="2D6E2A94"/>
    <w:rsid w:val="2DCC08AF"/>
    <w:rsid w:val="2E3859E0"/>
    <w:rsid w:val="2E9B7C83"/>
    <w:rsid w:val="2ECA65D4"/>
    <w:rsid w:val="2EE52D16"/>
    <w:rsid w:val="2F9E1E2F"/>
    <w:rsid w:val="301A71FA"/>
    <w:rsid w:val="30357A24"/>
    <w:rsid w:val="3039642A"/>
    <w:rsid w:val="307C5365"/>
    <w:rsid w:val="30A22B85"/>
    <w:rsid w:val="31C33D33"/>
    <w:rsid w:val="31D84328"/>
    <w:rsid w:val="3201709B"/>
    <w:rsid w:val="33995EB7"/>
    <w:rsid w:val="33E23D2D"/>
    <w:rsid w:val="345B5F75"/>
    <w:rsid w:val="34A100EE"/>
    <w:rsid w:val="35D37D9D"/>
    <w:rsid w:val="35FB66B8"/>
    <w:rsid w:val="36393E81"/>
    <w:rsid w:val="36DC47B5"/>
    <w:rsid w:val="36F55AB9"/>
    <w:rsid w:val="38C2132C"/>
    <w:rsid w:val="38C9453B"/>
    <w:rsid w:val="38EB77CC"/>
    <w:rsid w:val="394250FE"/>
    <w:rsid w:val="3A1D0EF5"/>
    <w:rsid w:val="3A4A7EAF"/>
    <w:rsid w:val="3AA44A54"/>
    <w:rsid w:val="3AE822E0"/>
    <w:rsid w:val="3B55756F"/>
    <w:rsid w:val="3B617677"/>
    <w:rsid w:val="3BC3771B"/>
    <w:rsid w:val="3C8B0C00"/>
    <w:rsid w:val="3CC7607D"/>
    <w:rsid w:val="3CCA53AD"/>
    <w:rsid w:val="3CF81873"/>
    <w:rsid w:val="3D51281E"/>
    <w:rsid w:val="3D5B41C9"/>
    <w:rsid w:val="3D674549"/>
    <w:rsid w:val="3EEA5570"/>
    <w:rsid w:val="3F2029A0"/>
    <w:rsid w:val="3FA54DF8"/>
    <w:rsid w:val="3FD1113F"/>
    <w:rsid w:val="400B001F"/>
    <w:rsid w:val="40CC5EDF"/>
    <w:rsid w:val="40D62F6B"/>
    <w:rsid w:val="40E63206"/>
    <w:rsid w:val="40EB768D"/>
    <w:rsid w:val="41171C7F"/>
    <w:rsid w:val="411954F0"/>
    <w:rsid w:val="418E5F9D"/>
    <w:rsid w:val="419F0436"/>
    <w:rsid w:val="41A75842"/>
    <w:rsid w:val="429057C0"/>
    <w:rsid w:val="42BF1B92"/>
    <w:rsid w:val="42F83EEA"/>
    <w:rsid w:val="43981875"/>
    <w:rsid w:val="43B06F1C"/>
    <w:rsid w:val="43D755DA"/>
    <w:rsid w:val="440A7303"/>
    <w:rsid w:val="44F94935"/>
    <w:rsid w:val="450F1F75"/>
    <w:rsid w:val="453C3F01"/>
    <w:rsid w:val="45520847"/>
    <w:rsid w:val="45E73322"/>
    <w:rsid w:val="45F10750"/>
    <w:rsid w:val="465F5501"/>
    <w:rsid w:val="47220AC2"/>
    <w:rsid w:val="479358FE"/>
    <w:rsid w:val="480858BC"/>
    <w:rsid w:val="4892419C"/>
    <w:rsid w:val="49383A30"/>
    <w:rsid w:val="494A394A"/>
    <w:rsid w:val="499115FC"/>
    <w:rsid w:val="4AD359CF"/>
    <w:rsid w:val="4AE22D88"/>
    <w:rsid w:val="4B621286"/>
    <w:rsid w:val="4B7145D4"/>
    <w:rsid w:val="4B9B7997"/>
    <w:rsid w:val="4B9D2E9A"/>
    <w:rsid w:val="4BEB5725"/>
    <w:rsid w:val="4C3C7520"/>
    <w:rsid w:val="4CDB6B18"/>
    <w:rsid w:val="4D1D2609"/>
    <w:rsid w:val="4E305A20"/>
    <w:rsid w:val="4EB11A7C"/>
    <w:rsid w:val="4EE6167D"/>
    <w:rsid w:val="4F2D7873"/>
    <w:rsid w:val="4F5167AE"/>
    <w:rsid w:val="4F586ABA"/>
    <w:rsid w:val="4F9C166D"/>
    <w:rsid w:val="50683D77"/>
    <w:rsid w:val="515C39A4"/>
    <w:rsid w:val="53406164"/>
    <w:rsid w:val="53774CFF"/>
    <w:rsid w:val="53DE59A8"/>
    <w:rsid w:val="541F781D"/>
    <w:rsid w:val="545C686E"/>
    <w:rsid w:val="547D1EC1"/>
    <w:rsid w:val="548947BC"/>
    <w:rsid w:val="553B58E4"/>
    <w:rsid w:val="55AA541C"/>
    <w:rsid w:val="56573C33"/>
    <w:rsid w:val="567E16A6"/>
    <w:rsid w:val="56E77B1E"/>
    <w:rsid w:val="56EA6524"/>
    <w:rsid w:val="5728768E"/>
    <w:rsid w:val="57FC2EEA"/>
    <w:rsid w:val="58272CFA"/>
    <w:rsid w:val="596879A6"/>
    <w:rsid w:val="59F57B8E"/>
    <w:rsid w:val="5A781F79"/>
    <w:rsid w:val="5B364E66"/>
    <w:rsid w:val="5B7E4A72"/>
    <w:rsid w:val="5B9C555A"/>
    <w:rsid w:val="5BE80ED6"/>
    <w:rsid w:val="5C1F35AE"/>
    <w:rsid w:val="5C442B6B"/>
    <w:rsid w:val="5C7049DB"/>
    <w:rsid w:val="5CC62AC2"/>
    <w:rsid w:val="5DF16D2C"/>
    <w:rsid w:val="5E811B87"/>
    <w:rsid w:val="5F91425A"/>
    <w:rsid w:val="5FF25578"/>
    <w:rsid w:val="6012222A"/>
    <w:rsid w:val="609E0F14"/>
    <w:rsid w:val="614E41B0"/>
    <w:rsid w:val="62022DBF"/>
    <w:rsid w:val="623F4DBD"/>
    <w:rsid w:val="62973EAF"/>
    <w:rsid w:val="62BE08BB"/>
    <w:rsid w:val="631E222D"/>
    <w:rsid w:val="634F7179"/>
    <w:rsid w:val="64983C98"/>
    <w:rsid w:val="654F3592"/>
    <w:rsid w:val="665264EC"/>
    <w:rsid w:val="668D2E4E"/>
    <w:rsid w:val="66C023A3"/>
    <w:rsid w:val="66D37837"/>
    <w:rsid w:val="670A7A3E"/>
    <w:rsid w:val="67352362"/>
    <w:rsid w:val="67973300"/>
    <w:rsid w:val="679E2C8B"/>
    <w:rsid w:val="68C4074E"/>
    <w:rsid w:val="69EA02D1"/>
    <w:rsid w:val="69EF3DF1"/>
    <w:rsid w:val="6A767EB5"/>
    <w:rsid w:val="6A9736B6"/>
    <w:rsid w:val="6B2F71CC"/>
    <w:rsid w:val="6B8303F3"/>
    <w:rsid w:val="6BDA557E"/>
    <w:rsid w:val="6C343A69"/>
    <w:rsid w:val="6C967F0D"/>
    <w:rsid w:val="6D1C6E8F"/>
    <w:rsid w:val="6D2D3779"/>
    <w:rsid w:val="6D8B22BF"/>
    <w:rsid w:val="6D904D4F"/>
    <w:rsid w:val="6E35795C"/>
    <w:rsid w:val="6F2B0871"/>
    <w:rsid w:val="70092D5A"/>
    <w:rsid w:val="70411FBB"/>
    <w:rsid w:val="706459F2"/>
    <w:rsid w:val="70C0030A"/>
    <w:rsid w:val="70D43728"/>
    <w:rsid w:val="726915C0"/>
    <w:rsid w:val="73006EB1"/>
    <w:rsid w:val="73417714"/>
    <w:rsid w:val="739509AF"/>
    <w:rsid w:val="747D1147"/>
    <w:rsid w:val="762C5749"/>
    <w:rsid w:val="765C5FCF"/>
    <w:rsid w:val="76A34233"/>
    <w:rsid w:val="7715546B"/>
    <w:rsid w:val="77572676"/>
    <w:rsid w:val="77A5337F"/>
    <w:rsid w:val="77F96D63"/>
    <w:rsid w:val="780A11FC"/>
    <w:rsid w:val="78632B8F"/>
    <w:rsid w:val="78824C27"/>
    <w:rsid w:val="788B1B55"/>
    <w:rsid w:val="792719D3"/>
    <w:rsid w:val="79442D41"/>
    <w:rsid w:val="79C70258"/>
    <w:rsid w:val="7A073240"/>
    <w:rsid w:val="7A392B15"/>
    <w:rsid w:val="7A5358BD"/>
    <w:rsid w:val="7AD02C89"/>
    <w:rsid w:val="7B331FDF"/>
    <w:rsid w:val="7B354F51"/>
    <w:rsid w:val="7B5A7913"/>
    <w:rsid w:val="7B5B3EF1"/>
    <w:rsid w:val="7BA515D0"/>
    <w:rsid w:val="7BEB46DA"/>
    <w:rsid w:val="7C2E2674"/>
    <w:rsid w:val="7C517901"/>
    <w:rsid w:val="7CBA3AAE"/>
    <w:rsid w:val="7DBE3A17"/>
    <w:rsid w:val="7E4F6A23"/>
    <w:rsid w:val="7E9136B4"/>
    <w:rsid w:val="7EC00980"/>
    <w:rsid w:val="7F246769"/>
    <w:rsid w:val="7F35093E"/>
    <w:rsid w:val="7F622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2766</Words>
  <Characters>2996</Characters>
  <Lines>19</Lines>
  <Paragraphs>5</Paragraphs>
  <TotalTime>4</TotalTime>
  <ScaleCrop>false</ScaleCrop>
  <LinksUpToDate>false</LinksUpToDate>
  <CharactersWithSpaces>3060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2025-07-08T01:58:00Z</cp:lastPrinted>
  <dcterms:modified xsi:type="dcterms:W3CDTF">2025-07-14T08:12:04Z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B91FC13A6C424895ACF6BBC7E928ADF7_13</vt:lpwstr>
  </property>
</Properties>
</file>