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373B5">
      <w:pPr>
        <w:adjustRightInd w:val="0"/>
        <w:snapToGrid w:val="0"/>
        <w:ind w:right="-156" w:hanging="180"/>
        <w:jc w:val="center"/>
        <w:rPr>
          <w:rFonts w:ascii="公文小标宋简" w:eastAsia="公文小标宋简"/>
          <w:b/>
          <w:bCs/>
          <w:smallCaps/>
          <w:snapToGrid w:val="0"/>
          <w:color w:val="auto"/>
          <w:spacing w:val="56"/>
          <w:kern w:val="0"/>
          <w:sz w:val="72"/>
          <w:szCs w:val="72"/>
        </w:rPr>
      </w:pPr>
    </w:p>
    <w:p w14:paraId="1AA5779C">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auto"/>
        </w:rPr>
      </w:pPr>
      <w:r>
        <w:rPr>
          <w:rFonts w:hint="eastAsia" w:ascii="仿宋_GB2312"/>
          <w:color w:val="auto"/>
        </w:rPr>
        <w:t xml:space="preserve">                                       </w:t>
      </w:r>
      <w:r>
        <w:rPr>
          <w:rFonts w:hint="eastAsia" w:ascii="仿宋_GB2312" w:eastAsia="仿宋_GB2312"/>
          <w:color w:val="auto"/>
          <w:sz w:val="32"/>
          <w:szCs w:val="32"/>
        </w:rPr>
        <w:t>穗环管影（番）〔202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85</w:t>
      </w:r>
      <w:r>
        <w:rPr>
          <w:rFonts w:hint="eastAsia" w:ascii="仿宋_GB2312" w:eastAsia="仿宋_GB2312"/>
          <w:color w:val="auto"/>
          <w:sz w:val="32"/>
          <w:szCs w:val="32"/>
        </w:rPr>
        <w:t>号</w:t>
      </w:r>
    </w:p>
    <w:p w14:paraId="0D9D23AD">
      <w:pPr>
        <w:keepNext w:val="0"/>
        <w:keepLines w:val="0"/>
        <w:pageBreakBefore w:val="0"/>
        <w:kinsoku/>
        <w:overflowPunct/>
        <w:topLinePunct w:val="0"/>
        <w:autoSpaceDE/>
        <w:autoSpaceDN/>
        <w:bidi w:val="0"/>
        <w:spacing w:line="560" w:lineRule="exact"/>
        <w:textAlignment w:val="auto"/>
        <w:rPr>
          <w:rFonts w:ascii="黑体" w:eastAsia="黑体"/>
          <w:color w:val="auto"/>
        </w:rPr>
      </w:pPr>
    </w:p>
    <w:p w14:paraId="0AC8BEF1">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auto"/>
        </w:rPr>
      </w:pPr>
    </w:p>
    <w:p w14:paraId="03173BE7">
      <w:pPr>
        <w:keepNext w:val="0"/>
        <w:keepLines w:val="0"/>
        <w:pageBreakBefore w:val="0"/>
        <w:kinsoku/>
        <w:wordWrap/>
        <w:overflowPunct/>
        <w:topLinePunct w:val="0"/>
        <w:autoSpaceDE/>
        <w:autoSpaceDN/>
        <w:bidi w:val="0"/>
        <w:adjustRightInd/>
        <w:snapToGrid/>
        <w:spacing w:line="520" w:lineRule="exact"/>
        <w:jc w:val="center"/>
        <w:textAlignment w:val="auto"/>
        <w:rPr>
          <w:rFonts w:ascii="方正小标宋简体" w:eastAsia="方正小标宋简体"/>
          <w:color w:val="auto"/>
          <w:sz w:val="44"/>
          <w:szCs w:val="44"/>
        </w:rPr>
      </w:pPr>
      <w:r>
        <w:rPr>
          <w:rFonts w:hint="eastAsia" w:ascii="方正小标宋简体" w:eastAsia="方正小标宋简体"/>
          <w:color w:val="auto"/>
          <w:w w:val="95"/>
          <w:sz w:val="44"/>
          <w:szCs w:val="44"/>
        </w:rPr>
        <w:t>广州市生态环境局关于</w:t>
      </w:r>
      <w:r>
        <w:rPr>
          <w:rFonts w:hint="eastAsia" w:ascii="方正小标宋简体" w:eastAsia="方正小标宋简体"/>
          <w:color w:val="auto"/>
          <w:w w:val="95"/>
          <w:sz w:val="44"/>
          <w:szCs w:val="44"/>
          <w:lang w:eastAsia="zh-CN"/>
        </w:rPr>
        <w:t>智能视觉产品产业化建设项目</w:t>
      </w:r>
      <w:r>
        <w:rPr>
          <w:rFonts w:hint="eastAsia" w:ascii="方正小标宋简体" w:eastAsia="方正小标宋简体"/>
          <w:color w:val="auto"/>
          <w:sz w:val="44"/>
          <w:szCs w:val="44"/>
        </w:rPr>
        <w:t>环境影响报告表的批复</w:t>
      </w:r>
    </w:p>
    <w:p w14:paraId="00880D9C">
      <w:pPr>
        <w:keepNext w:val="0"/>
        <w:keepLines w:val="0"/>
        <w:pageBreakBefore w:val="0"/>
        <w:kinsoku/>
        <w:wordWrap/>
        <w:overflowPunct/>
        <w:topLinePunct w:val="0"/>
        <w:autoSpaceDE/>
        <w:autoSpaceDN/>
        <w:bidi w:val="0"/>
        <w:adjustRightInd/>
        <w:snapToGrid/>
        <w:spacing w:line="520" w:lineRule="exact"/>
        <w:textAlignment w:val="auto"/>
        <w:rPr>
          <w:rFonts w:ascii="仿宋_GB2312" w:eastAsia="仿宋_GB2312"/>
          <w:color w:val="auto"/>
          <w:sz w:val="32"/>
          <w:szCs w:val="32"/>
        </w:rPr>
      </w:pPr>
    </w:p>
    <w:p w14:paraId="4D947783">
      <w:pPr>
        <w:keepNext w:val="0"/>
        <w:keepLines w:val="0"/>
        <w:pageBreakBefore w:val="0"/>
        <w:kinsoku/>
        <w:wordWrap/>
        <w:overflowPunct/>
        <w:topLinePunct w:val="0"/>
        <w:autoSpaceDE/>
        <w:autoSpaceDN/>
        <w:bidi w:val="0"/>
        <w:adjustRightInd/>
        <w:snapToGrid/>
        <w:spacing w:line="520" w:lineRule="exact"/>
        <w:textAlignment w:val="auto"/>
        <w:rPr>
          <w:rFonts w:ascii="仿宋_GB2312" w:eastAsia="仿宋_GB2312"/>
          <w:color w:val="auto"/>
          <w:sz w:val="32"/>
          <w:szCs w:val="32"/>
        </w:rPr>
      </w:pPr>
      <w:r>
        <w:rPr>
          <w:rFonts w:hint="eastAsia" w:ascii="仿宋_GB2312" w:eastAsia="仿宋_GB2312"/>
          <w:color w:val="auto"/>
          <w:sz w:val="32"/>
          <w:szCs w:val="32"/>
          <w:lang w:eastAsia="zh-CN"/>
        </w:rPr>
        <w:t>广东九安智能科技股份有限公司（91440101797375941C）：</w:t>
      </w:r>
    </w:p>
    <w:p w14:paraId="06F9824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你单位报送的《</w:t>
      </w:r>
      <w:r>
        <w:rPr>
          <w:rFonts w:hint="eastAsia" w:ascii="仿宋_GB2312" w:eastAsia="仿宋_GB2312"/>
          <w:color w:val="auto"/>
          <w:sz w:val="32"/>
          <w:szCs w:val="32"/>
          <w:lang w:eastAsia="zh-CN"/>
        </w:rPr>
        <w:t>智能视觉产品产业化建设项目</w:t>
      </w:r>
      <w:r>
        <w:rPr>
          <w:rFonts w:hint="eastAsia" w:ascii="仿宋_GB2312" w:eastAsia="仿宋_GB2312"/>
          <w:color w:val="auto"/>
          <w:sz w:val="32"/>
          <w:szCs w:val="32"/>
        </w:rPr>
        <w:t>环境影响报告表》（以下简称《报告表》）及附送资料收悉。经研究，现批复如下：</w:t>
      </w:r>
    </w:p>
    <w:p w14:paraId="6234E811">
      <w:pPr>
        <w:keepNext w:val="0"/>
        <w:keepLines w:val="0"/>
        <w:pageBreakBefore w:val="0"/>
        <w:numPr>
          <w:ilvl w:val="0"/>
          <w:numId w:val="1"/>
        </w:numPr>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eastAsia="zh-CN"/>
        </w:rPr>
        <w:t>智能视觉产品产业化建设项目</w:t>
      </w:r>
      <w:r>
        <w:rPr>
          <w:rFonts w:hint="eastAsia" w:ascii="仿宋_GB2312" w:eastAsia="仿宋_GB2312"/>
          <w:color w:val="auto"/>
          <w:sz w:val="32"/>
          <w:szCs w:val="32"/>
        </w:rPr>
        <w:t>（以下简称“该项目”）位于广州</w:t>
      </w:r>
      <w:r>
        <w:rPr>
          <w:rFonts w:hint="eastAsia" w:ascii="仿宋_GB2312" w:eastAsia="仿宋_GB2312"/>
          <w:color w:val="auto"/>
          <w:sz w:val="32"/>
          <w:szCs w:val="32"/>
          <w:lang w:val="en-US" w:eastAsia="zh-CN"/>
        </w:rPr>
        <w:t>市</w:t>
      </w:r>
      <w:r>
        <w:rPr>
          <w:rFonts w:hint="eastAsia" w:ascii="仿宋_GB2312" w:eastAsia="仿宋_GB2312"/>
          <w:color w:val="auto"/>
          <w:sz w:val="32"/>
          <w:szCs w:val="32"/>
        </w:rPr>
        <w:t>番禺区石碁镇前锋路东侧625-08地块，申报内容为</w:t>
      </w:r>
      <w:r>
        <w:rPr>
          <w:rFonts w:hint="eastAsia" w:ascii="仿宋_GB2312" w:eastAsia="仿宋_GB2312"/>
          <w:color w:val="auto"/>
          <w:sz w:val="32"/>
          <w:szCs w:val="32"/>
          <w:lang w:val="en-US" w:eastAsia="zh-CN"/>
        </w:rPr>
        <w:t>从事摄像机模组、摄像机生产，年产摄像机模组3119万片、摄像机749万台</w:t>
      </w:r>
      <w:r>
        <w:rPr>
          <w:rFonts w:hint="eastAsia" w:ascii="仿宋_GB2312" w:eastAsia="仿宋_GB2312"/>
          <w:color w:val="auto"/>
          <w:sz w:val="32"/>
          <w:szCs w:val="32"/>
        </w:rPr>
        <w:t>。该项目占地面积</w:t>
      </w:r>
      <w:r>
        <w:rPr>
          <w:rFonts w:hint="eastAsia" w:ascii="仿宋_GB2312" w:eastAsia="仿宋_GB2312"/>
          <w:color w:val="auto"/>
          <w:sz w:val="32"/>
          <w:szCs w:val="32"/>
          <w:lang w:val="en-US" w:eastAsia="zh-CN"/>
        </w:rPr>
        <w:t>34797.94</w:t>
      </w:r>
      <w:r>
        <w:rPr>
          <w:rFonts w:hint="eastAsia" w:ascii="仿宋_GB2312" w:eastAsia="仿宋_GB2312"/>
          <w:color w:val="auto"/>
          <w:sz w:val="32"/>
          <w:szCs w:val="32"/>
        </w:rPr>
        <w:t>平方米，总建筑面积</w:t>
      </w:r>
      <w:r>
        <w:rPr>
          <w:rFonts w:hint="eastAsia" w:ascii="仿宋_GB2312" w:eastAsia="仿宋_GB2312"/>
          <w:color w:val="auto"/>
          <w:sz w:val="32"/>
          <w:szCs w:val="32"/>
          <w:lang w:val="en-US" w:eastAsia="zh-CN"/>
        </w:rPr>
        <w:t>74032</w:t>
      </w:r>
      <w:r>
        <w:rPr>
          <w:rFonts w:hint="eastAsia" w:ascii="仿宋_GB2312" w:eastAsia="仿宋_GB2312"/>
          <w:color w:val="auto"/>
          <w:sz w:val="32"/>
          <w:szCs w:val="32"/>
        </w:rPr>
        <w:t>平方米，</w:t>
      </w:r>
      <w:r>
        <w:rPr>
          <w:rFonts w:hint="eastAsia" w:ascii="仿宋_GB2312" w:eastAsia="仿宋_GB2312"/>
          <w:color w:val="auto"/>
          <w:sz w:val="32"/>
          <w:szCs w:val="32"/>
          <w:lang w:val="en-US" w:eastAsia="zh-CN"/>
        </w:rPr>
        <w:t>主要建筑物为2栋12层厂房</w:t>
      </w:r>
      <w:r>
        <w:rPr>
          <w:rFonts w:hint="eastAsia" w:ascii="仿宋_GB2312" w:eastAsia="仿宋_GB2312"/>
          <w:color w:val="auto"/>
          <w:sz w:val="32"/>
          <w:szCs w:val="32"/>
        </w:rPr>
        <w:t>；主要设备有</w:t>
      </w:r>
      <w:r>
        <w:rPr>
          <w:rFonts w:hint="eastAsia" w:ascii="仿宋_GB2312" w:eastAsia="仿宋_GB2312"/>
          <w:color w:val="auto"/>
          <w:sz w:val="32"/>
          <w:szCs w:val="32"/>
          <w:lang w:val="en-US" w:eastAsia="zh-CN"/>
        </w:rPr>
        <w:t>印刷机12台、贴片机36台、双轨氮气回流焊机7台、锡膏搅拌机2台、干燥柜12台、烤箱10台、点胶机10台、UV打印机10台、移印机8台、波峰焊机1台、制氮机5台、空压机3台和检测及组装设备一批等</w:t>
      </w:r>
      <w:r>
        <w:rPr>
          <w:rFonts w:hint="eastAsia" w:ascii="仿宋_GB2312" w:eastAsia="仿宋_GB2312"/>
          <w:color w:val="auto"/>
          <w:sz w:val="32"/>
          <w:szCs w:val="32"/>
        </w:rPr>
        <w:t>；员工</w:t>
      </w:r>
      <w:r>
        <w:rPr>
          <w:rFonts w:hint="eastAsia" w:ascii="仿宋_GB2312" w:eastAsia="仿宋_GB2312"/>
          <w:color w:val="auto"/>
          <w:sz w:val="32"/>
          <w:szCs w:val="32"/>
          <w:lang w:val="en-US" w:eastAsia="zh-CN"/>
        </w:rPr>
        <w:t>500</w:t>
      </w:r>
      <w:r>
        <w:rPr>
          <w:rFonts w:hint="eastAsia" w:ascii="仿宋_GB2312" w:eastAsia="仿宋_GB2312"/>
          <w:color w:val="auto"/>
          <w:sz w:val="32"/>
          <w:szCs w:val="32"/>
        </w:rPr>
        <w:t>名，内部不安排食宿。</w:t>
      </w:r>
    </w:p>
    <w:p w14:paraId="0B64A3C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按照《报告表》的评价结论，在落实各项环境保护措施后，该项目产生的污染物及不良环境影响能够得到有效控制，从环境保护角度，在</w:t>
      </w:r>
      <w:r>
        <w:rPr>
          <w:rFonts w:hint="eastAsia" w:ascii="仿宋_GB2312" w:eastAsia="仿宋_GB2312"/>
          <w:color w:val="auto"/>
          <w:sz w:val="32"/>
          <w:szCs w:val="32"/>
          <w:lang w:val="en-US" w:eastAsia="zh-CN"/>
        </w:rPr>
        <w:t>拟</w:t>
      </w:r>
      <w:r>
        <w:rPr>
          <w:rFonts w:hint="eastAsia" w:ascii="仿宋_GB2312" w:eastAsia="仿宋_GB2312"/>
          <w:color w:val="auto"/>
          <w:sz w:val="32"/>
          <w:szCs w:val="32"/>
        </w:rPr>
        <w:t>选址处建设可行。经审查，我局原则同意《报告表》评价结论。该项目应当按照《报告表》所述性质、规模、地点、生产工艺和环境保护措施进行建设。</w:t>
      </w:r>
    </w:p>
    <w:p w14:paraId="655CFE16">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二、该项目各类污染物排放控制要求如下：</w:t>
      </w:r>
    </w:p>
    <w:p w14:paraId="4A77641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水污染物</w:t>
      </w:r>
      <w:r>
        <w:rPr>
          <w:rFonts w:hint="eastAsia" w:ascii="仿宋_GB2312" w:eastAsia="仿宋_GB2312"/>
          <w:color w:val="auto"/>
          <w:sz w:val="32"/>
          <w:szCs w:val="32"/>
        </w:rPr>
        <w:t>排放执行广东省《水污染物排放限值》（DB44/26-2001）第二时段三级标准。生活污水排放量不超过</w:t>
      </w:r>
      <w:r>
        <w:rPr>
          <w:rFonts w:hint="eastAsia" w:ascii="仿宋_GB2312" w:eastAsia="仿宋_GB2312"/>
          <w:color w:val="auto"/>
          <w:sz w:val="32"/>
          <w:szCs w:val="32"/>
          <w:lang w:val="en-US" w:eastAsia="zh-CN"/>
        </w:rPr>
        <w:t>4500</w:t>
      </w:r>
      <w:r>
        <w:rPr>
          <w:rFonts w:hint="eastAsia" w:ascii="仿宋_GB2312" w:eastAsia="仿宋_GB2312"/>
          <w:color w:val="auto"/>
          <w:sz w:val="32"/>
          <w:szCs w:val="32"/>
        </w:rPr>
        <w:t>吨/年。</w:t>
      </w:r>
    </w:p>
    <w:p w14:paraId="5C2993F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rPr>
        <w:t>（二）1#厂房回流焊、波峰焊、点胶以及擦拭工序产生的</w:t>
      </w:r>
      <w:r>
        <w:rPr>
          <w:rFonts w:hint="eastAsia" w:ascii="仿宋_GB2312" w:eastAsia="仿宋_GB2312"/>
          <w:color w:val="auto"/>
          <w:sz w:val="32"/>
          <w:szCs w:val="32"/>
          <w:lang w:val="en-US" w:eastAsia="zh-CN"/>
        </w:rPr>
        <w:t>有</w:t>
      </w:r>
      <w:bookmarkStart w:id="0" w:name="_GoBack"/>
      <w:bookmarkEnd w:id="0"/>
      <w:r>
        <w:rPr>
          <w:rFonts w:hint="eastAsia" w:ascii="仿宋_GB2312" w:eastAsia="仿宋_GB2312"/>
          <w:color w:val="auto"/>
          <w:sz w:val="32"/>
          <w:szCs w:val="32"/>
          <w:lang w:val="en-US" w:eastAsia="zh-CN"/>
        </w:rPr>
        <w:t>机废气有组织排放执行广东省《固定污染源挥发性有机物综合排放标准》（DB44/2367-2022）</w:t>
      </w:r>
      <w:r>
        <w:rPr>
          <w:rFonts w:hint="eastAsia" w:ascii="仿宋_GB2312" w:eastAsia="仿宋_GB2312" w:cs="Times New Roman"/>
          <w:color w:val="auto"/>
          <w:sz w:val="32"/>
          <w:szCs w:val="32"/>
          <w:lang w:val="en-US" w:eastAsia="zh-CN"/>
        </w:rPr>
        <w:t>;2#厂房回流焊、印刷以及擦拭工序产生的有机废气有组织排放执行广东省《固定污染源挥发性有机物综合排放标准》（DB44/2367-2022）、《印刷工业大气污染物排放标准》（GB41616-2022）和广东省《印刷行业挥发性有机化合物排放标准》（DB44/815-2010）的较严值；</w:t>
      </w:r>
      <w:r>
        <w:rPr>
          <w:rFonts w:hint="eastAsia" w:ascii="仿宋_GB2312" w:eastAsia="仿宋_GB2312"/>
          <w:color w:val="auto"/>
          <w:sz w:val="32"/>
          <w:szCs w:val="32"/>
        </w:rPr>
        <w:t>厂区内非甲烷总烃排放执行广东省《固定污染</w:t>
      </w:r>
      <w:r>
        <w:rPr>
          <w:rFonts w:hint="eastAsia" w:ascii="仿宋_GB2312" w:eastAsia="仿宋_GB2312" w:cs="Times New Roman"/>
          <w:color w:val="auto"/>
          <w:sz w:val="32"/>
          <w:szCs w:val="32"/>
        </w:rPr>
        <w:t>源挥发性有机物综合排放标准》（DB44/2367-2022）表3厂区内VOCs无组织排放限值</w:t>
      </w:r>
      <w:r>
        <w:rPr>
          <w:rFonts w:hint="eastAsia" w:ascii="仿宋_GB2312" w:eastAsia="仿宋_GB2312" w:cs="Times New Roman"/>
          <w:color w:val="auto"/>
          <w:sz w:val="32"/>
          <w:szCs w:val="32"/>
          <w:lang w:eastAsia="zh-CN"/>
        </w:rPr>
        <w:t>；厂界VOCs排放执行广东省《印刷行业挥发性有机化合物排放标准》（DB44/815-2010）表3无组织排放监控点浓度限值；</w:t>
      </w:r>
      <w:r>
        <w:rPr>
          <w:rFonts w:hint="eastAsia" w:ascii="仿宋_GB2312" w:eastAsia="仿宋_GB2312" w:cs="Times New Roman"/>
          <w:color w:val="auto"/>
          <w:sz w:val="32"/>
          <w:szCs w:val="32"/>
          <w:lang w:val="en-US" w:eastAsia="zh-CN"/>
        </w:rPr>
        <w:t>其他大气污染物</w:t>
      </w:r>
      <w:r>
        <w:rPr>
          <w:rFonts w:hint="eastAsia" w:ascii="仿宋_GB2312" w:eastAsia="仿宋_GB2312" w:cs="Times New Roman"/>
          <w:color w:val="auto"/>
          <w:sz w:val="32"/>
          <w:szCs w:val="32"/>
        </w:rPr>
        <w:t>排放执行广东省《大气污染物排放限值》（DB44/27-2001）第二时段</w:t>
      </w:r>
      <w:r>
        <w:rPr>
          <w:rFonts w:hint="eastAsia" w:ascii="仿宋_GB2312" w:eastAsia="仿宋_GB2312" w:cs="Times New Roman"/>
          <w:color w:val="auto"/>
          <w:sz w:val="32"/>
          <w:szCs w:val="32"/>
          <w:lang w:val="en-US" w:eastAsia="zh-CN"/>
        </w:rPr>
        <w:t>有组织排放限值和</w:t>
      </w:r>
      <w:r>
        <w:rPr>
          <w:rFonts w:hint="eastAsia" w:ascii="仿宋_GB2312" w:eastAsia="仿宋_GB2312" w:cs="Times New Roman"/>
          <w:color w:val="auto"/>
          <w:sz w:val="32"/>
          <w:szCs w:val="32"/>
        </w:rPr>
        <w:t>无组织排放限值</w:t>
      </w:r>
      <w:r>
        <w:rPr>
          <w:rFonts w:hint="eastAsia" w:ascii="仿宋_GB2312" w:eastAsia="仿宋_GB2312" w:cs="Times New Roman"/>
          <w:color w:val="auto"/>
          <w:sz w:val="32"/>
          <w:szCs w:val="32"/>
          <w:lang w:eastAsia="zh-CN"/>
        </w:rPr>
        <w:t>。</w:t>
      </w:r>
      <w:r>
        <w:rPr>
          <w:rFonts w:hint="eastAsia" w:ascii="仿宋_GB2312" w:eastAsia="仿宋_GB2312" w:cs="Times New Roman"/>
          <w:color w:val="auto"/>
          <w:sz w:val="32"/>
          <w:szCs w:val="32"/>
          <w:lang w:val="en-US" w:eastAsia="zh-CN"/>
        </w:rPr>
        <w:t>挥发性有机物排放量不超过1.597吨/年。</w:t>
      </w:r>
    </w:p>
    <w:p w14:paraId="1C45200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Times New Roman"/>
          <w:color w:val="auto"/>
          <w:sz w:val="32"/>
          <w:szCs w:val="32"/>
        </w:rPr>
      </w:pPr>
      <w:r>
        <w:rPr>
          <w:rFonts w:hint="eastAsia" w:ascii="仿宋_GB2312" w:eastAsia="仿宋_GB2312"/>
          <w:color w:val="auto"/>
          <w:sz w:val="32"/>
          <w:szCs w:val="32"/>
        </w:rPr>
        <w:t>（三）边界噪声排放执行《工业企业厂界环境噪声排放标准》（GB12348-2008）</w:t>
      </w:r>
      <w:r>
        <w:rPr>
          <w:rFonts w:hint="eastAsia" w:ascii="仿宋_GB2312" w:eastAsia="仿宋_GB2312" w:cs="Times New Roman"/>
          <w:color w:val="auto"/>
          <w:sz w:val="32"/>
          <w:szCs w:val="32"/>
        </w:rPr>
        <w:t>3类区限值，即：昼间≤65</w:t>
      </w:r>
      <w:r>
        <w:rPr>
          <w:rFonts w:hint="eastAsia" w:ascii="仿宋_GB2312" w:eastAsia="仿宋_GB2312" w:cs="Times New Roman"/>
          <w:color w:val="auto"/>
          <w:sz w:val="32"/>
          <w:szCs w:val="32"/>
          <w:lang w:val="en-US" w:eastAsia="zh-CN"/>
        </w:rPr>
        <w:t>dB（A）</w:t>
      </w:r>
      <w:r>
        <w:rPr>
          <w:rFonts w:hint="eastAsia" w:ascii="仿宋_GB2312" w:eastAsia="仿宋_GB2312" w:cs="Times New Roman"/>
          <w:color w:val="auto"/>
          <w:sz w:val="32"/>
          <w:szCs w:val="32"/>
        </w:rPr>
        <w:t>，夜间≤55</w:t>
      </w:r>
      <w:r>
        <w:rPr>
          <w:rFonts w:hint="eastAsia" w:ascii="仿宋_GB2312" w:eastAsia="仿宋_GB2312" w:cs="Times New Roman"/>
          <w:color w:val="auto"/>
          <w:sz w:val="32"/>
          <w:szCs w:val="32"/>
          <w:lang w:val="en-US" w:eastAsia="zh-CN"/>
        </w:rPr>
        <w:t>dB（A）</w:t>
      </w:r>
      <w:r>
        <w:rPr>
          <w:rFonts w:hint="eastAsia" w:ascii="仿宋_GB2312" w:eastAsia="仿宋_GB2312" w:cs="Times New Roman"/>
          <w:color w:val="auto"/>
          <w:sz w:val="32"/>
          <w:szCs w:val="32"/>
        </w:rPr>
        <w:t>。</w:t>
      </w:r>
    </w:p>
    <w:p w14:paraId="5D589B1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三、该项目应当认真落实《报告表》提出的各项环境保护措施，重点做好以下工作：</w:t>
      </w:r>
    </w:p>
    <w:p w14:paraId="548C04D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（一）排水</w:t>
      </w:r>
      <w:r>
        <w:rPr>
          <w:rFonts w:hint="eastAsia" w:ascii="仿宋_GB2312" w:eastAsia="仿宋_GB2312" w:cs="Times New Roman"/>
          <w:color w:val="000000" w:themeColor="text1"/>
          <w:sz w:val="32"/>
          <w:szCs w:val="32"/>
          <w14:textFill>
            <w14:solidFill>
              <w14:schemeClr w14:val="tx1"/>
            </w14:solidFill>
          </w14:textFill>
        </w:rPr>
        <w:t>系统采用雨污分流。</w:t>
      </w:r>
      <w:r>
        <w:rPr>
          <w:rFonts w:hint="eastAsia" w:ascii="仿宋_GB2312" w:eastAsia="仿宋_GB2312" w:cs="Times New Roman"/>
          <w:color w:val="000000" w:themeColor="text1"/>
          <w:sz w:val="32"/>
          <w:szCs w:val="32"/>
          <w:lang w:val="en-US" w:eastAsia="zh-CN"/>
          <w14:textFill>
            <w14:solidFill>
              <w14:schemeClr w14:val="tx1"/>
            </w14:solidFill>
          </w14:textFill>
        </w:rPr>
        <w:t>喷淋塔喷淋</w:t>
      </w:r>
      <w:r>
        <w:rPr>
          <w:rFonts w:hint="eastAsia" w:ascii="仿宋_GB2312" w:eastAsia="仿宋_GB2312" w:cs="Times New Roman"/>
          <w:color w:val="000000" w:themeColor="text1"/>
          <w:sz w:val="32"/>
          <w:szCs w:val="32"/>
          <w14:textFill>
            <w14:solidFill>
              <w14:schemeClr w14:val="tx1"/>
            </w14:solidFill>
          </w14:textFill>
        </w:rPr>
        <w:t>水循环使用，</w:t>
      </w:r>
      <w:r>
        <w:rPr>
          <w:rFonts w:hint="eastAsia" w:ascii="仿宋_GB2312" w:eastAsia="仿宋_GB2312" w:cs="Times New Roman"/>
          <w:color w:val="000000" w:themeColor="text1"/>
          <w:sz w:val="32"/>
          <w:szCs w:val="32"/>
          <w:lang w:val="en-US" w:eastAsia="zh-CN"/>
          <w14:textFill>
            <w14:solidFill>
              <w14:schemeClr w14:val="tx1"/>
            </w14:solidFill>
          </w14:textFill>
        </w:rPr>
        <w:t>定期更换交有资质的单位处理</w:t>
      </w:r>
      <w:r>
        <w:rPr>
          <w:rFonts w:hint="eastAsia" w:ascii="仿宋_GB2312" w:eastAsia="仿宋_GB2312" w:cs="Times New Roman"/>
          <w:color w:val="000000" w:themeColor="text1"/>
          <w:sz w:val="32"/>
          <w:szCs w:val="32"/>
          <w14:textFill>
            <w14:solidFill>
              <w14:schemeClr w14:val="tx1"/>
            </w14:solidFill>
          </w14:textFill>
        </w:rPr>
        <w:t>。生活污水</w:t>
      </w:r>
      <w:r>
        <w:rPr>
          <w:rFonts w:hint="eastAsia" w:ascii="仿宋_GB2312" w:eastAsia="仿宋_GB2312" w:cs="Times New Roman"/>
          <w:color w:val="000000" w:themeColor="text1"/>
          <w:sz w:val="32"/>
          <w:szCs w:val="32"/>
          <w:lang w:eastAsia="zh-CN"/>
          <w14:textFill>
            <w14:solidFill>
              <w14:schemeClr w14:val="tx1"/>
            </w14:solidFill>
          </w14:textFill>
        </w:rPr>
        <w:t>经三级化粪池预处理后</w:t>
      </w:r>
      <w:r>
        <w:rPr>
          <w:rFonts w:hint="eastAsia" w:ascii="仿宋_GB2312" w:eastAsia="仿宋_GB2312" w:cs="Times New Roman"/>
          <w:color w:val="000000" w:themeColor="text1"/>
          <w:sz w:val="32"/>
          <w:szCs w:val="32"/>
          <w14:textFill>
            <w14:solidFill>
              <w14:schemeClr w14:val="tx1"/>
            </w14:solidFill>
          </w14:textFill>
        </w:rPr>
        <w:t>排入市政集污</w:t>
      </w:r>
      <w:r>
        <w:rPr>
          <w:rFonts w:hint="eastAsia" w:ascii="仿宋_GB2312" w:eastAsia="仿宋_GB2312"/>
          <w:color w:val="000000" w:themeColor="text1"/>
          <w:sz w:val="32"/>
          <w:szCs w:val="32"/>
          <w14:textFill>
            <w14:solidFill>
              <w14:schemeClr w14:val="tx1"/>
            </w14:solidFill>
          </w14:textFill>
        </w:rPr>
        <w:t>管网，送</w:t>
      </w:r>
      <w:r>
        <w:rPr>
          <w:rFonts w:hint="eastAsia" w:ascii="仿宋_GB2312" w:eastAsia="仿宋_GB2312"/>
          <w:color w:val="000000" w:themeColor="text1"/>
          <w:sz w:val="32"/>
          <w:szCs w:val="32"/>
          <w:lang w:val="en-US" w:eastAsia="zh-CN"/>
          <w14:textFill>
            <w14:solidFill>
              <w14:schemeClr w14:val="tx1"/>
            </w14:solidFill>
          </w14:textFill>
        </w:rPr>
        <w:t>前锋</w:t>
      </w:r>
      <w:r>
        <w:rPr>
          <w:rFonts w:hint="eastAsia" w:ascii="仿宋_GB2312" w:eastAsia="仿宋_GB2312"/>
          <w:color w:val="000000" w:themeColor="text1"/>
          <w:sz w:val="32"/>
          <w:szCs w:val="32"/>
          <w14:textFill>
            <w14:solidFill>
              <w14:schemeClr w14:val="tx1"/>
            </w14:solidFill>
          </w14:textFill>
        </w:rPr>
        <w:t>净水厂</w:t>
      </w:r>
      <w:r>
        <w:rPr>
          <w:rFonts w:hint="eastAsia" w:ascii="仿宋_GB2312" w:eastAsia="仿宋_GB2312"/>
          <w:color w:val="000000" w:themeColor="text1"/>
          <w:sz w:val="32"/>
          <w:szCs w:val="32"/>
          <w:lang w:val="en-US" w:eastAsia="zh-CN"/>
          <w14:textFill>
            <w14:solidFill>
              <w14:schemeClr w14:val="tx1"/>
            </w14:solidFill>
          </w14:textFill>
        </w:rPr>
        <w:t>集中</w:t>
      </w:r>
      <w:r>
        <w:rPr>
          <w:rFonts w:hint="eastAsia" w:ascii="仿宋_GB2312" w:eastAsia="仿宋_GB2312"/>
          <w:color w:val="000000" w:themeColor="text1"/>
          <w:sz w:val="32"/>
          <w:szCs w:val="32"/>
          <w14:textFill>
            <w14:solidFill>
              <w14:schemeClr w14:val="tx1"/>
            </w14:solidFill>
          </w14:textFill>
        </w:rPr>
        <w:t>处理。项目设置</w:t>
      </w:r>
      <w:r>
        <w:rPr>
          <w:rFonts w:hint="eastAsia" w:ascii="仿宋_GB2312" w:eastAsia="仿宋_GB2312"/>
          <w:color w:val="000000" w:themeColor="text1"/>
          <w:sz w:val="32"/>
          <w:szCs w:val="32"/>
          <w:lang w:val="en-US" w:eastAsia="zh-CN"/>
          <w14:textFill>
            <w14:solidFill>
              <w14:schemeClr w14:val="tx1"/>
            </w14:solidFill>
          </w14:textFill>
        </w:rPr>
        <w:t>生活污水</w:t>
      </w:r>
      <w:r>
        <w:rPr>
          <w:rFonts w:hint="eastAsia" w:ascii="仿宋_GB2312" w:eastAsia="仿宋_GB2312"/>
          <w:color w:val="000000" w:themeColor="text1"/>
          <w:sz w:val="32"/>
          <w:szCs w:val="32"/>
          <w14:textFill>
            <w14:solidFill>
              <w14:schemeClr w14:val="tx1"/>
            </w14:solidFill>
          </w14:textFill>
        </w:rPr>
        <w:t>排放口</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个。</w:t>
      </w:r>
    </w:p>
    <w:p w14:paraId="3A96B3D2">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w:t>
      </w:r>
      <w:r>
        <w:rPr>
          <w:rFonts w:hint="eastAsia" w:ascii="仿宋_GB2312" w:eastAsia="仿宋_GB2312"/>
          <w:color w:val="auto"/>
          <w:sz w:val="32"/>
          <w:szCs w:val="32"/>
          <w:lang w:val="en-US" w:eastAsia="zh-CN"/>
        </w:rPr>
        <w:t>按照</w:t>
      </w:r>
      <w:r>
        <w:rPr>
          <w:rFonts w:hint="eastAsia" w:ascii="仿宋_GB2312" w:eastAsia="仿宋_GB2312"/>
          <w:color w:val="auto"/>
          <w:sz w:val="32"/>
          <w:szCs w:val="32"/>
          <w:lang w:eastAsia="zh-CN"/>
        </w:rPr>
        <w:t>广东省</w:t>
      </w:r>
      <w:r>
        <w:rPr>
          <w:rFonts w:hint="eastAsia" w:ascii="仿宋_GB2312" w:eastAsia="仿宋_GB2312"/>
          <w:color w:val="auto"/>
          <w:sz w:val="32"/>
          <w:szCs w:val="32"/>
        </w:rPr>
        <w:t>《固定污染源挥发性有机物综合排放标准》（DB44</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2367-2022）的无组织排放控制要求落实相关措施</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1#厂房回流焊、波峰焊、点胶以及擦拭工序产生的废气，与2#厂房回流焊、印刷以及擦拭工序产生的废气分别收集至2套“水喷淋塔+二级活性炭吸附”装置处理，分别通过专用管道引至所在建筑物楼顶高空排放，排气筒高度不低于15米。</w:t>
      </w:r>
      <w:r>
        <w:rPr>
          <w:rFonts w:hint="eastAsia" w:ascii="仿宋_GB2312" w:eastAsia="仿宋_GB2312"/>
          <w:color w:val="auto"/>
          <w:sz w:val="32"/>
          <w:szCs w:val="32"/>
        </w:rPr>
        <w:t>项目设置废气排放口</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个。</w:t>
      </w:r>
    </w:p>
    <w:p w14:paraId="148AB73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sz w:val="32"/>
          <w:szCs w:val="32"/>
        </w:rPr>
        <w:t>加强</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废气的监控，确保</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监控点的废气达到相应标准限值的要求，监测超标时应</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对无组织排放废气进行收集、净化处理。</w:t>
      </w:r>
    </w:p>
    <w:p w14:paraId="089C39E3">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（三）选用低噪声设备，合理布设生产车间，对噪声源采取隔声、减振等措施，定期检修设备。</w:t>
      </w:r>
    </w:p>
    <w:p w14:paraId="75D36414">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（四）废洗板水、水喷淋塔喷淋废水及沉渣、危险性包装废弃物、废电路板、废机油、含油废抹布、废无尘纸、废活性炭</w:t>
      </w:r>
      <w:r>
        <w:rPr>
          <w:rFonts w:hint="eastAsia" w:ascii="仿宋_GB2312" w:hAnsi="仿宋_GB2312" w:eastAsia="仿宋_GB2312" w:cs="仿宋_GB2312"/>
          <w:color w:val="auto"/>
          <w:sz w:val="32"/>
          <w:szCs w:val="32"/>
          <w:lang w:eastAsia="zh-CN"/>
        </w:rPr>
        <w:t>等</w:t>
      </w:r>
      <w:r>
        <w:rPr>
          <w:rFonts w:hint="eastAsia" w:ascii="仿宋_GB2312" w:hAnsi="仿宋_GB2312" w:eastAsia="仿宋_GB2312" w:cs="仿宋_GB2312"/>
          <w:color w:val="auto"/>
          <w:sz w:val="32"/>
          <w:szCs w:val="32"/>
          <w:lang w:val="en-US" w:eastAsia="zh-CN"/>
        </w:rPr>
        <w:t>属于</w:t>
      </w:r>
      <w:r>
        <w:rPr>
          <w:rFonts w:hint="eastAsia" w:ascii="仿宋_GB2312" w:eastAsia="仿宋_GB2312"/>
          <w:color w:val="auto"/>
          <w:sz w:val="32"/>
          <w:szCs w:val="32"/>
        </w:rPr>
        <w:t>危险废物</w:t>
      </w:r>
      <w:r>
        <w:rPr>
          <w:rFonts w:hint="eastAsia" w:ascii="仿宋_GB2312" w:eastAsia="仿宋_GB2312"/>
          <w:color w:val="auto"/>
          <w:sz w:val="32"/>
          <w:szCs w:val="32"/>
          <w:lang w:val="en-US" w:eastAsia="zh-CN"/>
        </w:rPr>
        <w:t>的</w:t>
      </w:r>
      <w:r>
        <w:rPr>
          <w:rFonts w:hint="eastAsia" w:ascii="仿宋_GB2312" w:eastAsia="仿宋_GB2312"/>
          <w:color w:val="auto"/>
          <w:sz w:val="32"/>
          <w:szCs w:val="32"/>
        </w:rPr>
        <w:t>须设置符合《危险废物贮存污染控制标准》（GB18597-20</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）要求的专用贮存场所存放并委托具备危险废物处理资质的机构处理。</w:t>
      </w:r>
    </w:p>
    <w:p w14:paraId="1753980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五</w:t>
      </w:r>
      <w:r>
        <w:rPr>
          <w:rFonts w:hint="eastAsia" w:ascii="仿宋_GB2312" w:eastAsia="仿宋_GB2312"/>
          <w:color w:val="000000" w:themeColor="text1"/>
          <w:sz w:val="32"/>
          <w:szCs w:val="32"/>
          <w14:textFill>
            <w14:solidFill>
              <w14:schemeClr w14:val="tx1"/>
            </w14:solidFill>
          </w14:textFill>
        </w:rPr>
        <w:t>）督促施工单位落实《报告表》提出的施工期污染防治措施，做好该项目施工现场的环保工作，防止施工粉尘、噪声和污水等对周围环境造成影</w:t>
      </w:r>
      <w:r>
        <w:rPr>
          <w:rFonts w:hint="eastAsia" w:ascii="仿宋_GB2312" w:eastAsia="仿宋_GB2312" w:cs="Times New Roman"/>
          <w:color w:val="000000" w:themeColor="text1"/>
          <w:sz w:val="32"/>
          <w:szCs w:val="32"/>
          <w14:textFill>
            <w14:solidFill>
              <w14:schemeClr w14:val="tx1"/>
            </w14:solidFill>
          </w14:textFill>
        </w:rPr>
        <w:t>响。</w:t>
      </w:r>
    </w:p>
    <w:p w14:paraId="4EDE7DDF">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四、该项目的性质、规模、地点、采用的生产工艺或者防治污染、防止生态破坏的措施发生重大变动的，你单位应当重新报批环境影响评价文件。</w:t>
      </w:r>
    </w:p>
    <w:p w14:paraId="2D119925">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五</w:t>
      </w:r>
      <w:r>
        <w:rPr>
          <w:rFonts w:hint="eastAsia" w:ascii="仿宋_GB2312" w:eastAsia="仿宋_GB2312"/>
          <w:color w:val="auto"/>
          <w:sz w:val="32"/>
          <w:szCs w:val="32"/>
        </w:rPr>
        <w:t>、自《报告表》批准之日起超过五年，方决定该项目开工建设的，《报告表》应当在开工建设前报我局重新审核。未经我局重新审核同意的，不得擅自开工建设。</w:t>
      </w:r>
    </w:p>
    <w:p w14:paraId="51D689A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六、</w:t>
      </w:r>
      <w:r>
        <w:rPr>
          <w:rFonts w:hint="eastAsia" w:ascii="仿宋_GB2312" w:eastAsia="仿宋_GB2312"/>
          <w:color w:val="auto"/>
          <w:sz w:val="32"/>
          <w:szCs w:val="32"/>
        </w:rPr>
        <w:t>该项目建设应严格执行配套建设的环境保护设施与主体工程同时设计、同时施工、同时投产使用的环境保护“三同时”制度，具体要求如下：</w:t>
      </w:r>
    </w:p>
    <w:p w14:paraId="0D7ABADE">
      <w:pPr>
        <w:keepNext w:val="0"/>
        <w:keepLines w:val="0"/>
        <w:pageBreakBefore w:val="0"/>
        <w:widowControl/>
        <w:tabs>
          <w:tab w:val="left" w:pos="1418"/>
        </w:tabs>
        <w:kinsoku/>
        <w:wordWrap/>
        <w:overflowPunct/>
        <w:topLinePunct w:val="0"/>
        <w:autoSpaceDE/>
        <w:autoSpaceDN/>
        <w:bidi w:val="0"/>
        <w:adjustRightInd/>
        <w:snapToGrid/>
        <w:spacing w:line="520" w:lineRule="exact"/>
        <w:ind w:firstLine="640"/>
        <w:textAlignment w:val="auto"/>
        <w:rPr>
          <w:rFonts w:hint="eastAsia" w:ascii="仿宋_GB2312" w:eastAsia="仿宋_GB2312"/>
          <w:color w:val="auto"/>
          <w:sz w:val="32"/>
          <w:szCs w:val="32"/>
        </w:rPr>
      </w:pPr>
      <w:r>
        <w:rPr>
          <w:rFonts w:hint="eastAsia" w:ascii="仿宋_GB2312" w:eastAsia="仿宋_GB2312"/>
          <w:color w:val="auto"/>
          <w:sz w:val="32"/>
          <w:szCs w:val="32"/>
        </w:rPr>
        <w:t>（一）项目竣工后，你单位应按规定申请取得排污许可证或填报排污登记表，并按照规定的标准、程序和时限，对配套建设的环境保护设施进行验收，编制验收报告，依法向社会公开。</w:t>
      </w:r>
    </w:p>
    <w:p w14:paraId="29ADD63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（二）项目配套建设的环境保护设施经验收合格后，方可投入生产或者使用。</w:t>
      </w:r>
    </w:p>
    <w:p w14:paraId="56910F1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七</w:t>
      </w:r>
      <w:r>
        <w:rPr>
          <w:rFonts w:hint="eastAsia" w:ascii="仿宋_GB2312" w:eastAsia="仿宋_GB2312"/>
          <w:color w:val="auto"/>
          <w:sz w:val="32"/>
          <w:szCs w:val="32"/>
        </w:rPr>
        <w:t>、该项目建设和运行过程中如涉及规划、土地利用、建设、水务、消防、安全等问题，应遵照相关法律法规要求到相应的行政主管部门办理有关手续。</w:t>
      </w:r>
    </w:p>
    <w:p w14:paraId="33B76F65">
      <w:pPr>
        <w:pStyle w:val="18"/>
        <w:keepNext w:val="0"/>
        <w:keepLines w:val="0"/>
        <w:pageBreakBefore w:val="0"/>
        <w:kinsoku/>
        <w:wordWrap/>
        <w:overflowPunct/>
        <w:topLinePunct w:val="0"/>
        <w:autoSpaceDE/>
        <w:autoSpaceDN/>
        <w:bidi w:val="0"/>
        <w:adjustRightInd/>
        <w:snapToGrid/>
        <w:spacing w:line="520" w:lineRule="exact"/>
        <w:ind w:firstLine="636"/>
        <w:textAlignment w:val="auto"/>
        <w:rPr>
          <w:rFonts w:hint="eastAsia" w:ascii="仿宋_GB2312" w:hAnsi="仿宋" w:eastAsia="仿宋_GB2312"/>
          <w:color w:val="auto"/>
          <w:sz w:val="32"/>
        </w:rPr>
      </w:pPr>
      <w:r>
        <w:rPr>
          <w:rFonts w:hint="eastAsia" w:ascii="仿宋_GB2312" w:eastAsia="仿宋_GB2312"/>
          <w:color w:val="auto"/>
          <w:sz w:val="32"/>
          <w:szCs w:val="32"/>
          <w:lang w:val="en-US" w:eastAsia="zh-CN"/>
        </w:rPr>
        <w:t>八</w:t>
      </w:r>
      <w:r>
        <w:rPr>
          <w:rFonts w:hint="eastAsia" w:ascii="仿宋_GB2312" w:eastAsia="仿宋_GB2312"/>
          <w:color w:val="auto"/>
          <w:sz w:val="32"/>
          <w:szCs w:val="32"/>
        </w:rPr>
        <w:t>、</w:t>
      </w:r>
      <w:r>
        <w:rPr>
          <w:rFonts w:hint="eastAsia" w:ascii="仿宋_GB2312" w:hAnsi="仿宋" w:eastAsia="仿宋_GB2312"/>
          <w:color w:val="auto"/>
          <w:sz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0A04E271">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p>
    <w:p w14:paraId="2799DFF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color w:val="auto"/>
          <w:sz w:val="32"/>
          <w:szCs w:val="32"/>
        </w:rPr>
      </w:pPr>
    </w:p>
    <w:p w14:paraId="60D15471">
      <w:pPr>
        <w:keepNext w:val="0"/>
        <w:keepLines w:val="0"/>
        <w:pageBreakBefore w:val="0"/>
        <w:kinsoku/>
        <w:wordWrap/>
        <w:overflowPunct/>
        <w:topLinePunct w:val="0"/>
        <w:autoSpaceDE/>
        <w:autoSpaceDN/>
        <w:bidi w:val="0"/>
        <w:adjustRightInd/>
        <w:snapToGrid/>
        <w:spacing w:line="520" w:lineRule="exact"/>
        <w:textAlignment w:val="auto"/>
        <w:rPr>
          <w:rFonts w:ascii="仿宋_GB2312" w:eastAsia="仿宋_GB2312"/>
          <w:color w:val="auto"/>
          <w:sz w:val="32"/>
          <w:szCs w:val="32"/>
        </w:rPr>
      </w:pPr>
    </w:p>
    <w:p w14:paraId="7E90A0C7">
      <w:pPr>
        <w:keepNext w:val="0"/>
        <w:keepLines w:val="0"/>
        <w:pageBreakBefore w:val="0"/>
        <w:kinsoku/>
        <w:wordWrap/>
        <w:overflowPunct/>
        <w:topLinePunct w:val="0"/>
        <w:autoSpaceDE/>
        <w:autoSpaceDN/>
        <w:bidi w:val="0"/>
        <w:adjustRightInd/>
        <w:snapToGrid/>
        <w:spacing w:line="520" w:lineRule="exact"/>
        <w:jc w:val="center"/>
        <w:textAlignment w:val="auto"/>
        <w:rPr>
          <w:rFonts w:ascii="仿宋_GB2312" w:eastAsia="仿宋_GB2312"/>
          <w:color w:val="auto"/>
          <w:sz w:val="32"/>
          <w:szCs w:val="32"/>
        </w:rPr>
      </w:pPr>
      <w:r>
        <w:rPr>
          <w:rFonts w:hint="eastAsia" w:ascii="仿宋_GB2312" w:eastAsia="仿宋_GB2312"/>
          <w:color w:val="auto"/>
          <w:sz w:val="32"/>
          <w:szCs w:val="32"/>
        </w:rPr>
        <w:t xml:space="preserve">                        广州市生态环境局</w:t>
      </w:r>
    </w:p>
    <w:p w14:paraId="7BC6E7C2">
      <w:pPr>
        <w:keepNext w:val="0"/>
        <w:keepLines w:val="0"/>
        <w:pageBreakBefore w:val="0"/>
        <w:kinsoku/>
        <w:wordWrap/>
        <w:overflowPunct/>
        <w:topLinePunct w:val="0"/>
        <w:autoSpaceDE/>
        <w:autoSpaceDN/>
        <w:bidi w:val="0"/>
        <w:adjustRightInd/>
        <w:snapToGrid/>
        <w:spacing w:line="520" w:lineRule="exact"/>
        <w:ind w:right="4" w:rightChars="0" w:firstLine="5120" w:firstLineChars="1600"/>
        <w:textAlignment w:val="auto"/>
        <w:rPr>
          <w:rFonts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7</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11</w:t>
      </w:r>
      <w:r>
        <w:rPr>
          <w:rFonts w:hint="eastAsia" w:ascii="仿宋_GB2312" w:eastAsia="仿宋_GB2312"/>
          <w:color w:val="auto"/>
          <w:sz w:val="32"/>
          <w:szCs w:val="32"/>
        </w:rPr>
        <w:t>日</w:t>
      </w:r>
    </w:p>
    <w:p w14:paraId="7B3AC091">
      <w:pPr>
        <w:keepNext w:val="0"/>
        <w:keepLines w:val="0"/>
        <w:pageBreakBefore w:val="0"/>
        <w:kinsoku/>
        <w:wordWrap/>
        <w:overflowPunct/>
        <w:topLinePunct w:val="0"/>
        <w:autoSpaceDE/>
        <w:autoSpaceDN/>
        <w:bidi w:val="0"/>
        <w:adjustRightInd/>
        <w:snapToGrid/>
        <w:spacing w:line="520" w:lineRule="exact"/>
        <w:textAlignment w:val="auto"/>
        <w:rPr>
          <w:rFonts w:ascii="仿宋_GB2312" w:eastAsia="仿宋_GB2312"/>
          <w:color w:val="auto"/>
          <w:sz w:val="32"/>
          <w:szCs w:val="32"/>
        </w:rPr>
      </w:pPr>
    </w:p>
    <w:p w14:paraId="6284A0D8">
      <w:pPr>
        <w:keepNext w:val="0"/>
        <w:keepLines w:val="0"/>
        <w:pageBreakBefore w:val="0"/>
        <w:kinsoku/>
        <w:wordWrap/>
        <w:overflowPunct/>
        <w:topLinePunct w:val="0"/>
        <w:autoSpaceDE/>
        <w:autoSpaceDN/>
        <w:bidi w:val="0"/>
        <w:adjustRightInd/>
        <w:snapToGrid/>
        <w:spacing w:line="520" w:lineRule="exact"/>
        <w:textAlignment w:val="auto"/>
        <w:rPr>
          <w:rFonts w:hint="eastAsia" w:ascii="黑体" w:eastAsia="黑体"/>
          <w:color w:val="auto"/>
          <w:sz w:val="32"/>
          <w:szCs w:val="32"/>
        </w:rPr>
      </w:pPr>
    </w:p>
    <w:p w14:paraId="0CCA8466">
      <w:pPr>
        <w:keepNext w:val="0"/>
        <w:keepLines w:val="0"/>
        <w:pageBreakBefore w:val="0"/>
        <w:kinsoku/>
        <w:wordWrap/>
        <w:overflowPunct/>
        <w:topLinePunct w:val="0"/>
        <w:autoSpaceDE/>
        <w:autoSpaceDN/>
        <w:bidi w:val="0"/>
        <w:adjustRightInd/>
        <w:snapToGrid/>
        <w:spacing w:line="520" w:lineRule="exact"/>
        <w:textAlignment w:val="auto"/>
        <w:rPr>
          <w:rFonts w:ascii="仿宋_GB2312" w:eastAsia="仿宋_GB2312"/>
          <w:color w:val="auto"/>
          <w:sz w:val="32"/>
          <w:szCs w:val="32"/>
        </w:rPr>
      </w:pPr>
      <w:r>
        <w:rPr>
          <w:rFonts w:hint="eastAsia" w:ascii="黑体" w:eastAsia="黑体"/>
          <w:color w:val="auto"/>
          <w:sz w:val="32"/>
          <w:szCs w:val="32"/>
        </w:rPr>
        <w:t>公开方式：</w:t>
      </w:r>
      <w:r>
        <w:rPr>
          <w:rFonts w:hint="eastAsia" w:ascii="仿宋_GB2312" w:eastAsia="仿宋_GB2312"/>
          <w:color w:val="auto"/>
          <w:sz w:val="32"/>
          <w:szCs w:val="32"/>
        </w:rPr>
        <w:t>主动公开</w:t>
      </w:r>
    </w:p>
    <w:p w14:paraId="22184C5B">
      <w:pPr>
        <w:keepNext w:val="0"/>
        <w:keepLines w:val="0"/>
        <w:pageBreakBefore w:val="0"/>
        <w:kinsoku/>
        <w:wordWrap/>
        <w:overflowPunct/>
        <w:topLinePunct w:val="0"/>
        <w:autoSpaceDE/>
        <w:autoSpaceDN/>
        <w:bidi w:val="0"/>
        <w:adjustRightInd/>
        <w:snapToGrid/>
        <w:spacing w:line="520" w:lineRule="exact"/>
        <w:textAlignment w:val="auto"/>
        <w:rPr>
          <w:rFonts w:ascii="仿宋_GB2312" w:eastAsia="仿宋_GB2312"/>
          <w:color w:val="auto"/>
          <w:sz w:val="32"/>
          <w:szCs w:val="32"/>
        </w:rPr>
      </w:pPr>
    </w:p>
    <w:p w14:paraId="6452DAE3">
      <w:pPr>
        <w:keepNext w:val="0"/>
        <w:keepLines w:val="0"/>
        <w:pageBreakBefore w:val="0"/>
        <w:kinsoku/>
        <w:wordWrap/>
        <w:overflowPunct/>
        <w:topLinePunct w:val="0"/>
        <w:autoSpaceDE/>
        <w:autoSpaceDN/>
        <w:bidi w:val="0"/>
        <w:adjustRightInd/>
        <w:snapToGrid/>
        <w:spacing w:line="520" w:lineRule="exact"/>
        <w:ind w:left="1133" w:leftChars="201" w:hanging="711" w:hangingChars="254"/>
        <w:textAlignment w:val="auto"/>
        <w:rPr>
          <w:rFonts w:hint="eastAsia" w:ascii="仿宋_GB2312" w:eastAsia="仿宋_GB2312"/>
          <w:color w:val="auto"/>
          <w:sz w:val="28"/>
          <w:szCs w:val="28"/>
        </w:rPr>
      </w:pPr>
      <w:r>
        <w:rPr>
          <w:rFonts w:hint="eastAsia" w:ascii="仿宋_GB2312" w:eastAsia="仿宋_GB2312"/>
          <w:color w:val="auto"/>
          <w:sz w:val="28"/>
          <w:szCs w:val="28"/>
        </w:rPr>
        <w:t>抄送：广州市生态环境局番禺分局执法</w:t>
      </w:r>
      <w:r>
        <w:rPr>
          <w:rFonts w:hint="eastAsia" w:ascii="仿宋_GB2312" w:eastAsia="仿宋_GB2312"/>
          <w:color w:val="auto"/>
          <w:sz w:val="28"/>
          <w:szCs w:val="28"/>
          <w:lang w:val="en-US" w:eastAsia="zh-CN"/>
        </w:rPr>
        <w:t>二</w:t>
      </w:r>
      <w:r>
        <w:rPr>
          <w:rFonts w:hint="eastAsia" w:ascii="仿宋_GB2312" w:eastAsia="仿宋_GB2312"/>
          <w:color w:val="auto"/>
          <w:sz w:val="28"/>
          <w:szCs w:val="28"/>
        </w:rPr>
        <w:t>科、</w:t>
      </w:r>
      <w:r>
        <w:rPr>
          <w:rFonts w:hint="eastAsia" w:ascii="仿宋_GB2312" w:eastAsia="仿宋_GB2312"/>
          <w:color w:val="auto"/>
          <w:sz w:val="28"/>
          <w:szCs w:val="28"/>
          <w:lang w:eastAsia="zh-CN"/>
        </w:rPr>
        <w:t>番禺</w:t>
      </w:r>
      <w:r>
        <w:rPr>
          <w:rFonts w:hint="eastAsia" w:ascii="仿宋_GB2312" w:eastAsia="仿宋_GB2312"/>
          <w:color w:val="auto"/>
          <w:sz w:val="28"/>
          <w:szCs w:val="28"/>
        </w:rPr>
        <w:t>第</w:t>
      </w:r>
      <w:r>
        <w:rPr>
          <w:rFonts w:hint="eastAsia" w:ascii="仿宋_GB2312" w:eastAsia="仿宋_GB2312"/>
          <w:color w:val="auto"/>
          <w:sz w:val="28"/>
          <w:szCs w:val="28"/>
          <w:lang w:val="en-US" w:eastAsia="zh-CN"/>
        </w:rPr>
        <w:t>四</w:t>
      </w:r>
      <w:r>
        <w:rPr>
          <w:rFonts w:hint="eastAsia" w:ascii="仿宋_GB2312" w:eastAsia="仿宋_GB2312"/>
          <w:color w:val="auto"/>
          <w:sz w:val="28"/>
          <w:szCs w:val="28"/>
        </w:rPr>
        <w:t>环保所，广州市番禺环境科学研究所有限公司。</w:t>
      </w:r>
    </w:p>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altName w:val="微软雅黑"/>
    <w:panose1 w:val="0201060901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82500">
    <w:pPr>
      <w:pStyle w:val="4"/>
      <w:framePr w:wrap="around" w:vAnchor="text" w:hAnchor="margin" w:xAlign="outside" w:y="1"/>
      <w:rPr>
        <w:rStyle w:val="9"/>
        <w:rFonts w:ascii="宋体" w:hAnsi="宋体"/>
        <w:sz w:val="28"/>
        <w:szCs w:val="28"/>
      </w:rPr>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3</w:t>
    </w:r>
    <w:r>
      <w:rPr>
        <w:rStyle w:val="9"/>
        <w:rFonts w:ascii="宋体" w:hAnsi="宋体"/>
        <w:sz w:val="28"/>
        <w:szCs w:val="28"/>
      </w:rPr>
      <w:fldChar w:fldCharType="end"/>
    </w:r>
    <w:r>
      <w:rPr>
        <w:rStyle w:val="9"/>
        <w:rFonts w:hint="eastAsia" w:ascii="宋体" w:hAnsi="宋体"/>
        <w:sz w:val="28"/>
        <w:szCs w:val="28"/>
      </w:rPr>
      <w:t xml:space="preserve"> —</w:t>
    </w:r>
  </w:p>
  <w:p w14:paraId="2C3B46C2">
    <w:pPr>
      <w:pStyle w:val="4"/>
      <w:ind w:right="360" w:firstLine="360"/>
      <w:jc w:val="center"/>
      <w:rPr>
        <w:rFonts w:ascii="Times New Roman" w:hAnsi="Times New Roman"/>
        <w:sz w:val="28"/>
        <w:szCs w:val="28"/>
      </w:rPr>
    </w:pPr>
  </w:p>
  <w:p w14:paraId="1F0202F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CDDBE">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75A86EC9">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602573"/>
    <w:multiLevelType w:val="singleLevel"/>
    <w:tmpl w:val="9E60257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attachedTemplate r:id="rId1"/>
  <w:documentProtection w:enforcement="0"/>
  <w:defaultTabStop w:val="420"/>
  <w:drawingGridHorizontalSpacing w:val="158"/>
  <w:drawingGridVerticalSpacing w:val="61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ZGFmMGVmYWFiODk5YTFiNTc2ZWNlODI1MTcyOTM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A3F"/>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F26FF"/>
    <w:rsid w:val="00DF7771"/>
    <w:rsid w:val="00E06F40"/>
    <w:rsid w:val="00E16205"/>
    <w:rsid w:val="00E23AD5"/>
    <w:rsid w:val="00E44B98"/>
    <w:rsid w:val="00E52C18"/>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1631F2C"/>
    <w:rsid w:val="020C3600"/>
    <w:rsid w:val="02FF41F8"/>
    <w:rsid w:val="03151C1F"/>
    <w:rsid w:val="039E0DF7"/>
    <w:rsid w:val="03EF3B00"/>
    <w:rsid w:val="05376AA6"/>
    <w:rsid w:val="083C20B8"/>
    <w:rsid w:val="08B17951"/>
    <w:rsid w:val="08B408D6"/>
    <w:rsid w:val="091426BE"/>
    <w:rsid w:val="091574A4"/>
    <w:rsid w:val="09296316"/>
    <w:rsid w:val="097F12A3"/>
    <w:rsid w:val="0A3367C8"/>
    <w:rsid w:val="0A945568"/>
    <w:rsid w:val="0AB6351E"/>
    <w:rsid w:val="0AC460B7"/>
    <w:rsid w:val="0B1161B7"/>
    <w:rsid w:val="0B1F3303"/>
    <w:rsid w:val="0B2B0F5F"/>
    <w:rsid w:val="0BEC2D80"/>
    <w:rsid w:val="0C7516B2"/>
    <w:rsid w:val="0C807692"/>
    <w:rsid w:val="0DE36B99"/>
    <w:rsid w:val="0DFB2E48"/>
    <w:rsid w:val="0E3B3C64"/>
    <w:rsid w:val="0F0373B1"/>
    <w:rsid w:val="0F0A6D3C"/>
    <w:rsid w:val="0F5B1FBE"/>
    <w:rsid w:val="0FD72C0C"/>
    <w:rsid w:val="10211D87"/>
    <w:rsid w:val="103E38B5"/>
    <w:rsid w:val="10BF38FB"/>
    <w:rsid w:val="10E93D4E"/>
    <w:rsid w:val="118D31D7"/>
    <w:rsid w:val="11B62D57"/>
    <w:rsid w:val="11CD7844"/>
    <w:rsid w:val="11F356F0"/>
    <w:rsid w:val="12737E91"/>
    <w:rsid w:val="12A63CA4"/>
    <w:rsid w:val="12DA5DA1"/>
    <w:rsid w:val="14985759"/>
    <w:rsid w:val="149C3766"/>
    <w:rsid w:val="1549557C"/>
    <w:rsid w:val="157D650A"/>
    <w:rsid w:val="15E169F5"/>
    <w:rsid w:val="15FC5020"/>
    <w:rsid w:val="167C0DF1"/>
    <w:rsid w:val="18833745"/>
    <w:rsid w:val="19AF0CB4"/>
    <w:rsid w:val="19EE61F4"/>
    <w:rsid w:val="19F023A6"/>
    <w:rsid w:val="1AB63394"/>
    <w:rsid w:val="1ADD2620"/>
    <w:rsid w:val="1B3E4C43"/>
    <w:rsid w:val="1BC528C4"/>
    <w:rsid w:val="1D4266B3"/>
    <w:rsid w:val="1D90641B"/>
    <w:rsid w:val="1E537B54"/>
    <w:rsid w:val="1E9C7B48"/>
    <w:rsid w:val="1EC05BED"/>
    <w:rsid w:val="1F4D7EC7"/>
    <w:rsid w:val="1FE55890"/>
    <w:rsid w:val="20152766"/>
    <w:rsid w:val="201C12BD"/>
    <w:rsid w:val="20CF4E76"/>
    <w:rsid w:val="21533539"/>
    <w:rsid w:val="21C0196E"/>
    <w:rsid w:val="221365B8"/>
    <w:rsid w:val="22B10EF6"/>
    <w:rsid w:val="23241352"/>
    <w:rsid w:val="23CF38CC"/>
    <w:rsid w:val="23D106A6"/>
    <w:rsid w:val="243D7784"/>
    <w:rsid w:val="246C2851"/>
    <w:rsid w:val="24AD32BB"/>
    <w:rsid w:val="2537321F"/>
    <w:rsid w:val="26850942"/>
    <w:rsid w:val="269F512C"/>
    <w:rsid w:val="26B164C1"/>
    <w:rsid w:val="275C5122"/>
    <w:rsid w:val="27987506"/>
    <w:rsid w:val="282A6A75"/>
    <w:rsid w:val="288E5F3F"/>
    <w:rsid w:val="28975DA4"/>
    <w:rsid w:val="28AE5DA0"/>
    <w:rsid w:val="29462609"/>
    <w:rsid w:val="29870F2F"/>
    <w:rsid w:val="299B7BD0"/>
    <w:rsid w:val="29BF490D"/>
    <w:rsid w:val="2A0C3F2F"/>
    <w:rsid w:val="2B6910C5"/>
    <w:rsid w:val="2BBD43D2"/>
    <w:rsid w:val="2CC9360B"/>
    <w:rsid w:val="2DCC08AF"/>
    <w:rsid w:val="2E142328"/>
    <w:rsid w:val="2E9B7C83"/>
    <w:rsid w:val="2ECA65D4"/>
    <w:rsid w:val="2F00322A"/>
    <w:rsid w:val="30357A24"/>
    <w:rsid w:val="307C5365"/>
    <w:rsid w:val="30A22B85"/>
    <w:rsid w:val="31D574D0"/>
    <w:rsid w:val="34A100EE"/>
    <w:rsid w:val="3541716C"/>
    <w:rsid w:val="35D37D9D"/>
    <w:rsid w:val="3616624B"/>
    <w:rsid w:val="36DC47B5"/>
    <w:rsid w:val="375955DE"/>
    <w:rsid w:val="37C2178A"/>
    <w:rsid w:val="37E24848"/>
    <w:rsid w:val="388C6C54"/>
    <w:rsid w:val="38CD2F41"/>
    <w:rsid w:val="38EB77CC"/>
    <w:rsid w:val="3A1D0EF5"/>
    <w:rsid w:val="3AA44A54"/>
    <w:rsid w:val="3AE822E0"/>
    <w:rsid w:val="3B617677"/>
    <w:rsid w:val="3C6C0E2E"/>
    <w:rsid w:val="3C872CDC"/>
    <w:rsid w:val="3C8B0C00"/>
    <w:rsid w:val="3CAB1C17"/>
    <w:rsid w:val="3CC7607D"/>
    <w:rsid w:val="3CCA53AD"/>
    <w:rsid w:val="3CF81873"/>
    <w:rsid w:val="3D3C5C83"/>
    <w:rsid w:val="3E322D18"/>
    <w:rsid w:val="3E7A698F"/>
    <w:rsid w:val="3EEA5570"/>
    <w:rsid w:val="3EEC344B"/>
    <w:rsid w:val="3FD1113F"/>
    <w:rsid w:val="41171C7F"/>
    <w:rsid w:val="418E5F9D"/>
    <w:rsid w:val="429A1953"/>
    <w:rsid w:val="42BF1B92"/>
    <w:rsid w:val="434D4C79"/>
    <w:rsid w:val="43D755DA"/>
    <w:rsid w:val="4469414C"/>
    <w:rsid w:val="450F1F75"/>
    <w:rsid w:val="453C3F01"/>
    <w:rsid w:val="45520847"/>
    <w:rsid w:val="45E73322"/>
    <w:rsid w:val="46151C09"/>
    <w:rsid w:val="461A6091"/>
    <w:rsid w:val="462D72B0"/>
    <w:rsid w:val="47826AD5"/>
    <w:rsid w:val="47DD774D"/>
    <w:rsid w:val="487B4576"/>
    <w:rsid w:val="48B60ED8"/>
    <w:rsid w:val="49383A30"/>
    <w:rsid w:val="494A394A"/>
    <w:rsid w:val="49AF6EF2"/>
    <w:rsid w:val="4A8944F6"/>
    <w:rsid w:val="4AE22D88"/>
    <w:rsid w:val="4B621286"/>
    <w:rsid w:val="4C8B2B22"/>
    <w:rsid w:val="4CA1093F"/>
    <w:rsid w:val="4CDB6B18"/>
    <w:rsid w:val="4D1D2609"/>
    <w:rsid w:val="4D935553"/>
    <w:rsid w:val="4D9F4BE9"/>
    <w:rsid w:val="4E305A20"/>
    <w:rsid w:val="4EB11A7C"/>
    <w:rsid w:val="4EDE7AF4"/>
    <w:rsid w:val="4EE6167D"/>
    <w:rsid w:val="4F586ABA"/>
    <w:rsid w:val="4F9C166D"/>
    <w:rsid w:val="4FB46852"/>
    <w:rsid w:val="4FC000E6"/>
    <w:rsid w:val="50D21228"/>
    <w:rsid w:val="53406164"/>
    <w:rsid w:val="534A5134"/>
    <w:rsid w:val="53774CFF"/>
    <w:rsid w:val="53DE59A8"/>
    <w:rsid w:val="553B58E4"/>
    <w:rsid w:val="55882160"/>
    <w:rsid w:val="55AA541C"/>
    <w:rsid w:val="55EF668D"/>
    <w:rsid w:val="567E16A6"/>
    <w:rsid w:val="5728768E"/>
    <w:rsid w:val="574C7DDE"/>
    <w:rsid w:val="58272CFA"/>
    <w:rsid w:val="585722FF"/>
    <w:rsid w:val="592D32D7"/>
    <w:rsid w:val="596879A6"/>
    <w:rsid w:val="59F57B8E"/>
    <w:rsid w:val="5A1F18EA"/>
    <w:rsid w:val="5A4F4638"/>
    <w:rsid w:val="5A8C6946"/>
    <w:rsid w:val="5B397E38"/>
    <w:rsid w:val="5B443C4B"/>
    <w:rsid w:val="5B7E4A72"/>
    <w:rsid w:val="5C104619"/>
    <w:rsid w:val="5D7673E3"/>
    <w:rsid w:val="5D7B386B"/>
    <w:rsid w:val="5DED0326"/>
    <w:rsid w:val="5DED6128"/>
    <w:rsid w:val="5E811B87"/>
    <w:rsid w:val="5E85179E"/>
    <w:rsid w:val="5F0D61FF"/>
    <w:rsid w:val="5FF25578"/>
    <w:rsid w:val="603315EF"/>
    <w:rsid w:val="609E0F14"/>
    <w:rsid w:val="60AF11AF"/>
    <w:rsid w:val="614E41B0"/>
    <w:rsid w:val="62973EAF"/>
    <w:rsid w:val="62BE08BB"/>
    <w:rsid w:val="631E222D"/>
    <w:rsid w:val="645E2BB9"/>
    <w:rsid w:val="647A6C66"/>
    <w:rsid w:val="650442EA"/>
    <w:rsid w:val="65187A69"/>
    <w:rsid w:val="651D79A2"/>
    <w:rsid w:val="654F3592"/>
    <w:rsid w:val="65D76BA2"/>
    <w:rsid w:val="6618540E"/>
    <w:rsid w:val="66B76211"/>
    <w:rsid w:val="66D37837"/>
    <w:rsid w:val="670A7A3E"/>
    <w:rsid w:val="679E2C8B"/>
    <w:rsid w:val="67F25F98"/>
    <w:rsid w:val="6937082E"/>
    <w:rsid w:val="69713E8B"/>
    <w:rsid w:val="69EF3DF1"/>
    <w:rsid w:val="69F753E9"/>
    <w:rsid w:val="6ADB0EDF"/>
    <w:rsid w:val="6B2F71CC"/>
    <w:rsid w:val="6D1E5C16"/>
    <w:rsid w:val="6D8B22BF"/>
    <w:rsid w:val="6FAB07C2"/>
    <w:rsid w:val="6FB56B53"/>
    <w:rsid w:val="6FEB702D"/>
    <w:rsid w:val="70A906E5"/>
    <w:rsid w:val="72BF7DD0"/>
    <w:rsid w:val="73006EB1"/>
    <w:rsid w:val="73252FF8"/>
    <w:rsid w:val="73417714"/>
    <w:rsid w:val="73643DE1"/>
    <w:rsid w:val="73DC6F23"/>
    <w:rsid w:val="743E1546"/>
    <w:rsid w:val="747D1147"/>
    <w:rsid w:val="75C83E5E"/>
    <w:rsid w:val="762C5749"/>
    <w:rsid w:val="765C5FCF"/>
    <w:rsid w:val="77831323"/>
    <w:rsid w:val="77A5337F"/>
    <w:rsid w:val="77E07672"/>
    <w:rsid w:val="780A11FC"/>
    <w:rsid w:val="7825692D"/>
    <w:rsid w:val="78824C27"/>
    <w:rsid w:val="792451CB"/>
    <w:rsid w:val="79350CE9"/>
    <w:rsid w:val="79442D41"/>
    <w:rsid w:val="7ABA4368"/>
    <w:rsid w:val="7AEF6DC1"/>
    <w:rsid w:val="7B331FDF"/>
    <w:rsid w:val="7B5B3EF1"/>
    <w:rsid w:val="7B76251D"/>
    <w:rsid w:val="7BA07ADE"/>
    <w:rsid w:val="7BA515D0"/>
    <w:rsid w:val="7BD55DBA"/>
    <w:rsid w:val="7C1A4BBF"/>
    <w:rsid w:val="7C2E2674"/>
    <w:rsid w:val="7D202558"/>
    <w:rsid w:val="7D630407"/>
    <w:rsid w:val="7E477DBC"/>
    <w:rsid w:val="7E4F6A23"/>
    <w:rsid w:val="7E5C44DF"/>
    <w:rsid w:val="7E71317F"/>
    <w:rsid w:val="7EC00980"/>
    <w:rsid w:val="7F246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page number"/>
    <w:basedOn w:val="8"/>
    <w:qFormat/>
    <w:uiPriority w:val="0"/>
  </w:style>
  <w:style w:type="character" w:styleId="10">
    <w:name w:val="annotation reference"/>
    <w:basedOn w:val="8"/>
    <w:semiHidden/>
    <w:unhideWhenUsed/>
    <w:qFormat/>
    <w:uiPriority w:val="99"/>
    <w:rPr>
      <w:sz w:val="21"/>
      <w:szCs w:val="21"/>
    </w:rPr>
  </w:style>
  <w:style w:type="character" w:customStyle="1" w:styleId="11">
    <w:name w:val="页眉 Char"/>
    <w:basedOn w:val="8"/>
    <w:link w:val="5"/>
    <w:semiHidden/>
    <w:qFormat/>
    <w:uiPriority w:val="99"/>
    <w:rPr>
      <w:kern w:val="2"/>
      <w:sz w:val="18"/>
      <w:szCs w:val="18"/>
    </w:rPr>
  </w:style>
  <w:style w:type="character" w:customStyle="1" w:styleId="12">
    <w:name w:val="页脚 Char"/>
    <w:basedOn w:val="8"/>
    <w:link w:val="4"/>
    <w:qFormat/>
    <w:uiPriority w:val="99"/>
    <w:rPr>
      <w:kern w:val="2"/>
      <w:sz w:val="18"/>
      <w:szCs w:val="18"/>
    </w:rPr>
  </w:style>
  <w:style w:type="paragraph" w:customStyle="1" w:styleId="13">
    <w:name w:val="Char1"/>
    <w:basedOn w:val="1"/>
    <w:qFormat/>
    <w:uiPriority w:val="0"/>
    <w:pPr>
      <w:tabs>
        <w:tab w:val="left" w:pos="840"/>
      </w:tabs>
      <w:ind w:left="840" w:hanging="420"/>
    </w:pPr>
    <w:rPr>
      <w:rFonts w:ascii="Times New Roman" w:hAnsi="Times New Roman"/>
      <w:sz w:val="24"/>
      <w:szCs w:val="24"/>
    </w:rPr>
  </w:style>
  <w:style w:type="character" w:customStyle="1" w:styleId="14">
    <w:name w:val="批注文字 Char"/>
    <w:basedOn w:val="8"/>
    <w:link w:val="2"/>
    <w:semiHidden/>
    <w:qFormat/>
    <w:uiPriority w:val="99"/>
    <w:rPr>
      <w:kern w:val="2"/>
      <w:sz w:val="21"/>
      <w:szCs w:val="22"/>
    </w:rPr>
  </w:style>
  <w:style w:type="character" w:customStyle="1" w:styleId="15">
    <w:name w:val="批注主题 Char"/>
    <w:basedOn w:val="14"/>
    <w:link w:val="6"/>
    <w:semiHidden/>
    <w:qFormat/>
    <w:uiPriority w:val="99"/>
    <w:rPr>
      <w:b/>
      <w:bCs/>
    </w:rPr>
  </w:style>
  <w:style w:type="character" w:customStyle="1" w:styleId="16">
    <w:name w:val="批注框文本 Char"/>
    <w:basedOn w:val="8"/>
    <w:link w:val="3"/>
    <w:semiHidden/>
    <w:qFormat/>
    <w:uiPriority w:val="99"/>
    <w:rPr>
      <w:kern w:val="2"/>
      <w:sz w:val="18"/>
      <w:szCs w:val="18"/>
    </w:rPr>
  </w:style>
  <w:style w:type="paragraph" w:customStyle="1" w:styleId="17">
    <w:name w:val="Revision"/>
    <w:hidden/>
    <w:semiHidden/>
    <w:qFormat/>
    <w:uiPriority w:val="99"/>
    <w:rPr>
      <w:rFonts w:ascii="Calibri" w:hAnsi="Calibri" w:eastAsia="宋体" w:cs="Times New Roman"/>
      <w:kern w:val="2"/>
      <w:sz w:val="21"/>
      <w:szCs w:val="22"/>
      <w:lang w:val="en-US" w:eastAsia="zh-CN" w:bidi="ar-SA"/>
    </w:rPr>
  </w:style>
  <w:style w:type="paragraph" w:customStyle="1" w:styleId="1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0880F-0172-4367-9D41-5B93968F3B74}">
  <ds:schemaRefs/>
</ds:datastoreItem>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4</Pages>
  <Words>2766</Words>
  <Characters>2996</Characters>
  <Lines>19</Lines>
  <Paragraphs>5</Paragraphs>
  <TotalTime>27</TotalTime>
  <ScaleCrop>false</ScaleCrop>
  <LinksUpToDate>false</LinksUpToDate>
  <CharactersWithSpaces>3060</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1</cp:lastModifiedBy>
  <cp:lastPrinted>2012-12-06T03:13:00Z</cp:lastPrinted>
  <dcterms:modified xsi:type="dcterms:W3CDTF">2025-07-11T01:13:56Z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2052-12.8.2.18606</vt:lpwstr>
  </property>
  <property fmtid="{D5CDD505-2E9C-101B-9397-08002B2CF9AE}" pid="4" name="ICV">
    <vt:lpwstr>E4964D99EA114E7EB9053DC47A97186C_13</vt:lpwstr>
  </property>
</Properties>
</file>